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83F53"/>
          <w:sz w:val="60"/>
        </w:rPr>
        <w:t>BIOINFORMATYKA</w:t>
        <w:br/>
        <w:t>W PROTEOMICE</w:t>
      </w:r>
    </w:p>
    <w:p>
      <w:pPr>
        <w:spacing w:before="360"/>
        <w:jc w:val="center"/>
      </w:pPr>
      <w:r>
        <w:rPr>
          <w:b/>
          <w:color w:val="24576E"/>
          <w:sz w:val="36"/>
        </w:rPr>
        <w:t>Ściąga powtórkowa</w:t>
      </w:r>
    </w:p>
    <w:p>
      <w:pPr>
        <w:spacing w:before="700"/>
        <w:jc w:val="center"/>
      </w:pPr>
      <w:r>
        <w:rPr>
          <w:i/>
        </w:rPr>
        <w:t>Na podstawie podręcznika „Bioinformatyka w proteomice”, wersja 2025/26_2</w:t>
        <w:br/>
      </w:r>
      <w:r>
        <w:t>Układ: definicje • procesy • narzędzia • pułapki • pytania kontrolne</w:t>
      </w:r>
    </w:p>
    <w:p>
      <w:r>
        <w:br w:type="page"/>
      </w:r>
    </w:p>
    <w:p>
      <w:pPr>
        <w:pStyle w:val="Heading1"/>
      </w:pPr>
      <w:r>
        <w:t>Spis treści</w:t>
      </w:r>
    </w:p>
    <w:p>
      <w:r>
        <w:t>1. Podstawy proteomiki i białek</w:t>
      </w:r>
    </w:p>
    <w:p>
      <w:r>
        <w:t>2. Bazy danych białkowych</w:t>
      </w:r>
    </w:p>
    <w:p>
      <w:r>
        <w:t>3. Formaty danych i przetwarzanie danych surowych</w:t>
      </w:r>
    </w:p>
    <w:p>
      <w:r>
        <w:t>4. Identyfikacja białek</w:t>
      </w:r>
    </w:p>
    <w:p>
      <w:r>
        <w:t>5. Kwantyfikacja białek</w:t>
      </w:r>
    </w:p>
    <w:p>
      <w:r>
        <w:t>6. Modyfikacje potranslacyjne (PTM)</w:t>
      </w:r>
    </w:p>
    <w:p>
      <w:r>
        <w:t>7. Interakcje i sieci białkowe</w:t>
      </w:r>
    </w:p>
    <w:p>
      <w:r>
        <w:t>8. Struktura białek: eksperyment i predykcja</w:t>
      </w:r>
    </w:p>
    <w:p>
      <w:r>
        <w:t>9. Uczenie maszynowe w proteomice</w:t>
      </w:r>
    </w:p>
    <w:p>
      <w:r>
        <w:t>10. Wizualizacja danych proteomicznych</w:t>
      </w:r>
    </w:p>
    <w:p>
      <w:r>
        <w:t>11. Integracja proteomiki z NGS</w:t>
      </w:r>
    </w:p>
    <w:p>
      <w:r>
        <w:t>12. Dalsza nauka i rozwój</w:t>
      </w:r>
    </w:p>
    <w:p>
      <w:r>
        <w:t>Macierz: formaty, bazy i narzędzia</w:t>
      </w:r>
    </w:p>
    <w:p>
      <w:r>
        <w:t>20 pytań szybkiej powtórki</w:t>
      </w:r>
    </w:p>
    <w:p>
      <w:r>
        <w:br w:type="page"/>
      </w:r>
    </w:p>
    <w:p>
      <w:pPr>
        <w:pStyle w:val="Heading1"/>
      </w:pPr>
      <w:r>
        <w:t>Mapa całego przedmiotu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1. Podstawy</w:t>
            </w:r>
          </w:p>
        </w:tc>
        <w:tc>
          <w:tcPr>
            <w:tcW w:type="dxa" w:w="5100"/>
            <w:vAlign w:val="center"/>
          </w:tcPr>
          <w:p>
            <w:pPr>
              <w:spacing w:after="0"/>
            </w:pPr>
            <w:r/>
            <w:r>
              <w:rPr>
                <w:b w:val="0"/>
                <w:sz w:val="18"/>
              </w:rPr>
              <w:t>białko → struktura → proteom → techniki</w:t>
            </w:r>
          </w:p>
        </w:tc>
      </w:tr>
      <w:tr>
        <w:tc>
          <w:tcPr>
            <w:tcW w:type="dxa" w:w="5100"/>
            <w:vAlign w:val="center"/>
          </w:tcPr>
          <w:p>
            <w:pPr>
              <w:spacing w:after="0"/>
            </w:pPr>
            <w:r/>
            <w:r>
              <w:rPr>
                <w:b/>
                <w:sz w:val="18"/>
              </w:rPr>
              <w:t>2. Bazy</w:t>
            </w:r>
          </w:p>
        </w:tc>
        <w:tc>
          <w:tcPr>
            <w:tcW w:type="dxa" w:w="5100"/>
            <w:vAlign w:val="center"/>
          </w:tcPr>
          <w:p>
            <w:pPr>
              <w:spacing w:after="0"/>
            </w:pPr>
            <w:r/>
            <w:r>
              <w:rPr>
                <w:b w:val="0"/>
                <w:sz w:val="18"/>
              </w:rPr>
              <w:t>sekwencje, MS, PTM, PPI, ekspresja</w:t>
            </w:r>
          </w:p>
        </w:tc>
      </w:tr>
      <w:tr>
        <w:tc>
          <w:tcPr>
            <w:tcW w:type="dxa" w:w="5100"/>
            <w:vAlign w:val="center"/>
          </w:tcPr>
          <w:p>
            <w:pPr>
              <w:spacing w:after="0"/>
            </w:pPr>
            <w:r/>
            <w:r>
              <w:rPr>
                <w:b/>
                <w:sz w:val="18"/>
              </w:rPr>
              <w:t>3. Formaty</w:t>
            </w:r>
          </w:p>
        </w:tc>
        <w:tc>
          <w:tcPr>
            <w:tcW w:type="dxa" w:w="5100"/>
            <w:vAlign w:val="center"/>
          </w:tcPr>
          <w:p>
            <w:pPr>
              <w:spacing w:after="0"/>
            </w:pPr>
            <w:r/>
            <w:r>
              <w:rPr>
                <w:b w:val="0"/>
                <w:sz w:val="18"/>
              </w:rPr>
              <w:t>RAW/mzML/MGF + FASTA + PDB/mmCIF/MRC</w:t>
            </w:r>
          </w:p>
        </w:tc>
      </w:tr>
      <w:tr>
        <w:tc>
          <w:tcPr>
            <w:tcW w:type="dxa" w:w="5100"/>
            <w:vAlign w:val="center"/>
          </w:tcPr>
          <w:p>
            <w:pPr>
              <w:spacing w:after="0"/>
            </w:pPr>
            <w:r/>
            <w:r>
              <w:rPr>
                <w:b/>
                <w:sz w:val="18"/>
              </w:rPr>
              <w:t>4. Identyfikacja</w:t>
            </w:r>
          </w:p>
        </w:tc>
        <w:tc>
          <w:tcPr>
            <w:tcW w:type="dxa" w:w="5100"/>
            <w:vAlign w:val="center"/>
          </w:tcPr>
          <w:p>
            <w:pPr>
              <w:spacing w:after="0"/>
            </w:pPr>
            <w:r/>
            <w:r>
              <w:rPr>
                <w:b w:val="0"/>
                <w:sz w:val="18"/>
              </w:rPr>
              <w:t>trypsyna → LC-MS/MS → PSM → białko → FDR</w:t>
            </w:r>
          </w:p>
        </w:tc>
      </w:tr>
      <w:tr>
        <w:tc>
          <w:tcPr>
            <w:tcW w:type="dxa" w:w="5100"/>
            <w:vAlign w:val="center"/>
          </w:tcPr>
          <w:p>
            <w:pPr>
              <w:spacing w:after="0"/>
            </w:pPr>
            <w:r/>
            <w:r>
              <w:rPr>
                <w:b/>
                <w:sz w:val="18"/>
              </w:rPr>
              <w:t>5. Kwantyfikacja</w:t>
            </w:r>
          </w:p>
        </w:tc>
        <w:tc>
          <w:tcPr>
            <w:tcW w:type="dxa" w:w="5100"/>
            <w:vAlign w:val="center"/>
          </w:tcPr>
          <w:p>
            <w:pPr>
              <w:spacing w:after="0"/>
            </w:pPr>
            <w:r/>
            <w:r>
              <w:rPr>
                <w:b w:val="0"/>
                <w:sz w:val="18"/>
              </w:rPr>
              <w:t>label-based / label-free; względna / bezwzględna</w:t>
            </w:r>
          </w:p>
        </w:tc>
      </w:tr>
      <w:tr>
        <w:tc>
          <w:tcPr>
            <w:tcW w:type="dxa" w:w="5100"/>
            <w:vAlign w:val="center"/>
          </w:tcPr>
          <w:p>
            <w:pPr>
              <w:spacing w:after="0"/>
            </w:pPr>
            <w:r/>
            <w:r>
              <w:rPr>
                <w:b/>
                <w:sz w:val="18"/>
              </w:rPr>
              <w:t>6. PTM</w:t>
            </w:r>
          </w:p>
        </w:tc>
        <w:tc>
          <w:tcPr>
            <w:tcW w:type="dxa" w:w="5100"/>
            <w:vAlign w:val="center"/>
          </w:tcPr>
          <w:p>
            <w:pPr>
              <w:spacing w:after="0"/>
            </w:pPr>
            <w:r/>
            <w:r>
              <w:rPr>
                <w:b w:val="0"/>
                <w:sz w:val="18"/>
              </w:rPr>
              <w:t>wzbogacanie → MS/MS → lokalizacja → interpretacja</w:t>
            </w:r>
          </w:p>
        </w:tc>
      </w:tr>
      <w:tr>
        <w:tc>
          <w:tcPr>
            <w:tcW w:type="dxa" w:w="5100"/>
            <w:vAlign w:val="center"/>
          </w:tcPr>
          <w:p>
            <w:pPr>
              <w:spacing w:after="0"/>
            </w:pPr>
            <w:r/>
            <w:r>
              <w:rPr>
                <w:b/>
                <w:sz w:val="18"/>
              </w:rPr>
              <w:t>7. PPI</w:t>
            </w:r>
          </w:p>
        </w:tc>
        <w:tc>
          <w:tcPr>
            <w:tcW w:type="dxa" w:w="5100"/>
            <w:vAlign w:val="center"/>
          </w:tcPr>
          <w:p>
            <w:pPr>
              <w:spacing w:after="0"/>
            </w:pPr>
            <w:r/>
            <w:r>
              <w:rPr>
                <w:b w:val="0"/>
                <w:sz w:val="18"/>
              </w:rPr>
              <w:t>eksperyment → baza → sieć → huby/moduły</w:t>
            </w:r>
          </w:p>
        </w:tc>
      </w:tr>
      <w:tr>
        <w:tc>
          <w:tcPr>
            <w:tcW w:type="dxa" w:w="5100"/>
            <w:vAlign w:val="center"/>
          </w:tcPr>
          <w:p>
            <w:pPr>
              <w:spacing w:after="0"/>
            </w:pPr>
            <w:r/>
            <w:r>
              <w:rPr>
                <w:b/>
                <w:sz w:val="18"/>
              </w:rPr>
              <w:t>8. Struktura</w:t>
            </w:r>
          </w:p>
        </w:tc>
        <w:tc>
          <w:tcPr>
            <w:tcW w:type="dxa" w:w="5100"/>
            <w:vAlign w:val="center"/>
          </w:tcPr>
          <w:p>
            <w:pPr>
              <w:spacing w:after="0"/>
            </w:pPr>
            <w:r/>
            <w:r>
              <w:rPr>
                <w:b w:val="0"/>
                <w:sz w:val="18"/>
              </w:rPr>
              <w:t>X-ray/NMR/Cryo-EM + modelowanie/AlphaFold</w:t>
            </w:r>
          </w:p>
        </w:tc>
      </w:tr>
      <w:tr>
        <w:tc>
          <w:tcPr>
            <w:tcW w:type="dxa" w:w="5100"/>
            <w:vAlign w:val="center"/>
          </w:tcPr>
          <w:p>
            <w:pPr>
              <w:spacing w:after="0"/>
            </w:pPr>
            <w:r/>
            <w:r>
              <w:rPr>
                <w:b/>
                <w:sz w:val="18"/>
              </w:rPr>
              <w:t>9. ML</w:t>
            </w:r>
          </w:p>
        </w:tc>
        <w:tc>
          <w:tcPr>
            <w:tcW w:type="dxa" w:w="5100"/>
            <w:vAlign w:val="center"/>
          </w:tcPr>
          <w:p>
            <w:pPr>
              <w:spacing w:after="0"/>
            </w:pPr>
            <w:r/>
            <w:r>
              <w:rPr>
                <w:b w:val="0"/>
                <w:sz w:val="18"/>
              </w:rPr>
              <w:t>cechy → model → predykcja → walidacja</w:t>
            </w:r>
          </w:p>
        </w:tc>
      </w:tr>
      <w:tr>
        <w:tc>
          <w:tcPr>
            <w:tcW w:type="dxa" w:w="5100"/>
            <w:vAlign w:val="center"/>
          </w:tcPr>
          <w:p>
            <w:pPr>
              <w:spacing w:after="0"/>
            </w:pPr>
            <w:r/>
            <w:r>
              <w:rPr>
                <w:b/>
                <w:sz w:val="18"/>
              </w:rPr>
              <w:t>10. Wizualizacja</w:t>
            </w:r>
          </w:p>
        </w:tc>
        <w:tc>
          <w:tcPr>
            <w:tcW w:type="dxa" w:w="5100"/>
            <w:vAlign w:val="center"/>
          </w:tcPr>
          <w:p>
            <w:pPr>
              <w:spacing w:after="0"/>
            </w:pPr>
            <w:r/>
            <w:r>
              <w:rPr>
                <w:b w:val="0"/>
                <w:sz w:val="18"/>
              </w:rPr>
              <w:t>boxplot, volcano, heatmapa, PCA, sieć, MSA</w:t>
            </w:r>
          </w:p>
        </w:tc>
      </w:tr>
      <w:tr>
        <w:tc>
          <w:tcPr>
            <w:tcW w:type="dxa" w:w="5100"/>
            <w:vAlign w:val="center"/>
          </w:tcPr>
          <w:p>
            <w:pPr>
              <w:spacing w:after="0"/>
            </w:pPr>
            <w:r/>
            <w:r>
              <w:rPr>
                <w:b/>
                <w:sz w:val="18"/>
              </w:rPr>
              <w:t>11. Integracja</w:t>
            </w:r>
          </w:p>
        </w:tc>
        <w:tc>
          <w:tcPr>
            <w:tcW w:type="dxa" w:w="5100"/>
            <w:vAlign w:val="center"/>
          </w:tcPr>
          <w:p>
            <w:pPr>
              <w:spacing w:after="0"/>
            </w:pPr>
            <w:r/>
            <w:r>
              <w:rPr>
                <w:b w:val="0"/>
                <w:sz w:val="18"/>
              </w:rPr>
              <w:t>genom/RNA ↔ białko ↔ PTM; proteogenomika</w:t>
            </w:r>
          </w:p>
        </w:tc>
      </w:tr>
      <w:tr>
        <w:tc>
          <w:tcPr>
            <w:tcW w:type="dxa" w:w="5100"/>
            <w:vAlign w:val="center"/>
          </w:tcPr>
          <w:p>
            <w:pPr>
              <w:spacing w:after="0"/>
            </w:pPr>
            <w:r/>
            <w:r>
              <w:rPr>
                <w:b/>
                <w:sz w:val="18"/>
              </w:rPr>
              <w:t>12. Rozwój</w:t>
            </w:r>
          </w:p>
        </w:tc>
        <w:tc>
          <w:tcPr>
            <w:tcW w:type="dxa" w:w="5100"/>
            <w:vAlign w:val="center"/>
          </w:tcPr>
          <w:p>
            <w:pPr>
              <w:spacing w:after="0"/>
            </w:pPr>
            <w:r/>
            <w:r>
              <w:rPr>
                <w:b w:val="0"/>
                <w:sz w:val="18"/>
              </w:rPr>
              <w:t>kursy, dokumentacja, otwarte dane, literatura</w:t>
            </w:r>
          </w:p>
        </w:tc>
      </w:tr>
    </w:tbl>
    <w:p/>
    <w:p>
      <w:pPr>
        <w:pStyle w:val="Heading1"/>
      </w:pPr>
      <w:r>
        <w:t>1. Podstawy proteomiki i białek</w:t>
      </w:r>
    </w:p>
    <w:p>
      <w:r>
        <w:rPr>
          <w:b/>
        </w:rPr>
        <w:t xml:space="preserve">Od biochemii do bioinformatyki proteomicznej: </w:t>
      </w:r>
      <w:r>
        <w:t>Proteomika powstała wraz z rozwojem metod badania białek, spektrometrii mas oraz mocy obliczeniowej. Jej przedmiotem nie jest wyłącznie pojedyncza cząsteczka, lecz całe zestawy białek obecne w określonej komórce, tkance lub organizmie w danym czasie i warunkach.</w:t>
      </w:r>
    </w:p>
    <w:p>
      <w:r>
        <w:rPr>
          <w:b/>
        </w:rPr>
        <w:t xml:space="preserve">Białko i enzym: </w:t>
      </w:r>
      <w:r>
        <w:t>Białko jest biopolimerem aminokwasowym, który pełni funkcję biologiczną po uzyskaniu właściwego kształtu przestrzennego. Nie każde białko jest enzymem. Enzym jest szczególnym rodzajem białka katalizującym reakcję biochemiczną bez trwałego zużycia własnej struktury.</w:t>
      </w:r>
    </w:p>
    <w:p>
      <w:r>
        <w:rPr>
          <w:b/>
        </w:rPr>
        <w:t xml:space="preserve">Centralny dogmat: </w:t>
      </w:r>
      <w:r>
        <w:t>Informacja o sekwencji białka jest zapisana w DNA, przepisywana na mRNA, a następnie tłumaczona przez rybosom na sekwencję aminokwasów. Sam polipeptyd zwykle nie wystarcza do uzyskania pełnej funkcji: potrzebne są fałdowanie, czasem kofaktory oraz obróbka potranslacyjna.</w:t>
      </w:r>
    </w:p>
    <w:p>
      <w:r>
        <w:rPr>
          <w:b/>
        </w:rPr>
        <w:t xml:space="preserve">Poziomy struktury: </w:t>
      </w:r>
      <w:r>
        <w:t>Struktura pierwszorzędowa to sekwencja aminokwasów. Drugorzędowa obejmuje lokalne elementy, głównie alfa-helisy i beta-kartki. Trzeciorzędowa opisuje trójwymiarowe ułożenie jednego łańcucha, a czwartorzędowa - organizację kilku podjednostek w kompleks.</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Sekwencja</w:t>
            </w:r>
          </w:p>
        </w:tc>
        <w:tc>
          <w:tcPr>
            <w:tcW w:type="dxa" w:w="5100"/>
            <w:vAlign w:val="center"/>
          </w:tcPr>
          <w:p>
            <w:pPr>
              <w:spacing w:after="0"/>
            </w:pPr>
            <w:r/>
            <w:r>
              <w:rPr>
                <w:b w:val="0"/>
                <w:sz w:val="18"/>
              </w:rPr>
              <w:t>Zapis jedno- lub trzyliterowy, od N-końca do C-końca.</w:t>
            </w:r>
          </w:p>
        </w:tc>
      </w:tr>
      <w:tr>
        <w:tc>
          <w:tcPr>
            <w:tcW w:type="dxa" w:w="5100"/>
            <w:vAlign w:val="center"/>
          </w:tcPr>
          <w:p>
            <w:pPr>
              <w:spacing w:after="0"/>
            </w:pPr>
            <w:r/>
            <w:r>
              <w:rPr>
                <w:b/>
                <w:sz w:val="18"/>
              </w:rPr>
              <w:t>Masa molekularna</w:t>
            </w:r>
          </w:p>
        </w:tc>
        <w:tc>
          <w:tcPr>
            <w:tcW w:type="dxa" w:w="5100"/>
            <w:vAlign w:val="center"/>
          </w:tcPr>
          <w:p>
            <w:pPr>
              <w:spacing w:after="0"/>
            </w:pPr>
            <w:r/>
            <w:r>
              <w:rPr>
                <w:b w:val="0"/>
                <w:sz w:val="18"/>
              </w:rPr>
              <w:t>Najczęściej podawana w Da, kDa lub MDa.</w:t>
            </w:r>
          </w:p>
        </w:tc>
      </w:tr>
      <w:tr>
        <w:tc>
          <w:tcPr>
            <w:tcW w:type="dxa" w:w="5100"/>
            <w:vAlign w:val="center"/>
          </w:tcPr>
          <w:p>
            <w:pPr>
              <w:spacing w:after="0"/>
            </w:pPr>
            <w:r/>
            <w:r>
              <w:rPr>
                <w:b/>
                <w:sz w:val="18"/>
              </w:rPr>
              <w:t>Współczynnik absorpcji</w:t>
            </w:r>
          </w:p>
        </w:tc>
        <w:tc>
          <w:tcPr>
            <w:tcW w:type="dxa" w:w="5100"/>
            <w:vAlign w:val="center"/>
          </w:tcPr>
          <w:p>
            <w:pPr>
              <w:spacing w:after="0"/>
            </w:pPr>
            <w:r/>
            <w:r>
              <w:rPr>
                <w:b w:val="0"/>
                <w:sz w:val="18"/>
              </w:rPr>
              <w:t>Zależy od składu aminokwasowego i służy m.in. do wyznaczania stężenia.</w:t>
            </w:r>
          </w:p>
        </w:tc>
      </w:tr>
      <w:tr>
        <w:tc>
          <w:tcPr>
            <w:tcW w:type="dxa" w:w="5100"/>
            <w:vAlign w:val="center"/>
          </w:tcPr>
          <w:p>
            <w:pPr>
              <w:spacing w:after="0"/>
            </w:pPr>
            <w:r/>
            <w:r>
              <w:rPr>
                <w:b/>
                <w:sz w:val="18"/>
              </w:rPr>
              <w:t>Punkt izoelektryczny (pI)</w:t>
            </w:r>
          </w:p>
        </w:tc>
        <w:tc>
          <w:tcPr>
            <w:tcW w:type="dxa" w:w="5100"/>
            <w:vAlign w:val="center"/>
          </w:tcPr>
          <w:p>
            <w:pPr>
              <w:spacing w:after="0"/>
            </w:pPr>
            <w:r/>
            <w:r>
              <w:rPr>
                <w:b w:val="0"/>
                <w:sz w:val="18"/>
              </w:rPr>
              <w:t>pH, przy którym ładunki dodatnie i ujemne białka się równoważą.</w:t>
            </w:r>
          </w:p>
        </w:tc>
      </w:tr>
      <w:tr>
        <w:tc>
          <w:tcPr>
            <w:tcW w:type="dxa" w:w="5100"/>
            <w:vAlign w:val="center"/>
          </w:tcPr>
          <w:p>
            <w:pPr>
              <w:spacing w:after="0"/>
            </w:pPr>
            <w:r/>
            <w:r>
              <w:rPr>
                <w:b/>
                <w:sz w:val="18"/>
              </w:rPr>
              <w:t>Struktura przestrzenna</w:t>
            </w:r>
          </w:p>
        </w:tc>
        <w:tc>
          <w:tcPr>
            <w:tcW w:type="dxa" w:w="5100"/>
            <w:vAlign w:val="center"/>
          </w:tcPr>
          <w:p>
            <w:pPr>
              <w:spacing w:after="0"/>
            </w:pPr>
            <w:r/>
            <w:r>
              <w:rPr>
                <w:b w:val="0"/>
                <w:sz w:val="18"/>
              </w:rPr>
              <w:t>Model trójwymiarowy opisujący ułożenie atomów i podjednostek.</w:t>
            </w:r>
          </w:p>
        </w:tc>
      </w:tr>
    </w:tbl>
    <w:p/>
    <w:p>
      <w:pPr>
        <w:pStyle w:val="Zapamiętaj"/>
      </w:pPr>
      <w:r>
        <w:t>Pułapka: Genom nie jest tym samym co proteom: proteom zależy od czasu, tkanki, warunków i modyfikacji.</w:t>
      </w:r>
    </w:p>
    <w:p>
      <w:pPr>
        <w:pStyle w:val="Heading1"/>
      </w:pPr>
      <w:r>
        <w:t>2. Bazy danych białkowych</w:t>
      </w:r>
    </w:p>
    <w:p>
      <w:r>
        <w:rPr>
          <w:b/>
        </w:rPr>
        <w:t xml:space="preserve">Znaczenie baz: </w:t>
      </w:r>
      <w:r>
        <w:t>Bazy danych organizują informacje potrzebne na każdym etapie proteomiki: od sekwencji i funkcji, przez surowe dane spektrometryczne, po modyfikacje, interakcje, ekspresję i lokalizację.</w:t>
      </w:r>
    </w:p>
    <w:p>
      <w:r>
        <w:rPr>
          <w:b/>
        </w:rPr>
        <w:t xml:space="preserve">Bazy sekwencyjne i funkcjonalne: </w:t>
      </w:r>
      <w:r>
        <w:t>UniProt integruje sekwencję, funkcję, strukturę i PTM; Swiss-Prot jest adnotowany ręcznie, a TrEMBL automatycznie. RefSeq dostarcza referencyjne sekwencje, a Ensembl łączy dane genomowe z izoformami i alternatywnym splicingiem.</w:t>
      </w:r>
    </w:p>
    <w:p>
      <w:r>
        <w:rPr>
          <w:b/>
        </w:rPr>
        <w:t xml:space="preserve">Repozytoria spektrometryczne: </w:t>
      </w:r>
      <w:r>
        <w:t>PRIDE i MassIVE przechowują publiczne zestawy danych proteomicznych. PeptideAtlas agreguje identyfikacje peptydów i wspiera budowę zasobów dla DIA. ProteomeXchange integruje repozytoria i ułatwia wymianę danych.</w:t>
      </w:r>
    </w:p>
    <w:p>
      <w:r>
        <w:rPr>
          <w:b/>
        </w:rPr>
        <w:t xml:space="preserve">PTM i interakcje: </w:t>
      </w:r>
      <w:r>
        <w:t>PhosphoSitePlus i dbPTM gromadzą modyfikacje potranslacyjne. STRING łączy dane eksperymentalne i przewidywane, a BioGRID i IntAct bazują silnie na literaturze.</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Pytanie o sekwencję/funkcję</w:t>
            </w:r>
          </w:p>
        </w:tc>
        <w:tc>
          <w:tcPr>
            <w:tcW w:type="dxa" w:w="5100"/>
            <w:vAlign w:val="center"/>
          </w:tcPr>
          <w:p>
            <w:pPr>
              <w:spacing w:after="0"/>
            </w:pPr>
            <w:r/>
            <w:r>
              <w:rPr>
                <w:b w:val="0"/>
                <w:sz w:val="18"/>
              </w:rPr>
              <w:t>UniProt, RefSeq, Ensembl</w:t>
            </w:r>
          </w:p>
        </w:tc>
      </w:tr>
      <w:tr>
        <w:tc>
          <w:tcPr>
            <w:tcW w:type="dxa" w:w="5100"/>
            <w:vAlign w:val="center"/>
          </w:tcPr>
          <w:p>
            <w:pPr>
              <w:spacing w:after="0"/>
            </w:pPr>
            <w:r/>
            <w:r>
              <w:rPr>
                <w:b/>
                <w:sz w:val="18"/>
              </w:rPr>
              <w:t>Surowe dane MS</w:t>
            </w:r>
          </w:p>
        </w:tc>
        <w:tc>
          <w:tcPr>
            <w:tcW w:type="dxa" w:w="5100"/>
            <w:vAlign w:val="center"/>
          </w:tcPr>
          <w:p>
            <w:pPr>
              <w:spacing w:after="0"/>
            </w:pPr>
            <w:r/>
            <w:r>
              <w:rPr>
                <w:b w:val="0"/>
                <w:sz w:val="18"/>
              </w:rPr>
              <w:t>PRIDE, MassIVE, ProteomeXchange</w:t>
            </w:r>
          </w:p>
        </w:tc>
      </w:tr>
      <w:tr>
        <w:tc>
          <w:tcPr>
            <w:tcW w:type="dxa" w:w="5100"/>
            <w:vAlign w:val="center"/>
          </w:tcPr>
          <w:p>
            <w:pPr>
              <w:spacing w:after="0"/>
            </w:pPr>
            <w:r/>
            <w:r>
              <w:rPr>
                <w:b/>
                <w:sz w:val="18"/>
              </w:rPr>
              <w:t>Modyfikacje PTM</w:t>
            </w:r>
          </w:p>
        </w:tc>
        <w:tc>
          <w:tcPr>
            <w:tcW w:type="dxa" w:w="5100"/>
            <w:vAlign w:val="center"/>
          </w:tcPr>
          <w:p>
            <w:pPr>
              <w:spacing w:after="0"/>
            </w:pPr>
            <w:r/>
            <w:r>
              <w:rPr>
                <w:b w:val="0"/>
                <w:sz w:val="18"/>
              </w:rPr>
              <w:t>PhosphoSitePlus, dbPTM</w:t>
            </w:r>
          </w:p>
        </w:tc>
      </w:tr>
      <w:tr>
        <w:tc>
          <w:tcPr>
            <w:tcW w:type="dxa" w:w="5100"/>
            <w:vAlign w:val="center"/>
          </w:tcPr>
          <w:p>
            <w:pPr>
              <w:spacing w:after="0"/>
            </w:pPr>
            <w:r/>
            <w:r>
              <w:rPr>
                <w:b/>
                <w:sz w:val="18"/>
              </w:rPr>
              <w:t>Interakcje PPI</w:t>
            </w:r>
          </w:p>
        </w:tc>
        <w:tc>
          <w:tcPr>
            <w:tcW w:type="dxa" w:w="5100"/>
            <w:vAlign w:val="center"/>
          </w:tcPr>
          <w:p>
            <w:pPr>
              <w:spacing w:after="0"/>
            </w:pPr>
            <w:r/>
            <w:r>
              <w:rPr>
                <w:b w:val="0"/>
                <w:sz w:val="18"/>
              </w:rPr>
              <w:t>STRING, BioGRID, IntAct</w:t>
            </w:r>
          </w:p>
        </w:tc>
      </w:tr>
      <w:tr>
        <w:tc>
          <w:tcPr>
            <w:tcW w:type="dxa" w:w="5100"/>
            <w:vAlign w:val="center"/>
          </w:tcPr>
          <w:p>
            <w:pPr>
              <w:spacing w:after="0"/>
            </w:pPr>
            <w:r/>
            <w:r>
              <w:rPr>
                <w:b/>
                <w:sz w:val="18"/>
              </w:rPr>
              <w:t>Tkanka/lokalizacja/abundancja</w:t>
            </w:r>
          </w:p>
        </w:tc>
        <w:tc>
          <w:tcPr>
            <w:tcW w:type="dxa" w:w="5100"/>
            <w:vAlign w:val="center"/>
          </w:tcPr>
          <w:p>
            <w:pPr>
              <w:spacing w:after="0"/>
            </w:pPr>
            <w:r/>
            <w:r>
              <w:rPr>
                <w:b w:val="0"/>
                <w:sz w:val="18"/>
              </w:rPr>
              <w:t>Human Protein Atlas, Cell Atlas, PaxDb</w:t>
            </w:r>
          </w:p>
        </w:tc>
      </w:tr>
    </w:tbl>
    <w:p/>
    <w:p>
      <w:pPr>
        <w:pStyle w:val="Zapamiętaj"/>
      </w:pPr>
      <w:r>
        <w:t>Pułapka: Wynik przewidywany w STRING nie ma tej samej rangi co interakcja potwierdzona eksperymentalnie.</w:t>
      </w:r>
    </w:p>
    <w:p>
      <w:pPr>
        <w:pStyle w:val="Heading1"/>
      </w:pPr>
      <w:r>
        <w:t>3. Formaty danych i przetwarzanie danych surowych</w:t>
      </w:r>
    </w:p>
    <w:p>
      <w:r>
        <w:rPr>
          <w:b/>
        </w:rPr>
        <w:t xml:space="preserve">Dane surowe: </w:t>
      </w:r>
      <w:r>
        <w:t>Najczęściej pochodzą ze spektrometrii mas, ale podręcznik uwzględnia też spektroskopię, fluorescencję i metody strukturalne. Standaryzacja jest konieczna, aby dane można było analizować, integrować i udostępniać.</w:t>
      </w:r>
    </w:p>
    <w:p>
      <w:r>
        <w:rPr>
          <w:b/>
        </w:rPr>
        <w:t xml:space="preserve">Formaty firmowe: </w:t>
      </w:r>
      <w:r>
        <w:t>RAW, WIFF, D i TDF są generowane przez oprogramowanie aparatu i zawierają szczegółowe widma, metadane oraz parametry instrumentu. Ich ograniczeniem jest zależność od bibliotek i narzędzi producenta.</w:t>
      </w:r>
    </w:p>
    <w:p>
      <w:r>
        <w:rPr>
          <w:b/>
        </w:rPr>
        <w:t xml:space="preserve">Formaty otwarte MS: </w:t>
      </w:r>
      <w:r>
        <w:t>mzML jest zalecanym, wszechstronnym standardem opartym na XML. mzXML jest starszy, mzData praktycznie wyparty. MGF jest prostym formatem tekstowym dla widm MS/MS. netCDF/ANDI-MS stosuje się rzadziej.</w:t>
      </w:r>
    </w:p>
    <w:p>
      <w:r>
        <w:rPr>
          <w:b/>
        </w:rPr>
        <w:t xml:space="preserve">Narzędzia: </w:t>
      </w:r>
      <w:r>
        <w:t>ProteoWizard/MSConvert konwertuje formaty firmowe do mzML, mzXML lub MGF i wykonuje filtrację oraz centroidyzację. ThermoRawFileParser konwertuje pliki Thermo RAW. OpenMS oferuje modułowy pipeline. MaxQuant przetwarza RAW i zawiera Andromedę. Skyline wspiera analizy celowane. MSFragger/FragPipe szybko przeszukuje bazy i współpracuje z IonQuant.</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RAW/WIFF/D/TDF</w:t>
            </w:r>
          </w:p>
        </w:tc>
        <w:tc>
          <w:tcPr>
            <w:tcW w:type="dxa" w:w="5100"/>
            <w:vAlign w:val="center"/>
          </w:tcPr>
          <w:p>
            <w:pPr>
              <w:spacing w:after="0"/>
            </w:pPr>
            <w:r/>
            <w:r>
              <w:rPr>
                <w:b w:val="0"/>
                <w:sz w:val="18"/>
              </w:rPr>
              <w:t>Formaty producentów instrumentów.</w:t>
            </w:r>
          </w:p>
        </w:tc>
      </w:tr>
      <w:tr>
        <w:tc>
          <w:tcPr>
            <w:tcW w:type="dxa" w:w="5100"/>
            <w:vAlign w:val="center"/>
          </w:tcPr>
          <w:p>
            <w:pPr>
              <w:spacing w:after="0"/>
            </w:pPr>
            <w:r/>
            <w:r>
              <w:rPr>
                <w:b/>
                <w:sz w:val="18"/>
              </w:rPr>
              <w:t>mzML</w:t>
            </w:r>
          </w:p>
        </w:tc>
        <w:tc>
          <w:tcPr>
            <w:tcW w:type="dxa" w:w="5100"/>
            <w:vAlign w:val="center"/>
          </w:tcPr>
          <w:p>
            <w:pPr>
              <w:spacing w:after="0"/>
            </w:pPr>
            <w:r/>
            <w:r>
              <w:rPr>
                <w:b w:val="0"/>
                <w:sz w:val="18"/>
              </w:rPr>
              <w:t>Główny otwarty format danych MS.</w:t>
            </w:r>
          </w:p>
        </w:tc>
      </w:tr>
      <w:tr>
        <w:tc>
          <w:tcPr>
            <w:tcW w:type="dxa" w:w="5100"/>
            <w:vAlign w:val="center"/>
          </w:tcPr>
          <w:p>
            <w:pPr>
              <w:spacing w:after="0"/>
            </w:pPr>
            <w:r/>
            <w:r>
              <w:rPr>
                <w:b/>
                <w:sz w:val="18"/>
              </w:rPr>
              <w:t>MGF</w:t>
            </w:r>
          </w:p>
        </w:tc>
        <w:tc>
          <w:tcPr>
            <w:tcW w:type="dxa" w:w="5100"/>
            <w:vAlign w:val="center"/>
          </w:tcPr>
          <w:p>
            <w:pPr>
              <w:spacing w:after="0"/>
            </w:pPr>
            <w:r/>
            <w:r>
              <w:rPr>
                <w:b w:val="0"/>
                <w:sz w:val="18"/>
              </w:rPr>
              <w:t>Tekstowy eksport widm MS/MS.</w:t>
            </w:r>
          </w:p>
        </w:tc>
      </w:tr>
      <w:tr>
        <w:tc>
          <w:tcPr>
            <w:tcW w:type="dxa" w:w="5100"/>
            <w:vAlign w:val="center"/>
          </w:tcPr>
          <w:p>
            <w:pPr>
              <w:spacing w:after="0"/>
            </w:pPr>
            <w:r/>
            <w:r>
              <w:rPr>
                <w:b/>
                <w:sz w:val="18"/>
              </w:rPr>
              <w:t>FASTA</w:t>
            </w:r>
          </w:p>
        </w:tc>
        <w:tc>
          <w:tcPr>
            <w:tcW w:type="dxa" w:w="5100"/>
            <w:vAlign w:val="center"/>
          </w:tcPr>
          <w:p>
            <w:pPr>
              <w:spacing w:after="0"/>
            </w:pPr>
            <w:r/>
            <w:r>
              <w:rPr>
                <w:b w:val="0"/>
                <w:sz w:val="18"/>
              </w:rPr>
              <w:t>Sekwencje używane do identyfikacji.</w:t>
            </w:r>
          </w:p>
        </w:tc>
      </w:tr>
      <w:tr>
        <w:tc>
          <w:tcPr>
            <w:tcW w:type="dxa" w:w="5100"/>
            <w:vAlign w:val="center"/>
          </w:tcPr>
          <w:p>
            <w:pPr>
              <w:spacing w:after="0"/>
            </w:pPr>
            <w:r/>
            <w:r>
              <w:rPr>
                <w:b/>
                <w:sz w:val="18"/>
              </w:rPr>
              <w:t>PDB/mmCIF</w:t>
            </w:r>
          </w:p>
        </w:tc>
        <w:tc>
          <w:tcPr>
            <w:tcW w:type="dxa" w:w="5100"/>
            <w:vAlign w:val="center"/>
          </w:tcPr>
          <w:p>
            <w:pPr>
              <w:spacing w:after="0"/>
            </w:pPr>
            <w:r/>
            <w:r>
              <w:rPr>
                <w:b w:val="0"/>
                <w:sz w:val="18"/>
              </w:rPr>
              <w:t>Modele atomowe struktur.</w:t>
            </w:r>
          </w:p>
        </w:tc>
      </w:tr>
    </w:tbl>
    <w:p/>
    <w:p>
      <w:pPr>
        <w:pStyle w:val="Zapamiętaj"/>
      </w:pPr>
      <w:r>
        <w:t>Pułapka: MaxQuant według podręcznika przyjmuje pliki RAW i nie obsługuje mzML.</w:t>
      </w:r>
    </w:p>
    <w:p>
      <w:pPr>
        <w:pStyle w:val="Heading1"/>
      </w:pPr>
      <w:r>
        <w:t>4. Identyfikacja białek</w:t>
      </w:r>
    </w:p>
    <w:p>
      <w:r>
        <w:rPr>
          <w:b/>
        </w:rPr>
        <w:t xml:space="preserve">Bottom-up LC-MS/MS: </w:t>
      </w:r>
      <w:r>
        <w:t>Białka są trawione, zwykle trypsyną, do peptydów. Peptydy rozdziela chromatografia, następnie są jonizowane, mierzone i fragmentowane. Widma MS/MS porównuje się z teoretycznymi widmami wynikającymi z sekwencji bazodanowych.</w:t>
      </w:r>
    </w:p>
    <w:p>
      <w:r>
        <w:rPr>
          <w:b/>
        </w:rPr>
        <w:t xml:space="preserve">Silniki wyszukiwania: </w:t>
      </w:r>
      <w:r>
        <w:t>W podręczniku wymieniono m.in. Mascot, Sequest, Andromedę, MS-GF+ i MSFragger. Wynikiem są dopasowania widmo-peptyd, które następnie agreguje się na poziomie białek.</w:t>
      </w:r>
    </w:p>
    <w:p>
      <w:r>
        <w:rPr>
          <w:b/>
        </w:rPr>
        <w:t xml:space="preserve">Inferencja białek: </w:t>
      </w:r>
      <w:r>
        <w:t>Ten sam peptyd może występować w kilku białkach lub izoformach. Peptydy unikatowe jednoznacznie wspierają identyfikację, a peptydy współdzielone prowadzą do grup białkowych i niepewności przypisania.</w:t>
      </w:r>
    </w:p>
    <w:p>
      <w:r>
        <w:rPr>
          <w:b/>
        </w:rPr>
        <w:t xml:space="preserve">FDR: </w:t>
      </w:r>
      <w:r>
        <w:t>Wiarygodność identyfikacji ocenia się statystycznie, m.in. z wykorzystaniem strategii target-decoy i kontroli false discovery rate. Niski FDR ogranicza liczbę fałszywie dodatnich identyfikacji.</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Trawienie</w:t>
            </w:r>
          </w:p>
        </w:tc>
        <w:tc>
          <w:tcPr>
            <w:tcW w:type="dxa" w:w="5100"/>
            <w:vAlign w:val="center"/>
          </w:tcPr>
          <w:p>
            <w:pPr>
              <w:spacing w:after="0"/>
            </w:pPr>
            <w:r/>
            <w:r>
              <w:rPr>
                <w:b w:val="0"/>
                <w:sz w:val="18"/>
              </w:rPr>
              <w:t>Generowanie peptydów, najczęściej trypsyną.</w:t>
            </w:r>
          </w:p>
        </w:tc>
      </w:tr>
      <w:tr>
        <w:tc>
          <w:tcPr>
            <w:tcW w:type="dxa" w:w="5100"/>
            <w:vAlign w:val="center"/>
          </w:tcPr>
          <w:p>
            <w:pPr>
              <w:spacing w:after="0"/>
            </w:pPr>
            <w:r/>
            <w:r>
              <w:rPr>
                <w:b/>
                <w:sz w:val="18"/>
              </w:rPr>
              <w:t>m/z</w:t>
            </w:r>
          </w:p>
        </w:tc>
        <w:tc>
          <w:tcPr>
            <w:tcW w:type="dxa" w:w="5100"/>
            <w:vAlign w:val="center"/>
          </w:tcPr>
          <w:p>
            <w:pPr>
              <w:spacing w:after="0"/>
            </w:pPr>
            <w:r/>
            <w:r>
              <w:rPr>
                <w:b w:val="0"/>
                <w:sz w:val="18"/>
              </w:rPr>
              <w:t>Stosunek masy do ładunku jonu.</w:t>
            </w:r>
          </w:p>
        </w:tc>
      </w:tr>
      <w:tr>
        <w:tc>
          <w:tcPr>
            <w:tcW w:type="dxa" w:w="5100"/>
            <w:vAlign w:val="center"/>
          </w:tcPr>
          <w:p>
            <w:pPr>
              <w:spacing w:after="0"/>
            </w:pPr>
            <w:r/>
            <w:r>
              <w:rPr>
                <w:b/>
                <w:sz w:val="18"/>
              </w:rPr>
              <w:t>MS/MS</w:t>
            </w:r>
          </w:p>
        </w:tc>
        <w:tc>
          <w:tcPr>
            <w:tcW w:type="dxa" w:w="5100"/>
            <w:vAlign w:val="center"/>
          </w:tcPr>
          <w:p>
            <w:pPr>
              <w:spacing w:after="0"/>
            </w:pPr>
            <w:r/>
            <w:r>
              <w:rPr>
                <w:b w:val="0"/>
                <w:sz w:val="18"/>
              </w:rPr>
              <w:t>Fragmentacja peptydu i widmo informujące o sekwencji.</w:t>
            </w:r>
          </w:p>
        </w:tc>
      </w:tr>
      <w:tr>
        <w:tc>
          <w:tcPr>
            <w:tcW w:type="dxa" w:w="5100"/>
            <w:vAlign w:val="center"/>
          </w:tcPr>
          <w:p>
            <w:pPr>
              <w:spacing w:after="0"/>
            </w:pPr>
            <w:r/>
            <w:r>
              <w:rPr>
                <w:b/>
                <w:sz w:val="18"/>
              </w:rPr>
              <w:t>PSM</w:t>
            </w:r>
          </w:p>
        </w:tc>
        <w:tc>
          <w:tcPr>
            <w:tcW w:type="dxa" w:w="5100"/>
            <w:vAlign w:val="center"/>
          </w:tcPr>
          <w:p>
            <w:pPr>
              <w:spacing w:after="0"/>
            </w:pPr>
            <w:r/>
            <w:r>
              <w:rPr>
                <w:b w:val="0"/>
                <w:sz w:val="18"/>
              </w:rPr>
              <w:t>Dopasowanie widma do peptydu.</w:t>
            </w:r>
          </w:p>
        </w:tc>
      </w:tr>
      <w:tr>
        <w:tc>
          <w:tcPr>
            <w:tcW w:type="dxa" w:w="5100"/>
            <w:vAlign w:val="center"/>
          </w:tcPr>
          <w:p>
            <w:pPr>
              <w:spacing w:after="0"/>
            </w:pPr>
            <w:r/>
            <w:r>
              <w:rPr>
                <w:b/>
                <w:sz w:val="18"/>
              </w:rPr>
              <w:t>Peptyd unikatowy</w:t>
            </w:r>
          </w:p>
        </w:tc>
        <w:tc>
          <w:tcPr>
            <w:tcW w:type="dxa" w:w="5100"/>
            <w:vAlign w:val="center"/>
          </w:tcPr>
          <w:p>
            <w:pPr>
              <w:spacing w:after="0"/>
            </w:pPr>
            <w:r/>
            <w:r>
              <w:rPr>
                <w:b w:val="0"/>
                <w:sz w:val="18"/>
              </w:rPr>
              <w:t>Wspiera jednoznaczną identyfikację białka.</w:t>
            </w:r>
          </w:p>
        </w:tc>
      </w:tr>
    </w:tbl>
    <w:p/>
    <w:p>
      <w:pPr>
        <w:pStyle w:val="Zapamiętaj"/>
      </w:pPr>
      <w:r>
        <w:t>Pułapka: Identyfikacja peptydu nie zawsze jednoznacznie identyfikuje pojedyncze białko.</w:t>
      </w:r>
    </w:p>
    <w:p>
      <w:pPr>
        <w:pStyle w:val="Heading1"/>
      </w:pPr>
      <w:r>
        <w:t>5. Kwantyfikacja białek</w:t>
      </w:r>
    </w:p>
    <w:p>
      <w:r>
        <w:rPr>
          <w:b/>
        </w:rPr>
        <w:t xml:space="preserve">Cel kwantyfikacji: </w:t>
      </w:r>
      <w:r>
        <w:t>Kwantyfikacja odpowiada na pytanie, ile białka znajduje się w próbce i jak jego poziom zmienia się między warunkami. Może mieć charakter względny lub bezwzględny.</w:t>
      </w:r>
    </w:p>
    <w:p>
      <w:r>
        <w:rPr>
          <w:b/>
        </w:rPr>
        <w:t xml:space="preserve">SILAC: </w:t>
      </w:r>
      <w:r>
        <w:t>Ciężkie izotopy są wbudowywane do białek podczas hodowli komórkowej. Próbki różnią się masą, ale zachowują podobne właściwości chemiczne. Metoda jest precyzyjna, lecz ograniczona głównie do kontrolowanych hodowli.</w:t>
      </w:r>
    </w:p>
    <w:p>
      <w:r>
        <w:rPr>
          <w:b/>
        </w:rPr>
        <w:t xml:space="preserve">TMT i iTRAQ: </w:t>
      </w:r>
      <w:r>
        <w:t>Znaczniki izobaryczne umożliwiają multipleksowanie wielu próbek. Po fragmentacji pojawiają się jony reporterowe, których intensywności służą do porównań ilościowych.</w:t>
      </w:r>
    </w:p>
    <w:p>
      <w:r>
        <w:rPr>
          <w:b/>
        </w:rPr>
        <w:t xml:space="preserve">Label-free: </w:t>
      </w:r>
      <w:r>
        <w:t>W podejściu bez znakowania porównuje się intensywności pików lub liczbę widm/peptydów między oddzielnymi analizami. Metoda jest elastyczna i tańsza, ale bardziej podatna na zmienność między pomiarami.</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Względna</w:t>
            </w:r>
          </w:p>
        </w:tc>
        <w:tc>
          <w:tcPr>
            <w:tcW w:type="dxa" w:w="5100"/>
            <w:vAlign w:val="center"/>
          </w:tcPr>
          <w:p>
            <w:pPr>
              <w:spacing w:after="0"/>
            </w:pPr>
            <w:r/>
            <w:r>
              <w:rPr>
                <w:b w:val="0"/>
                <w:sz w:val="18"/>
              </w:rPr>
              <w:t>Porównuje próbki lub warunki.</w:t>
            </w:r>
          </w:p>
        </w:tc>
      </w:tr>
      <w:tr>
        <w:tc>
          <w:tcPr>
            <w:tcW w:type="dxa" w:w="5100"/>
            <w:vAlign w:val="center"/>
          </w:tcPr>
          <w:p>
            <w:pPr>
              <w:spacing w:after="0"/>
            </w:pPr>
            <w:r/>
            <w:r>
              <w:rPr>
                <w:b/>
                <w:sz w:val="18"/>
              </w:rPr>
              <w:t>Bezwzględna</w:t>
            </w:r>
          </w:p>
        </w:tc>
        <w:tc>
          <w:tcPr>
            <w:tcW w:type="dxa" w:w="5100"/>
            <w:vAlign w:val="center"/>
          </w:tcPr>
          <w:p>
            <w:pPr>
              <w:spacing w:after="0"/>
            </w:pPr>
            <w:r/>
            <w:r>
              <w:rPr>
                <w:b w:val="0"/>
                <w:sz w:val="18"/>
              </w:rPr>
              <w:t>Daje ilość w jednostkach dzięki standardowi.</w:t>
            </w:r>
          </w:p>
        </w:tc>
      </w:tr>
      <w:tr>
        <w:tc>
          <w:tcPr>
            <w:tcW w:type="dxa" w:w="5100"/>
            <w:vAlign w:val="center"/>
          </w:tcPr>
          <w:p>
            <w:pPr>
              <w:spacing w:after="0"/>
            </w:pPr>
            <w:r/>
            <w:r>
              <w:rPr>
                <w:b/>
                <w:sz w:val="18"/>
              </w:rPr>
              <w:t>Label-based</w:t>
            </w:r>
          </w:p>
        </w:tc>
        <w:tc>
          <w:tcPr>
            <w:tcW w:type="dxa" w:w="5100"/>
            <w:vAlign w:val="center"/>
          </w:tcPr>
          <w:p>
            <w:pPr>
              <w:spacing w:after="0"/>
            </w:pPr>
            <w:r/>
            <w:r>
              <w:rPr>
                <w:b w:val="0"/>
                <w:sz w:val="18"/>
              </w:rPr>
              <w:t>Próbki rozróżniane znacznikiem.</w:t>
            </w:r>
          </w:p>
        </w:tc>
      </w:tr>
      <w:tr>
        <w:tc>
          <w:tcPr>
            <w:tcW w:type="dxa" w:w="5100"/>
            <w:vAlign w:val="center"/>
          </w:tcPr>
          <w:p>
            <w:pPr>
              <w:spacing w:after="0"/>
            </w:pPr>
            <w:r/>
            <w:r>
              <w:rPr>
                <w:b/>
                <w:sz w:val="18"/>
              </w:rPr>
              <w:t>Label-free</w:t>
            </w:r>
          </w:p>
        </w:tc>
        <w:tc>
          <w:tcPr>
            <w:tcW w:type="dxa" w:w="5100"/>
            <w:vAlign w:val="center"/>
          </w:tcPr>
          <w:p>
            <w:pPr>
              <w:spacing w:after="0"/>
            </w:pPr>
            <w:r/>
            <w:r>
              <w:rPr>
                <w:b w:val="0"/>
                <w:sz w:val="18"/>
              </w:rPr>
              <w:t>Oddzielne przebiegi porównywane obliczeniowo.</w:t>
            </w:r>
          </w:p>
        </w:tc>
      </w:tr>
      <w:tr>
        <w:tc>
          <w:tcPr>
            <w:tcW w:type="dxa" w:w="5100"/>
            <w:vAlign w:val="center"/>
          </w:tcPr>
          <w:p>
            <w:pPr>
              <w:spacing w:after="0"/>
            </w:pPr>
            <w:r/>
            <w:r>
              <w:rPr>
                <w:b/>
                <w:sz w:val="18"/>
              </w:rPr>
              <w:t>Multipleksowanie</w:t>
            </w:r>
          </w:p>
        </w:tc>
        <w:tc>
          <w:tcPr>
            <w:tcW w:type="dxa" w:w="5100"/>
            <w:vAlign w:val="center"/>
          </w:tcPr>
          <w:p>
            <w:pPr>
              <w:spacing w:after="0"/>
            </w:pPr>
            <w:r/>
            <w:r>
              <w:rPr>
                <w:b w:val="0"/>
                <w:sz w:val="18"/>
              </w:rPr>
              <w:t>Jednoczesna analiza wielu próbek w jednym eksperymencie.</w:t>
            </w:r>
          </w:p>
        </w:tc>
      </w:tr>
    </w:tbl>
    <w:p/>
    <w:p>
      <w:pPr>
        <w:pStyle w:val="Zapamiętaj"/>
      </w:pPr>
      <w:r>
        <w:t>Pułapka: Większy sygnał nie zawsze oznacza biologicznie istotną zmianę - potrzebne są normalizacja i statystyka.</w:t>
      </w:r>
    </w:p>
    <w:p>
      <w:pPr>
        <w:pStyle w:val="Heading1"/>
      </w:pPr>
      <w:r>
        <w:t>6. Modyfikacje potranslacyjne (PTM)</w:t>
      </w:r>
    </w:p>
    <w:p>
      <w:r>
        <w:rPr>
          <w:b/>
        </w:rPr>
        <w:t xml:space="preserve">Znaczenie PTM: </w:t>
      </w:r>
      <w:r>
        <w:t>PTM zachodzą po translacji i zwiększają różnorodność funkcjonalną proteomu. Regulują sygnalizację, cykl komórkowy, odpowiedź immunologiczną i procesy chorobowe.</w:t>
      </w:r>
    </w:p>
    <w:p>
      <w:r>
        <w:rPr>
          <w:b/>
        </w:rPr>
        <w:t xml:space="preserve">Przykłady: </w:t>
      </w:r>
      <w:r>
        <w:t>Podręcznik wymienia fosforylację, acetylację, ubikwitynację, metylację, glikozylację, nitrozylację, sumoilację, cięcia proteolityczne i mostki disiarczkowe.</w:t>
      </w:r>
    </w:p>
    <w:p>
      <w:r>
        <w:rPr>
          <w:b/>
        </w:rPr>
        <w:t xml:space="preserve">Trudności: </w:t>
      </w:r>
      <w:r>
        <w:t>PTM mogą być substechiometryczne, przejściowe i niestabilne. Zmiana masy bywa niewielka, a lokalizacja na konkretnym aminokwasie wymaga wysokiej rozdzielczości i odpowiedniej fragmentacji.</w:t>
      </w:r>
    </w:p>
    <w:p>
      <w:r>
        <w:rPr>
          <w:b/>
        </w:rPr>
        <w:t xml:space="preserve">Workflow eksperymentalny: </w:t>
      </w:r>
      <w:r>
        <w:t>Obejmuje wzbogacenie zmodyfikowanych peptydów lub białek, trawienie, MS/MS i dobór fragmentacji, np. ETD lub HCD.</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Fosforylacja</w:t>
            </w:r>
          </w:p>
        </w:tc>
        <w:tc>
          <w:tcPr>
            <w:tcW w:type="dxa" w:w="5100"/>
            <w:vAlign w:val="center"/>
          </w:tcPr>
          <w:p>
            <w:pPr>
              <w:spacing w:after="0"/>
            </w:pPr>
            <w:r/>
            <w:r>
              <w:rPr>
                <w:b w:val="0"/>
                <w:sz w:val="18"/>
              </w:rPr>
              <w:t>Często dynamiczna regulacja sygnalizacji.</w:t>
            </w:r>
          </w:p>
        </w:tc>
      </w:tr>
      <w:tr>
        <w:tc>
          <w:tcPr>
            <w:tcW w:type="dxa" w:w="5100"/>
            <w:vAlign w:val="center"/>
          </w:tcPr>
          <w:p>
            <w:pPr>
              <w:spacing w:after="0"/>
            </w:pPr>
            <w:r/>
            <w:r>
              <w:rPr>
                <w:b/>
                <w:sz w:val="18"/>
              </w:rPr>
              <w:t>Acetylacja</w:t>
            </w:r>
          </w:p>
        </w:tc>
        <w:tc>
          <w:tcPr>
            <w:tcW w:type="dxa" w:w="5100"/>
            <w:vAlign w:val="center"/>
          </w:tcPr>
          <w:p>
            <w:pPr>
              <w:spacing w:after="0"/>
            </w:pPr>
            <w:r/>
            <w:r>
              <w:rPr>
                <w:b w:val="0"/>
                <w:sz w:val="18"/>
              </w:rPr>
              <w:t>Może wpływać na aktywność, chromatynę i interakcje.</w:t>
            </w:r>
          </w:p>
        </w:tc>
      </w:tr>
      <w:tr>
        <w:tc>
          <w:tcPr>
            <w:tcW w:type="dxa" w:w="5100"/>
            <w:vAlign w:val="center"/>
          </w:tcPr>
          <w:p>
            <w:pPr>
              <w:spacing w:after="0"/>
            </w:pPr>
            <w:r/>
            <w:r>
              <w:rPr>
                <w:b/>
                <w:sz w:val="18"/>
              </w:rPr>
              <w:t>Ubikwitynacja</w:t>
            </w:r>
          </w:p>
        </w:tc>
        <w:tc>
          <w:tcPr>
            <w:tcW w:type="dxa" w:w="5100"/>
            <w:vAlign w:val="center"/>
          </w:tcPr>
          <w:p>
            <w:pPr>
              <w:spacing w:after="0"/>
            </w:pPr>
            <w:r/>
            <w:r>
              <w:rPr>
                <w:b w:val="0"/>
                <w:sz w:val="18"/>
              </w:rPr>
              <w:t>Może kierować białko do degradacji lub zmieniać sygnalizację.</w:t>
            </w:r>
          </w:p>
        </w:tc>
      </w:tr>
      <w:tr>
        <w:tc>
          <w:tcPr>
            <w:tcW w:type="dxa" w:w="5100"/>
            <w:vAlign w:val="center"/>
          </w:tcPr>
          <w:p>
            <w:pPr>
              <w:spacing w:after="0"/>
            </w:pPr>
            <w:r/>
            <w:r>
              <w:rPr>
                <w:b/>
                <w:sz w:val="18"/>
              </w:rPr>
              <w:t>Glikozylacja</w:t>
            </w:r>
          </w:p>
        </w:tc>
        <w:tc>
          <w:tcPr>
            <w:tcW w:type="dxa" w:w="5100"/>
            <w:vAlign w:val="center"/>
          </w:tcPr>
          <w:p>
            <w:pPr>
              <w:spacing w:after="0"/>
            </w:pPr>
            <w:r/>
            <w:r>
              <w:rPr>
                <w:b w:val="0"/>
                <w:sz w:val="18"/>
              </w:rPr>
              <w:t>Wpływa m.in. na białka sekrecyjne i błonowe.</w:t>
            </w:r>
          </w:p>
        </w:tc>
      </w:tr>
      <w:tr>
        <w:tc>
          <w:tcPr>
            <w:tcW w:type="dxa" w:w="5100"/>
            <w:vAlign w:val="center"/>
          </w:tcPr>
          <w:p>
            <w:pPr>
              <w:spacing w:after="0"/>
            </w:pPr>
            <w:r/>
            <w:r>
              <w:rPr>
                <w:b/>
                <w:sz w:val="18"/>
              </w:rPr>
              <w:t>Lokalizacja PTM</w:t>
            </w:r>
          </w:p>
        </w:tc>
        <w:tc>
          <w:tcPr>
            <w:tcW w:type="dxa" w:w="5100"/>
            <w:vAlign w:val="center"/>
          </w:tcPr>
          <w:p>
            <w:pPr>
              <w:spacing w:after="0"/>
            </w:pPr>
            <w:r/>
            <w:r>
              <w:rPr>
                <w:b w:val="0"/>
                <w:sz w:val="18"/>
              </w:rPr>
              <w:t>Przypisanie modyfikacji do konkretnej reszty aminokwasowej.</w:t>
            </w:r>
          </w:p>
        </w:tc>
      </w:tr>
    </w:tbl>
    <w:p/>
    <w:p>
      <w:pPr>
        <w:pStyle w:val="Zapamiętaj"/>
      </w:pPr>
      <w:r>
        <w:t>Pułapka: Wykrycie przesunięcia masy nie zawsze wystarcza do jednoznacznej lokalizacji PTM.</w:t>
      </w:r>
    </w:p>
    <w:p>
      <w:pPr>
        <w:pStyle w:val="Heading1"/>
      </w:pPr>
      <w:r>
        <w:t>7. Interakcje i sieci białkowe</w:t>
      </w:r>
    </w:p>
    <w:p>
      <w:r>
        <w:rPr>
          <w:b/>
        </w:rPr>
        <w:t xml:space="preserve">PPI: </w:t>
      </w:r>
      <w:r>
        <w:t>Funkcja, lokalizacja i stabilność białka zależą od interakcji z białkami, DNA, RNA, metabolitami i błonami. Proteomika bada zarówno pojedyncze pary, jak i całe sieci oddziaływań.</w:t>
      </w:r>
    </w:p>
    <w:p>
      <w:r>
        <w:rPr>
          <w:b/>
        </w:rPr>
        <w:t xml:space="preserve">Rodzaje interakcji: </w:t>
      </w:r>
      <w:r>
        <w:t>Interakcje mogą być trwałe lub przejściowe, specyficzne lub niespecyficzne, bezpośrednie lub pośrednie. Ich znaczenie zależy od kontekstu komórkowego.</w:t>
      </w:r>
    </w:p>
    <w:p>
      <w:r>
        <w:rPr>
          <w:b/>
        </w:rPr>
        <w:t xml:space="preserve">Metody eksperymentalne: </w:t>
      </w:r>
      <w:r>
        <w:t>Wymieniono m.in. yeast two-hybrid, koimmunoprecypitację, affinity purification-MS, proximity labeling, cross-linking MS i metody strukturalne.</w:t>
      </w:r>
    </w:p>
    <w:p>
      <w:r>
        <w:rPr>
          <w:b/>
        </w:rPr>
        <w:t xml:space="preserve">Sieć jako graf: </w:t>
      </w:r>
      <w:r>
        <w:t>Białka są węzłami, a interakcje krawędziami. Analiza obejmuje stopień węzła, centralność, huby, klastry/moduły i nadreprezentację funkcji.</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Węzeł</w:t>
            </w:r>
          </w:p>
        </w:tc>
        <w:tc>
          <w:tcPr>
            <w:tcW w:type="dxa" w:w="5100"/>
            <w:vAlign w:val="center"/>
          </w:tcPr>
          <w:p>
            <w:pPr>
              <w:spacing w:after="0"/>
            </w:pPr>
            <w:r/>
            <w:r>
              <w:rPr>
                <w:b w:val="0"/>
                <w:sz w:val="18"/>
              </w:rPr>
              <w:t>Białko lub inna cząsteczka.</w:t>
            </w:r>
          </w:p>
        </w:tc>
      </w:tr>
      <w:tr>
        <w:tc>
          <w:tcPr>
            <w:tcW w:type="dxa" w:w="5100"/>
            <w:vAlign w:val="center"/>
          </w:tcPr>
          <w:p>
            <w:pPr>
              <w:spacing w:after="0"/>
            </w:pPr>
            <w:r/>
            <w:r>
              <w:rPr>
                <w:b/>
                <w:sz w:val="18"/>
              </w:rPr>
              <w:t>Krawędź</w:t>
            </w:r>
          </w:p>
        </w:tc>
        <w:tc>
          <w:tcPr>
            <w:tcW w:type="dxa" w:w="5100"/>
            <w:vAlign w:val="center"/>
          </w:tcPr>
          <w:p>
            <w:pPr>
              <w:spacing w:after="0"/>
            </w:pPr>
            <w:r/>
            <w:r>
              <w:rPr>
                <w:b w:val="0"/>
                <w:sz w:val="18"/>
              </w:rPr>
              <w:t>Relacja/interakcja.</w:t>
            </w:r>
          </w:p>
        </w:tc>
      </w:tr>
      <w:tr>
        <w:tc>
          <w:tcPr>
            <w:tcW w:type="dxa" w:w="5100"/>
            <w:vAlign w:val="center"/>
          </w:tcPr>
          <w:p>
            <w:pPr>
              <w:spacing w:after="0"/>
            </w:pPr>
            <w:r/>
            <w:r>
              <w:rPr>
                <w:b/>
                <w:sz w:val="18"/>
              </w:rPr>
              <w:t>Hub</w:t>
            </w:r>
          </w:p>
        </w:tc>
        <w:tc>
          <w:tcPr>
            <w:tcW w:type="dxa" w:w="5100"/>
            <w:vAlign w:val="center"/>
          </w:tcPr>
          <w:p>
            <w:pPr>
              <w:spacing w:after="0"/>
            </w:pPr>
            <w:r/>
            <w:r>
              <w:rPr>
                <w:b w:val="0"/>
                <w:sz w:val="18"/>
              </w:rPr>
              <w:t>Węzeł o wielu połączeniach.</w:t>
            </w:r>
          </w:p>
        </w:tc>
      </w:tr>
      <w:tr>
        <w:tc>
          <w:tcPr>
            <w:tcW w:type="dxa" w:w="5100"/>
            <w:vAlign w:val="center"/>
          </w:tcPr>
          <w:p>
            <w:pPr>
              <w:spacing w:after="0"/>
            </w:pPr>
            <w:r/>
            <w:r>
              <w:rPr>
                <w:b/>
                <w:sz w:val="18"/>
              </w:rPr>
              <w:t>Moduł/klaster</w:t>
            </w:r>
          </w:p>
        </w:tc>
        <w:tc>
          <w:tcPr>
            <w:tcW w:type="dxa" w:w="5100"/>
            <w:vAlign w:val="center"/>
          </w:tcPr>
          <w:p>
            <w:pPr>
              <w:spacing w:after="0"/>
            </w:pPr>
            <w:r/>
            <w:r>
              <w:rPr>
                <w:b w:val="0"/>
                <w:sz w:val="18"/>
              </w:rPr>
              <w:t>Gęsto połączona grupa elementów.</w:t>
            </w:r>
          </w:p>
        </w:tc>
      </w:tr>
      <w:tr>
        <w:tc>
          <w:tcPr>
            <w:tcW w:type="dxa" w:w="5100"/>
            <w:vAlign w:val="center"/>
          </w:tcPr>
          <w:p>
            <w:pPr>
              <w:spacing w:after="0"/>
            </w:pPr>
            <w:r/>
            <w:r>
              <w:rPr>
                <w:b/>
                <w:sz w:val="18"/>
              </w:rPr>
              <w:t>Centralność</w:t>
            </w:r>
          </w:p>
        </w:tc>
        <w:tc>
          <w:tcPr>
            <w:tcW w:type="dxa" w:w="5100"/>
            <w:vAlign w:val="center"/>
          </w:tcPr>
          <w:p>
            <w:pPr>
              <w:spacing w:after="0"/>
            </w:pPr>
            <w:r/>
            <w:r>
              <w:rPr>
                <w:b w:val="0"/>
                <w:sz w:val="18"/>
              </w:rPr>
              <w:t>Miara znaczenia położenia w sieci.</w:t>
            </w:r>
          </w:p>
        </w:tc>
      </w:tr>
    </w:tbl>
    <w:p/>
    <w:p>
      <w:pPr>
        <w:pStyle w:val="Zapamiętaj"/>
      </w:pPr>
      <w:r>
        <w:t>Pułapka: Krawędź w bazie nie zawsze oznacza bezpośredni kontakt fizyczny.</w:t>
      </w:r>
    </w:p>
    <w:p>
      <w:pPr>
        <w:pStyle w:val="Heading1"/>
      </w:pPr>
      <w:r>
        <w:t>8. Struktura białek: eksperyment i predykcja</w:t>
      </w:r>
    </w:p>
    <w:p>
      <w:r>
        <w:rPr>
          <w:b/>
        </w:rPr>
        <w:t xml:space="preserve">Struktura a funkcja: </w:t>
      </w:r>
      <w:r>
        <w:t>Przestrzenne ułożenie atomów warunkuje aktywność, wiązanie ligandów, interakcje i stabilność. Bioinformatyka strukturalna analizuje głównie poziom trzeciorzędowy i czwartorzędowy.</w:t>
      </w:r>
    </w:p>
    <w:p>
      <w:r>
        <w:rPr>
          <w:b/>
        </w:rPr>
        <w:t xml:space="preserve">Krystalografia rentgenowska: </w:t>
      </w:r>
      <w:r>
        <w:t>Daje struktury o wysokiej rozdzielczości, ale wymaga kryształów i może nie odzwierciedlać pełnej dynamiki białka.</w:t>
      </w:r>
    </w:p>
    <w:p>
      <w:r>
        <w:rPr>
          <w:b/>
        </w:rPr>
        <w:t xml:space="preserve">NMR: </w:t>
      </w:r>
      <w:r>
        <w:t>Pozwala analizować białka w roztworze i dynamikę, lecz jest ograniczony rozmiarem i złożonością próbki.</w:t>
      </w:r>
    </w:p>
    <w:p>
      <w:r>
        <w:rPr>
          <w:b/>
        </w:rPr>
        <w:t xml:space="preserve">Cryo-EM: </w:t>
      </w:r>
      <w:r>
        <w:t>Szczególnie przydatny dla dużych kompleksów i białek błonowych. Wynikiem jest mapa gęstości, do której dopasowuje się model atomowy.</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Rozdzielczość</w:t>
            </w:r>
          </w:p>
        </w:tc>
        <w:tc>
          <w:tcPr>
            <w:tcW w:type="dxa" w:w="5100"/>
            <w:vAlign w:val="center"/>
          </w:tcPr>
          <w:p>
            <w:pPr>
              <w:spacing w:after="0"/>
            </w:pPr>
            <w:r/>
            <w:r>
              <w:rPr>
                <w:b w:val="0"/>
                <w:sz w:val="18"/>
              </w:rPr>
              <w:t>Poziom szczegółowości danych eksperymentalnych.</w:t>
            </w:r>
          </w:p>
        </w:tc>
      </w:tr>
      <w:tr>
        <w:tc>
          <w:tcPr>
            <w:tcW w:type="dxa" w:w="5100"/>
            <w:vAlign w:val="center"/>
          </w:tcPr>
          <w:p>
            <w:pPr>
              <w:spacing w:after="0"/>
            </w:pPr>
            <w:r/>
            <w:r>
              <w:rPr>
                <w:b/>
                <w:sz w:val="18"/>
              </w:rPr>
              <w:t>pLDDT</w:t>
            </w:r>
          </w:p>
        </w:tc>
        <w:tc>
          <w:tcPr>
            <w:tcW w:type="dxa" w:w="5100"/>
            <w:vAlign w:val="center"/>
          </w:tcPr>
          <w:p>
            <w:pPr>
              <w:spacing w:after="0"/>
            </w:pPr>
            <w:r/>
            <w:r>
              <w:rPr>
                <w:b w:val="0"/>
                <w:sz w:val="18"/>
              </w:rPr>
              <w:t>Lokalna miara ufności modelu AlphaFold.</w:t>
            </w:r>
          </w:p>
        </w:tc>
      </w:tr>
      <w:tr>
        <w:tc>
          <w:tcPr>
            <w:tcW w:type="dxa" w:w="5100"/>
            <w:vAlign w:val="center"/>
          </w:tcPr>
          <w:p>
            <w:pPr>
              <w:spacing w:after="0"/>
            </w:pPr>
            <w:r/>
            <w:r>
              <w:rPr>
                <w:b/>
                <w:sz w:val="18"/>
              </w:rPr>
              <w:t>PAE</w:t>
            </w:r>
          </w:p>
        </w:tc>
        <w:tc>
          <w:tcPr>
            <w:tcW w:type="dxa" w:w="5100"/>
            <w:vAlign w:val="center"/>
          </w:tcPr>
          <w:p>
            <w:pPr>
              <w:spacing w:after="0"/>
            </w:pPr>
            <w:r/>
            <w:r>
              <w:rPr>
                <w:b w:val="0"/>
                <w:sz w:val="18"/>
              </w:rPr>
              <w:t>Niepewność wzajemnego położenia regionów/domen.</w:t>
            </w:r>
          </w:p>
        </w:tc>
      </w:tr>
      <w:tr>
        <w:tc>
          <w:tcPr>
            <w:tcW w:type="dxa" w:w="5100"/>
            <w:vAlign w:val="center"/>
          </w:tcPr>
          <w:p>
            <w:pPr>
              <w:spacing w:after="0"/>
            </w:pPr>
            <w:r/>
            <w:r>
              <w:rPr>
                <w:b/>
                <w:sz w:val="18"/>
              </w:rPr>
              <w:t>RMSD</w:t>
            </w:r>
          </w:p>
        </w:tc>
        <w:tc>
          <w:tcPr>
            <w:tcW w:type="dxa" w:w="5100"/>
            <w:vAlign w:val="center"/>
          </w:tcPr>
          <w:p>
            <w:pPr>
              <w:spacing w:after="0"/>
            </w:pPr>
            <w:r/>
            <w:r>
              <w:rPr>
                <w:b w:val="0"/>
                <w:sz w:val="18"/>
              </w:rPr>
              <w:t>Miara różnicy po nałożeniu struktur.</w:t>
            </w:r>
          </w:p>
        </w:tc>
      </w:tr>
      <w:tr>
        <w:tc>
          <w:tcPr>
            <w:tcW w:type="dxa" w:w="5100"/>
            <w:vAlign w:val="center"/>
          </w:tcPr>
          <w:p>
            <w:pPr>
              <w:spacing w:after="0"/>
            </w:pPr>
            <w:r/>
            <w:r>
              <w:rPr>
                <w:b/>
                <w:sz w:val="18"/>
              </w:rPr>
              <w:t>Ligand</w:t>
            </w:r>
          </w:p>
        </w:tc>
        <w:tc>
          <w:tcPr>
            <w:tcW w:type="dxa" w:w="5100"/>
            <w:vAlign w:val="center"/>
          </w:tcPr>
          <w:p>
            <w:pPr>
              <w:spacing w:after="0"/>
            </w:pPr>
            <w:r/>
            <w:r>
              <w:rPr>
                <w:b w:val="0"/>
                <w:sz w:val="18"/>
              </w:rPr>
              <w:t>Cząsteczka związana z białkiem.</w:t>
            </w:r>
          </w:p>
        </w:tc>
      </w:tr>
    </w:tbl>
    <w:p/>
    <w:p>
      <w:pPr>
        <w:pStyle w:val="Zapamiętaj"/>
      </w:pPr>
      <w:r>
        <w:t>Pułapka: Wysoki pLDDT lokalny nie gwarantuje poprawnej orientacji domen.</w:t>
      </w:r>
    </w:p>
    <w:p>
      <w:pPr>
        <w:pStyle w:val="Heading1"/>
      </w:pPr>
      <w:r>
        <w:t>9. Uczenie maszynowe w proteomice</w:t>
      </w:r>
    </w:p>
    <w:p>
      <w:r>
        <w:rPr>
          <w:b/>
        </w:rPr>
        <w:t xml:space="preserve">Dlaczego ML: </w:t>
      </w:r>
      <w:r>
        <w:t>Dane proteomiczne są duże, złożone i wielowymiarowe. ML automatyzuje wykrywanie wzorców i predykcję na podstawie danych uczących.</w:t>
      </w:r>
    </w:p>
    <w:p>
      <w:r>
        <w:rPr>
          <w:b/>
        </w:rPr>
        <w:t xml:space="preserve">Uczenie nadzorowane: </w:t>
      </w:r>
      <w:r>
        <w:t>Model uczy się na przykładach z etykietami. Zastosowania obejmują klasyfikację funkcji, lokalizacji, interakcji i stanów chorobowych.</w:t>
      </w:r>
    </w:p>
    <w:p>
      <w:r>
        <w:rPr>
          <w:b/>
        </w:rPr>
        <w:t xml:space="preserve">Uczenie nienadzorowane: </w:t>
      </w:r>
      <w:r>
        <w:t>Bez gotowych etykiet odkrywa grupy i strukturę danych, np. klastry profili ekspresji lub białek o podobnych cechach.</w:t>
      </w:r>
    </w:p>
    <w:p>
      <w:r>
        <w:rPr>
          <w:b/>
        </w:rPr>
        <w:t xml:space="preserve">Deep learning: </w:t>
      </w:r>
      <w:r>
        <w:t>Sieci neuronowe uczą się złożonych reprezentacji sekwencji i struktur. Podręcznik przywołuje AlphaFold, PIPR i DeepGO jako przykłady.</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Cecha</w:t>
            </w:r>
          </w:p>
        </w:tc>
        <w:tc>
          <w:tcPr>
            <w:tcW w:type="dxa" w:w="5100"/>
            <w:vAlign w:val="center"/>
          </w:tcPr>
          <w:p>
            <w:pPr>
              <w:spacing w:after="0"/>
            </w:pPr>
            <w:r/>
            <w:r>
              <w:rPr>
                <w:b w:val="0"/>
                <w:sz w:val="18"/>
              </w:rPr>
              <w:t>Zmienna wejściowa opisująca obiekt.</w:t>
            </w:r>
          </w:p>
        </w:tc>
      </w:tr>
      <w:tr>
        <w:tc>
          <w:tcPr>
            <w:tcW w:type="dxa" w:w="5100"/>
            <w:vAlign w:val="center"/>
          </w:tcPr>
          <w:p>
            <w:pPr>
              <w:spacing w:after="0"/>
            </w:pPr>
            <w:r/>
            <w:r>
              <w:rPr>
                <w:b/>
                <w:sz w:val="18"/>
              </w:rPr>
              <w:t>Etykieta</w:t>
            </w:r>
          </w:p>
        </w:tc>
        <w:tc>
          <w:tcPr>
            <w:tcW w:type="dxa" w:w="5100"/>
            <w:vAlign w:val="center"/>
          </w:tcPr>
          <w:p>
            <w:pPr>
              <w:spacing w:after="0"/>
            </w:pPr>
            <w:r/>
            <w:r>
              <w:rPr>
                <w:b w:val="0"/>
                <w:sz w:val="18"/>
              </w:rPr>
              <w:t>Znany wynik używany w uczeniu nadzorowanym.</w:t>
            </w:r>
          </w:p>
        </w:tc>
      </w:tr>
      <w:tr>
        <w:tc>
          <w:tcPr>
            <w:tcW w:type="dxa" w:w="5100"/>
            <w:vAlign w:val="center"/>
          </w:tcPr>
          <w:p>
            <w:pPr>
              <w:spacing w:after="0"/>
            </w:pPr>
            <w:r/>
            <w:r>
              <w:rPr>
                <w:b/>
                <w:sz w:val="18"/>
              </w:rPr>
              <w:t>Trening/walidacja/test</w:t>
            </w:r>
          </w:p>
        </w:tc>
        <w:tc>
          <w:tcPr>
            <w:tcW w:type="dxa" w:w="5100"/>
            <w:vAlign w:val="center"/>
          </w:tcPr>
          <w:p>
            <w:pPr>
              <w:spacing w:after="0"/>
            </w:pPr>
            <w:r/>
            <w:r>
              <w:rPr>
                <w:b w:val="0"/>
                <w:sz w:val="18"/>
              </w:rPr>
              <w:t>Rozdzielenie danych do uczenia, strojenia i oceny.</w:t>
            </w:r>
          </w:p>
        </w:tc>
      </w:tr>
      <w:tr>
        <w:tc>
          <w:tcPr>
            <w:tcW w:type="dxa" w:w="5100"/>
            <w:vAlign w:val="center"/>
          </w:tcPr>
          <w:p>
            <w:pPr>
              <w:spacing w:after="0"/>
            </w:pPr>
            <w:r/>
            <w:r>
              <w:rPr>
                <w:b/>
                <w:sz w:val="18"/>
              </w:rPr>
              <w:t>Overfitting</w:t>
            </w:r>
          </w:p>
        </w:tc>
        <w:tc>
          <w:tcPr>
            <w:tcW w:type="dxa" w:w="5100"/>
            <w:vAlign w:val="center"/>
          </w:tcPr>
          <w:p>
            <w:pPr>
              <w:spacing w:after="0"/>
            </w:pPr>
            <w:r/>
            <w:r>
              <w:rPr>
                <w:b w:val="0"/>
                <w:sz w:val="18"/>
              </w:rPr>
              <w:t>Dobre dopasowanie do treningu, słaba generalizacja.</w:t>
            </w:r>
          </w:p>
        </w:tc>
      </w:tr>
      <w:tr>
        <w:tc>
          <w:tcPr>
            <w:tcW w:type="dxa" w:w="5100"/>
            <w:vAlign w:val="center"/>
          </w:tcPr>
          <w:p>
            <w:pPr>
              <w:spacing w:after="0"/>
            </w:pPr>
            <w:r/>
            <w:r>
              <w:rPr>
                <w:b/>
                <w:sz w:val="18"/>
              </w:rPr>
              <w:t>Predykcja</w:t>
            </w:r>
          </w:p>
        </w:tc>
        <w:tc>
          <w:tcPr>
            <w:tcW w:type="dxa" w:w="5100"/>
            <w:vAlign w:val="center"/>
          </w:tcPr>
          <w:p>
            <w:pPr>
              <w:spacing w:after="0"/>
            </w:pPr>
            <w:r/>
            <w:r>
              <w:rPr>
                <w:b w:val="0"/>
                <w:sz w:val="18"/>
              </w:rPr>
              <w:t>Wynik modelu wymagający oceny ufności i walidacji.</w:t>
            </w:r>
          </w:p>
        </w:tc>
      </w:tr>
    </w:tbl>
    <w:p/>
    <w:p>
      <w:pPr>
        <w:pStyle w:val="Zapamiętaj"/>
      </w:pPr>
      <w:r>
        <w:t>Pułapka: Predykcja ML nie jest dowodem eksperymentalnym.</w:t>
      </w:r>
    </w:p>
    <w:p>
      <w:pPr>
        <w:pStyle w:val="Heading1"/>
      </w:pPr>
      <w:r>
        <w:t>10. Wizualizacja danych proteomicznych</w:t>
      </w:r>
    </w:p>
    <w:p>
      <w:r>
        <w:rPr>
          <w:b/>
        </w:rPr>
        <w:t xml:space="preserve">Rola wizualizacji: </w:t>
      </w:r>
      <w:r>
        <w:t>Wizualizacja upraszcza interpretację tysięcy pomiarów, ujawnia wzorce, anomalie, grupowanie i zależności między próbkami lub białkami.</w:t>
      </w:r>
    </w:p>
    <w:p>
      <w:r>
        <w:rPr>
          <w:b/>
        </w:rPr>
        <w:t xml:space="preserve">Barplot i boxplot: </w:t>
      </w:r>
      <w:r>
        <w:t>Barplot pokazuje porównanie wartości, a boxplot rozkład, medianę i obserwacje odstające.</w:t>
      </w:r>
    </w:p>
    <w:p>
      <w:r>
        <w:rPr>
          <w:b/>
        </w:rPr>
        <w:t xml:space="preserve">Scatter i MA plot: </w:t>
      </w:r>
      <w:r>
        <w:t>Scatter pokazuje zależność dwóch zmiennych. MA plot przedstawia różnicę logarytmiczną względem średniego sygnału.</w:t>
      </w:r>
    </w:p>
    <w:p>
      <w:r>
        <w:rPr>
          <w:b/>
        </w:rPr>
        <w:t xml:space="preserve">Volcano plot: </w:t>
      </w:r>
      <w:r>
        <w:t>Łączy wielkość zmiany, zwykle log2 fold change, z istotnością statystyczną. Pomaga wskazać białka silnie i istotnie zmienione.</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log2FC</w:t>
            </w:r>
          </w:p>
        </w:tc>
        <w:tc>
          <w:tcPr>
            <w:tcW w:type="dxa" w:w="5100"/>
            <w:vAlign w:val="center"/>
          </w:tcPr>
          <w:p>
            <w:pPr>
              <w:spacing w:after="0"/>
            </w:pPr>
            <w:r/>
            <w:r>
              <w:rPr>
                <w:b w:val="0"/>
                <w:sz w:val="18"/>
              </w:rPr>
              <w:t>Wielkość względnej zmiany na skali log2.</w:t>
            </w:r>
          </w:p>
        </w:tc>
      </w:tr>
      <w:tr>
        <w:tc>
          <w:tcPr>
            <w:tcW w:type="dxa" w:w="5100"/>
            <w:vAlign w:val="center"/>
          </w:tcPr>
          <w:p>
            <w:pPr>
              <w:spacing w:after="0"/>
            </w:pPr>
            <w:r/>
            <w:r>
              <w:rPr>
                <w:b/>
                <w:sz w:val="18"/>
              </w:rPr>
              <w:t>p-value/FDR</w:t>
            </w:r>
          </w:p>
        </w:tc>
        <w:tc>
          <w:tcPr>
            <w:tcW w:type="dxa" w:w="5100"/>
            <w:vAlign w:val="center"/>
          </w:tcPr>
          <w:p>
            <w:pPr>
              <w:spacing w:after="0"/>
            </w:pPr>
            <w:r/>
            <w:r>
              <w:rPr>
                <w:b w:val="0"/>
                <w:sz w:val="18"/>
              </w:rPr>
              <w:t>Miara istotności i korekta wielokrotnych testów.</w:t>
            </w:r>
          </w:p>
        </w:tc>
      </w:tr>
      <w:tr>
        <w:tc>
          <w:tcPr>
            <w:tcW w:type="dxa" w:w="5100"/>
            <w:vAlign w:val="center"/>
          </w:tcPr>
          <w:p>
            <w:pPr>
              <w:spacing w:after="0"/>
            </w:pPr>
            <w:r/>
            <w:r>
              <w:rPr>
                <w:b/>
                <w:sz w:val="18"/>
              </w:rPr>
              <w:t>PCA</w:t>
            </w:r>
          </w:p>
        </w:tc>
        <w:tc>
          <w:tcPr>
            <w:tcW w:type="dxa" w:w="5100"/>
            <w:vAlign w:val="center"/>
          </w:tcPr>
          <w:p>
            <w:pPr>
              <w:spacing w:after="0"/>
            </w:pPr>
            <w:r/>
            <w:r>
              <w:rPr>
                <w:b w:val="0"/>
                <w:sz w:val="18"/>
              </w:rPr>
              <w:t>Redukcja wymiarów i wizualizacja zmienności.</w:t>
            </w:r>
          </w:p>
        </w:tc>
      </w:tr>
      <w:tr>
        <w:tc>
          <w:tcPr>
            <w:tcW w:type="dxa" w:w="5100"/>
            <w:vAlign w:val="center"/>
          </w:tcPr>
          <w:p>
            <w:pPr>
              <w:spacing w:after="0"/>
            </w:pPr>
            <w:r/>
            <w:r>
              <w:rPr>
                <w:b/>
                <w:sz w:val="18"/>
              </w:rPr>
              <w:t>Clustering</w:t>
            </w:r>
          </w:p>
        </w:tc>
        <w:tc>
          <w:tcPr>
            <w:tcW w:type="dxa" w:w="5100"/>
            <w:vAlign w:val="center"/>
          </w:tcPr>
          <w:p>
            <w:pPr>
              <w:spacing w:after="0"/>
            </w:pPr>
            <w:r/>
            <w:r>
              <w:rPr>
                <w:b w:val="0"/>
                <w:sz w:val="18"/>
              </w:rPr>
              <w:t>Grupowanie podobnych próbek lub białek.</w:t>
            </w:r>
          </w:p>
        </w:tc>
      </w:tr>
      <w:tr>
        <w:tc>
          <w:tcPr>
            <w:tcW w:type="dxa" w:w="5100"/>
            <w:vAlign w:val="center"/>
          </w:tcPr>
          <w:p>
            <w:pPr>
              <w:spacing w:after="0"/>
            </w:pPr>
            <w:r/>
            <w:r>
              <w:rPr>
                <w:b/>
                <w:sz w:val="18"/>
              </w:rPr>
              <w:t>MSA</w:t>
            </w:r>
          </w:p>
        </w:tc>
        <w:tc>
          <w:tcPr>
            <w:tcW w:type="dxa" w:w="5100"/>
            <w:vAlign w:val="center"/>
          </w:tcPr>
          <w:p>
            <w:pPr>
              <w:spacing w:after="0"/>
            </w:pPr>
            <w:r/>
            <w:r>
              <w:rPr>
                <w:b w:val="0"/>
                <w:sz w:val="18"/>
              </w:rPr>
              <w:t>Dopasowanie wielu sekwencji homologicznych.</w:t>
            </w:r>
          </w:p>
        </w:tc>
      </w:tr>
    </w:tbl>
    <w:p/>
    <w:p>
      <w:pPr>
        <w:pStyle w:val="Zapamiętaj"/>
      </w:pPr>
      <w:r>
        <w:t>Pułapka: Volcano plot bez progów i informacji o korekcie wielokrotnych testów może być mylący.</w:t>
      </w:r>
    </w:p>
    <w:p>
      <w:pPr>
        <w:pStyle w:val="Heading1"/>
      </w:pPr>
      <w:r>
        <w:t>11. Integracja proteomiki z NGS</w:t>
      </w:r>
    </w:p>
    <w:p>
      <w:r>
        <w:rPr>
          <w:b/>
        </w:rPr>
        <w:t xml:space="preserve">Biologia systemów: </w:t>
      </w:r>
      <w:r>
        <w:t>Integracja łączy dane genomowe, transkryptomiczne, proteomiczne i inne omiki, aby uzyskać pełniejszy obraz regulacji komórkowej.</w:t>
      </w:r>
    </w:p>
    <w:p>
      <w:r>
        <w:rPr>
          <w:b/>
        </w:rPr>
        <w:t xml:space="preserve">RNA a białko: </w:t>
      </w:r>
      <w:r>
        <w:t>RNA-Seq mierzy transkrypty, a proteomika produkty białkowe, PTM i lokalizację. Korelacja jest często umiarkowana, ponieważ translacja, degradacja i stabilność białek podlegają dodatkowej regulacji.</w:t>
      </w:r>
    </w:p>
    <w:p>
      <w:r>
        <w:rPr>
          <w:b/>
        </w:rPr>
        <w:t xml:space="preserve">Warianty i izoformy: </w:t>
      </w:r>
      <w:r>
        <w:t>RNA-Seq ujawnia alternatywny splicing i mutacje, a proteomika może próbować potwierdzać odpowiednie peptydy wariantowe lub izoformy.</w:t>
      </w:r>
    </w:p>
    <w:p>
      <w:r>
        <w:rPr>
          <w:b/>
        </w:rPr>
        <w:t xml:space="preserve">Proteogenomika: </w:t>
      </w:r>
      <w:r>
        <w:t>Buduje spersonalizowane bazy sekwencji na podstawie danych NGS, a następnie wykorzystuje je do przeszukiwania widm MS.</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RNA-Seq</w:t>
            </w:r>
          </w:p>
        </w:tc>
        <w:tc>
          <w:tcPr>
            <w:tcW w:type="dxa" w:w="5100"/>
            <w:vAlign w:val="center"/>
          </w:tcPr>
          <w:p>
            <w:pPr>
              <w:spacing w:after="0"/>
            </w:pPr>
            <w:r/>
            <w:r>
              <w:rPr>
                <w:b w:val="0"/>
                <w:sz w:val="18"/>
              </w:rPr>
              <w:t>Pomiar i charakterystyka transkryptów.</w:t>
            </w:r>
          </w:p>
        </w:tc>
      </w:tr>
      <w:tr>
        <w:tc>
          <w:tcPr>
            <w:tcW w:type="dxa" w:w="5100"/>
            <w:vAlign w:val="center"/>
          </w:tcPr>
          <w:p>
            <w:pPr>
              <w:spacing w:after="0"/>
            </w:pPr>
            <w:r/>
            <w:r>
              <w:rPr>
                <w:b/>
                <w:sz w:val="18"/>
              </w:rPr>
              <w:t>Proteogenomika</w:t>
            </w:r>
          </w:p>
        </w:tc>
        <w:tc>
          <w:tcPr>
            <w:tcW w:type="dxa" w:w="5100"/>
            <w:vAlign w:val="center"/>
          </w:tcPr>
          <w:p>
            <w:pPr>
              <w:spacing w:after="0"/>
            </w:pPr>
            <w:r/>
            <w:r>
              <w:rPr>
                <w:b w:val="0"/>
                <w:sz w:val="18"/>
              </w:rPr>
              <w:t>Wykorzystanie genomu/transkryptomu do interpretacji danych MS.</w:t>
            </w:r>
          </w:p>
        </w:tc>
      </w:tr>
      <w:tr>
        <w:tc>
          <w:tcPr>
            <w:tcW w:type="dxa" w:w="5100"/>
            <w:vAlign w:val="center"/>
          </w:tcPr>
          <w:p>
            <w:pPr>
              <w:spacing w:after="0"/>
            </w:pPr>
            <w:r/>
            <w:r>
              <w:rPr>
                <w:b/>
                <w:sz w:val="18"/>
              </w:rPr>
              <w:t>Neoantygen</w:t>
            </w:r>
          </w:p>
        </w:tc>
        <w:tc>
          <w:tcPr>
            <w:tcW w:type="dxa" w:w="5100"/>
            <w:vAlign w:val="center"/>
          </w:tcPr>
          <w:p>
            <w:pPr>
              <w:spacing w:after="0"/>
            </w:pPr>
            <w:r/>
            <w:r>
              <w:rPr>
                <w:b w:val="0"/>
                <w:sz w:val="18"/>
              </w:rPr>
              <w:t>Peptyd wynikający m.in. z wariantu somatycznego, potencjalnie rozpoznawany immunologicznie.</w:t>
            </w:r>
          </w:p>
        </w:tc>
      </w:tr>
      <w:tr>
        <w:tc>
          <w:tcPr>
            <w:tcW w:type="dxa" w:w="5100"/>
            <w:vAlign w:val="center"/>
          </w:tcPr>
          <w:p>
            <w:pPr>
              <w:spacing w:after="0"/>
            </w:pPr>
            <w:r/>
            <w:r>
              <w:rPr>
                <w:b/>
                <w:sz w:val="18"/>
              </w:rPr>
              <w:t>Mapowanie ID</w:t>
            </w:r>
          </w:p>
        </w:tc>
        <w:tc>
          <w:tcPr>
            <w:tcW w:type="dxa" w:w="5100"/>
            <w:vAlign w:val="center"/>
          </w:tcPr>
          <w:p>
            <w:pPr>
              <w:spacing w:after="0"/>
            </w:pPr>
            <w:r/>
            <w:r>
              <w:rPr>
                <w:b w:val="0"/>
                <w:sz w:val="18"/>
              </w:rPr>
              <w:t>Łączenie odpowiadających sobie genów, transkryptów i białek.</w:t>
            </w:r>
          </w:p>
        </w:tc>
      </w:tr>
      <w:tr>
        <w:tc>
          <w:tcPr>
            <w:tcW w:type="dxa" w:w="5100"/>
            <w:vAlign w:val="center"/>
          </w:tcPr>
          <w:p>
            <w:pPr>
              <w:spacing w:after="0"/>
            </w:pPr>
            <w:r/>
            <w:r>
              <w:rPr>
                <w:b/>
                <w:sz w:val="18"/>
              </w:rPr>
              <w:t>Multi-omics</w:t>
            </w:r>
          </w:p>
        </w:tc>
        <w:tc>
          <w:tcPr>
            <w:tcW w:type="dxa" w:w="5100"/>
            <w:vAlign w:val="center"/>
          </w:tcPr>
          <w:p>
            <w:pPr>
              <w:spacing w:after="0"/>
            </w:pPr>
            <w:r/>
            <w:r>
              <w:rPr>
                <w:b w:val="0"/>
                <w:sz w:val="18"/>
              </w:rPr>
              <w:t>Integracja wielu warstw molekularnych.</w:t>
            </w:r>
          </w:p>
        </w:tc>
      </w:tr>
    </w:tbl>
    <w:p/>
    <w:p>
      <w:pPr>
        <w:pStyle w:val="Zapamiętaj"/>
      </w:pPr>
      <w:r>
        <w:t>Pułapka: Brak korelacji RNA-białko nie oznacza błędu - może odzwierciedlać regulację potranslacyjną.</w:t>
      </w:r>
    </w:p>
    <w:p>
      <w:pPr>
        <w:pStyle w:val="Heading1"/>
      </w:pPr>
      <w:r>
        <w:t>12. Dalsza nauka i rozwój</w:t>
      </w:r>
    </w:p>
    <w:p>
      <w:r>
        <w:rPr>
          <w:b/>
        </w:rPr>
        <w:t xml:space="preserve">Ciągłość nauki: </w:t>
      </w:r>
      <w:r>
        <w:t>Proteomika i bioinformatyka szybko się zmieniają, dlatego rozwój wymaga regularnej pracy z kursami, dokumentacją, otwartymi danymi i literaturą.</w:t>
      </w:r>
    </w:p>
    <w:p>
      <w:r>
        <w:rPr>
          <w:b/>
        </w:rPr>
        <w:t xml:space="preserve">Platformy: </w:t>
      </w:r>
      <w:r>
        <w:t>Podręcznik wskazuje m.in. Courserę, edX, EMBL-EBI Training, Galaxy Training Network i materiały ELIXIR.</w:t>
      </w:r>
    </w:p>
    <w:p>
      <w:r>
        <w:rPr>
          <w:b/>
        </w:rPr>
        <w:t xml:space="preserve">Praktyka: </w:t>
      </w:r>
      <w:r>
        <w:t>Galaxy, UniProt, PRIDE/ProteomeXchange, STRING/BioGRID/IntAct i AlphaFold DB pozwalają ćwiczyć na rzeczywistych danych oraz dokumentacji.</w:t>
      </w:r>
    </w:p>
    <w:p>
      <w:r>
        <w:rPr>
          <w:b/>
        </w:rPr>
        <w:t xml:space="preserve">Konferencje i warsztaty: </w:t>
      </w:r>
      <w:r>
        <w:t>Wymieniono HUPO, wydarzenia EMBO/EMBL, CPTAC Workshops oraz wydarzenia ELIXIR i programy dla początkujących.</w:t>
      </w:r>
    </w:p>
    <w:p>
      <w:pPr>
        <w:pStyle w:val="Heading2"/>
      </w:pPr>
      <w:r>
        <w:t>Must know</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Ścieżka narzędziowa</w:t>
            </w:r>
          </w:p>
        </w:tc>
        <w:tc>
          <w:tcPr>
            <w:tcW w:type="dxa" w:w="5100"/>
            <w:vAlign w:val="center"/>
          </w:tcPr>
          <w:p>
            <w:pPr>
              <w:spacing w:after="0"/>
            </w:pPr>
            <w:r/>
            <w:r>
              <w:rPr>
                <w:b w:val="0"/>
                <w:sz w:val="18"/>
              </w:rPr>
              <w:t>Nauka konkretnych pipelineów i formatów.</w:t>
            </w:r>
          </w:p>
        </w:tc>
      </w:tr>
      <w:tr>
        <w:tc>
          <w:tcPr>
            <w:tcW w:type="dxa" w:w="5100"/>
            <w:vAlign w:val="center"/>
          </w:tcPr>
          <w:p>
            <w:pPr>
              <w:spacing w:after="0"/>
            </w:pPr>
            <w:r/>
            <w:r>
              <w:rPr>
                <w:b/>
                <w:sz w:val="18"/>
              </w:rPr>
              <w:t>Ścieżka analityczna</w:t>
            </w:r>
          </w:p>
        </w:tc>
        <w:tc>
          <w:tcPr>
            <w:tcW w:type="dxa" w:w="5100"/>
            <w:vAlign w:val="center"/>
          </w:tcPr>
          <w:p>
            <w:pPr>
              <w:spacing w:after="0"/>
            </w:pPr>
            <w:r/>
            <w:r>
              <w:rPr>
                <w:b w:val="0"/>
                <w:sz w:val="18"/>
              </w:rPr>
              <w:t>Statystyka, R/Python i wizualizacja.</w:t>
            </w:r>
          </w:p>
        </w:tc>
      </w:tr>
      <w:tr>
        <w:tc>
          <w:tcPr>
            <w:tcW w:type="dxa" w:w="5100"/>
            <w:vAlign w:val="center"/>
          </w:tcPr>
          <w:p>
            <w:pPr>
              <w:spacing w:after="0"/>
            </w:pPr>
            <w:r/>
            <w:r>
              <w:rPr>
                <w:b/>
                <w:sz w:val="18"/>
              </w:rPr>
              <w:t>Ścieżka biologiczna</w:t>
            </w:r>
          </w:p>
        </w:tc>
        <w:tc>
          <w:tcPr>
            <w:tcW w:type="dxa" w:w="5100"/>
            <w:vAlign w:val="center"/>
          </w:tcPr>
          <w:p>
            <w:pPr>
              <w:spacing w:after="0"/>
            </w:pPr>
            <w:r/>
            <w:r>
              <w:rPr>
                <w:b w:val="0"/>
                <w:sz w:val="18"/>
              </w:rPr>
              <w:t>Interpretacja funkcji, szlaków, PTM i interakcji.</w:t>
            </w:r>
          </w:p>
        </w:tc>
      </w:tr>
      <w:tr>
        <w:tc>
          <w:tcPr>
            <w:tcW w:type="dxa" w:w="5100"/>
            <w:vAlign w:val="center"/>
          </w:tcPr>
          <w:p>
            <w:pPr>
              <w:spacing w:after="0"/>
            </w:pPr>
            <w:r/>
            <w:r>
              <w:rPr>
                <w:b/>
                <w:sz w:val="18"/>
              </w:rPr>
              <w:t>Ścieżka strukturalna</w:t>
            </w:r>
          </w:p>
        </w:tc>
        <w:tc>
          <w:tcPr>
            <w:tcW w:type="dxa" w:w="5100"/>
            <w:vAlign w:val="center"/>
          </w:tcPr>
          <w:p>
            <w:pPr>
              <w:spacing w:after="0"/>
            </w:pPr>
            <w:r/>
            <w:r>
              <w:rPr>
                <w:b w:val="0"/>
                <w:sz w:val="18"/>
              </w:rPr>
              <w:t>PDB, Cryo-EM, AlphaFold, ChimeraX/PyMOL.</w:t>
            </w:r>
          </w:p>
        </w:tc>
      </w:tr>
    </w:tbl>
    <w:p/>
    <w:p>
      <w:pPr>
        <w:pStyle w:val="Zapamiętaj"/>
      </w:pPr>
      <w:r>
        <w:t>Pułapka: Dokumentacja narzędzia może zmieniać się szybciej niż podręcznik - przy praktyce należy sprawdzać wersję.</w:t>
      </w:r>
    </w:p>
    <w:p>
      <w:r>
        <w:br w:type="page"/>
      </w:r>
    </w:p>
    <w:p>
      <w:pPr>
        <w:pStyle w:val="Heading1"/>
      </w:pPr>
      <w:r>
        <w:t>Formaty, bazy i narzędzia - macierz</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24556E"/>
          </w:tcPr>
          <w:p>
            <w:pPr>
              <w:spacing w:after="0"/>
            </w:pPr>
            <w:r/>
            <w:r>
              <w:rPr>
                <w:b/>
                <w:color w:val="FFFFFF"/>
                <w:sz w:val="18"/>
              </w:rPr>
              <w:t>Hasło</w:t>
            </w:r>
          </w:p>
        </w:tc>
        <w:tc>
          <w:tcPr>
            <w:tcW w:type="dxa" w:w="5100"/>
            <w:vAlign w:val="center"/>
            <w:shd w:fill="24556E"/>
          </w:tcPr>
          <w:p>
            <w:pPr>
              <w:spacing w:after="0"/>
            </w:pPr>
            <w:r/>
            <w:r>
              <w:rPr>
                <w:b/>
                <w:color w:val="FFFFFF"/>
                <w:sz w:val="18"/>
              </w:rPr>
              <w:t>Znaczenie</w:t>
            </w:r>
          </w:p>
        </w:tc>
      </w:tr>
      <w:tr>
        <w:tc>
          <w:tcPr>
            <w:tcW w:type="dxa" w:w="5100"/>
            <w:vAlign w:val="center"/>
          </w:tcPr>
          <w:p>
            <w:pPr>
              <w:spacing w:after="0"/>
            </w:pPr>
            <w:r/>
            <w:r>
              <w:rPr>
                <w:b/>
                <w:sz w:val="18"/>
              </w:rPr>
              <w:t>UniProt</w:t>
            </w:r>
          </w:p>
        </w:tc>
        <w:tc>
          <w:tcPr>
            <w:tcW w:type="dxa" w:w="5100"/>
            <w:vAlign w:val="center"/>
          </w:tcPr>
          <w:p>
            <w:pPr>
              <w:spacing w:after="0"/>
            </w:pPr>
            <w:r/>
            <w:r>
              <w:rPr>
                <w:b w:val="0"/>
                <w:sz w:val="18"/>
              </w:rPr>
              <w:t>sekwencja, funkcja, PTM, izoformy, kompleksy</w:t>
            </w:r>
          </w:p>
        </w:tc>
      </w:tr>
      <w:tr>
        <w:tc>
          <w:tcPr>
            <w:tcW w:type="dxa" w:w="5100"/>
            <w:vAlign w:val="center"/>
          </w:tcPr>
          <w:p>
            <w:pPr>
              <w:spacing w:after="0"/>
            </w:pPr>
            <w:r/>
            <w:r>
              <w:rPr>
                <w:b/>
                <w:sz w:val="18"/>
              </w:rPr>
              <w:t>PRIDE/MassIVE</w:t>
            </w:r>
          </w:p>
        </w:tc>
        <w:tc>
          <w:tcPr>
            <w:tcW w:type="dxa" w:w="5100"/>
            <w:vAlign w:val="center"/>
          </w:tcPr>
          <w:p>
            <w:pPr>
              <w:spacing w:after="0"/>
            </w:pPr>
            <w:r/>
            <w:r>
              <w:rPr>
                <w:b w:val="0"/>
                <w:sz w:val="18"/>
              </w:rPr>
              <w:t>publiczne dane spektrometrii mas</w:t>
            </w:r>
          </w:p>
        </w:tc>
      </w:tr>
      <w:tr>
        <w:tc>
          <w:tcPr>
            <w:tcW w:type="dxa" w:w="5100"/>
            <w:vAlign w:val="center"/>
          </w:tcPr>
          <w:p>
            <w:pPr>
              <w:spacing w:after="0"/>
            </w:pPr>
            <w:r/>
            <w:r>
              <w:rPr>
                <w:b/>
                <w:sz w:val="18"/>
              </w:rPr>
              <w:t>PhosphoSitePlus/dbPTM</w:t>
            </w:r>
          </w:p>
        </w:tc>
        <w:tc>
          <w:tcPr>
            <w:tcW w:type="dxa" w:w="5100"/>
            <w:vAlign w:val="center"/>
          </w:tcPr>
          <w:p>
            <w:pPr>
              <w:spacing w:after="0"/>
            </w:pPr>
            <w:r/>
            <w:r>
              <w:rPr>
                <w:b w:val="0"/>
                <w:sz w:val="18"/>
              </w:rPr>
              <w:t>modyfikacje potranslacyjne</w:t>
            </w:r>
          </w:p>
        </w:tc>
      </w:tr>
      <w:tr>
        <w:tc>
          <w:tcPr>
            <w:tcW w:type="dxa" w:w="5100"/>
            <w:vAlign w:val="center"/>
          </w:tcPr>
          <w:p>
            <w:pPr>
              <w:spacing w:after="0"/>
            </w:pPr>
            <w:r/>
            <w:r>
              <w:rPr>
                <w:b/>
                <w:sz w:val="18"/>
              </w:rPr>
              <w:t>STRING/BioGRID/IntAct</w:t>
            </w:r>
          </w:p>
        </w:tc>
        <w:tc>
          <w:tcPr>
            <w:tcW w:type="dxa" w:w="5100"/>
            <w:vAlign w:val="center"/>
          </w:tcPr>
          <w:p>
            <w:pPr>
              <w:spacing w:after="0"/>
            </w:pPr>
            <w:r/>
            <w:r>
              <w:rPr>
                <w:b w:val="0"/>
                <w:sz w:val="18"/>
              </w:rPr>
              <w:t>interakcje białkowe</w:t>
            </w:r>
          </w:p>
        </w:tc>
      </w:tr>
      <w:tr>
        <w:tc>
          <w:tcPr>
            <w:tcW w:type="dxa" w:w="5100"/>
            <w:vAlign w:val="center"/>
          </w:tcPr>
          <w:p>
            <w:pPr>
              <w:spacing w:after="0"/>
            </w:pPr>
            <w:r/>
            <w:r>
              <w:rPr>
                <w:b/>
                <w:sz w:val="18"/>
              </w:rPr>
              <w:t>HPA/PaxDb</w:t>
            </w:r>
          </w:p>
        </w:tc>
        <w:tc>
          <w:tcPr>
            <w:tcW w:type="dxa" w:w="5100"/>
            <w:vAlign w:val="center"/>
          </w:tcPr>
          <w:p>
            <w:pPr>
              <w:spacing w:after="0"/>
            </w:pPr>
            <w:r/>
            <w:r>
              <w:rPr>
                <w:b w:val="0"/>
                <w:sz w:val="18"/>
              </w:rPr>
              <w:t>lokalizacja, tkanki, abundancja</w:t>
            </w:r>
          </w:p>
        </w:tc>
      </w:tr>
      <w:tr>
        <w:tc>
          <w:tcPr>
            <w:tcW w:type="dxa" w:w="5100"/>
            <w:vAlign w:val="center"/>
          </w:tcPr>
          <w:p>
            <w:pPr>
              <w:spacing w:after="0"/>
            </w:pPr>
            <w:r/>
            <w:r>
              <w:rPr>
                <w:b/>
                <w:sz w:val="18"/>
              </w:rPr>
              <w:t>PDB/EMDB/AlphaFold DB</w:t>
            </w:r>
          </w:p>
        </w:tc>
        <w:tc>
          <w:tcPr>
            <w:tcW w:type="dxa" w:w="5100"/>
            <w:vAlign w:val="center"/>
          </w:tcPr>
          <w:p>
            <w:pPr>
              <w:spacing w:after="0"/>
            </w:pPr>
            <w:r/>
            <w:r>
              <w:rPr>
                <w:b w:val="0"/>
                <w:sz w:val="18"/>
              </w:rPr>
              <w:t>model eksperymentalny / mapa EM / predykcja</w:t>
            </w:r>
          </w:p>
        </w:tc>
      </w:tr>
      <w:tr>
        <w:tc>
          <w:tcPr>
            <w:tcW w:type="dxa" w:w="5100"/>
            <w:vAlign w:val="center"/>
          </w:tcPr>
          <w:p>
            <w:pPr>
              <w:spacing w:after="0"/>
            </w:pPr>
            <w:r/>
            <w:r>
              <w:rPr>
                <w:b/>
                <w:sz w:val="18"/>
              </w:rPr>
              <w:t>ProteoWizard</w:t>
            </w:r>
          </w:p>
        </w:tc>
        <w:tc>
          <w:tcPr>
            <w:tcW w:type="dxa" w:w="5100"/>
            <w:vAlign w:val="center"/>
          </w:tcPr>
          <w:p>
            <w:pPr>
              <w:spacing w:after="0"/>
            </w:pPr>
            <w:r/>
            <w:r>
              <w:rPr>
                <w:b w:val="0"/>
                <w:sz w:val="18"/>
              </w:rPr>
              <w:t>konwersja RAW → mzML</w:t>
            </w:r>
          </w:p>
        </w:tc>
      </w:tr>
      <w:tr>
        <w:tc>
          <w:tcPr>
            <w:tcW w:type="dxa" w:w="5100"/>
            <w:vAlign w:val="center"/>
          </w:tcPr>
          <w:p>
            <w:pPr>
              <w:spacing w:after="0"/>
            </w:pPr>
            <w:r/>
            <w:r>
              <w:rPr>
                <w:b/>
                <w:sz w:val="18"/>
              </w:rPr>
              <w:t>MaxQuant</w:t>
            </w:r>
          </w:p>
        </w:tc>
        <w:tc>
          <w:tcPr>
            <w:tcW w:type="dxa" w:w="5100"/>
            <w:vAlign w:val="center"/>
          </w:tcPr>
          <w:p>
            <w:pPr>
              <w:spacing w:after="0"/>
            </w:pPr>
            <w:r/>
            <w:r>
              <w:rPr>
                <w:b w:val="0"/>
                <w:sz w:val="18"/>
              </w:rPr>
              <w:t>identyfikacja i kwantyfikacja RAW; Andromeda</w:t>
            </w:r>
          </w:p>
        </w:tc>
      </w:tr>
      <w:tr>
        <w:tc>
          <w:tcPr>
            <w:tcW w:type="dxa" w:w="5100"/>
            <w:vAlign w:val="center"/>
          </w:tcPr>
          <w:p>
            <w:pPr>
              <w:spacing w:after="0"/>
            </w:pPr>
            <w:r/>
            <w:r>
              <w:rPr>
                <w:b/>
                <w:sz w:val="18"/>
              </w:rPr>
              <w:t>FragPipe/MSFragger</w:t>
            </w:r>
          </w:p>
        </w:tc>
        <w:tc>
          <w:tcPr>
            <w:tcW w:type="dxa" w:w="5100"/>
            <w:vAlign w:val="center"/>
          </w:tcPr>
          <w:p>
            <w:pPr>
              <w:spacing w:after="0"/>
            </w:pPr>
            <w:r/>
            <w:r>
              <w:rPr>
                <w:b w:val="0"/>
                <w:sz w:val="18"/>
              </w:rPr>
              <w:t>szybkie przeszukiwanie i kwantyfikacja</w:t>
            </w:r>
          </w:p>
        </w:tc>
      </w:tr>
      <w:tr>
        <w:tc>
          <w:tcPr>
            <w:tcW w:type="dxa" w:w="5100"/>
            <w:vAlign w:val="center"/>
          </w:tcPr>
          <w:p>
            <w:pPr>
              <w:spacing w:after="0"/>
            </w:pPr>
            <w:r/>
            <w:r>
              <w:rPr>
                <w:b/>
                <w:sz w:val="18"/>
              </w:rPr>
              <w:t>Skyline</w:t>
            </w:r>
          </w:p>
        </w:tc>
        <w:tc>
          <w:tcPr>
            <w:tcW w:type="dxa" w:w="5100"/>
            <w:vAlign w:val="center"/>
          </w:tcPr>
          <w:p>
            <w:pPr>
              <w:spacing w:after="0"/>
            </w:pPr>
            <w:r/>
            <w:r>
              <w:rPr>
                <w:b w:val="0"/>
                <w:sz w:val="18"/>
              </w:rPr>
              <w:t>analizy celowane i chromatogramy</w:t>
            </w:r>
          </w:p>
        </w:tc>
      </w:tr>
      <w:tr>
        <w:tc>
          <w:tcPr>
            <w:tcW w:type="dxa" w:w="5100"/>
            <w:vAlign w:val="center"/>
          </w:tcPr>
          <w:p>
            <w:pPr>
              <w:spacing w:after="0"/>
            </w:pPr>
            <w:r/>
            <w:r>
              <w:rPr>
                <w:b/>
                <w:sz w:val="18"/>
              </w:rPr>
              <w:t>Cytoscape</w:t>
            </w:r>
          </w:p>
        </w:tc>
        <w:tc>
          <w:tcPr>
            <w:tcW w:type="dxa" w:w="5100"/>
            <w:vAlign w:val="center"/>
          </w:tcPr>
          <w:p>
            <w:pPr>
              <w:spacing w:after="0"/>
            </w:pPr>
            <w:r/>
            <w:r>
              <w:rPr>
                <w:b w:val="0"/>
                <w:sz w:val="18"/>
              </w:rPr>
              <w:t>sieci biologiczne</w:t>
            </w:r>
          </w:p>
        </w:tc>
      </w:tr>
      <w:tr>
        <w:tc>
          <w:tcPr>
            <w:tcW w:type="dxa" w:w="5100"/>
            <w:vAlign w:val="center"/>
          </w:tcPr>
          <w:p>
            <w:pPr>
              <w:spacing w:after="0"/>
            </w:pPr>
            <w:r/>
            <w:r>
              <w:rPr>
                <w:b/>
                <w:sz w:val="18"/>
              </w:rPr>
              <w:t>PyMOL/ChimeraX</w:t>
            </w:r>
          </w:p>
        </w:tc>
        <w:tc>
          <w:tcPr>
            <w:tcW w:type="dxa" w:w="5100"/>
            <w:vAlign w:val="center"/>
          </w:tcPr>
          <w:p>
            <w:pPr>
              <w:spacing w:after="0"/>
            </w:pPr>
            <w:r/>
            <w:r>
              <w:rPr>
                <w:b w:val="0"/>
                <w:sz w:val="18"/>
              </w:rPr>
              <w:t>wizualizacja i porównanie struktur</w:t>
            </w:r>
          </w:p>
        </w:tc>
      </w:tr>
    </w:tbl>
    <w:p/>
    <w:p>
      <w:pPr>
        <w:pStyle w:val="Heading1"/>
      </w:pPr>
      <w:r>
        <w:t>20 pytań szybkiej powtórki</w:t>
      </w:r>
    </w:p>
    <w:p>
      <w:r>
        <w:t>1. Co odróżnia proteom od genomu?</w:t>
      </w:r>
    </w:p>
    <w:p>
      <w:r>
        <w:t>2. Jakie są cztery poziomy struktury białka?</w:t>
      </w:r>
    </w:p>
    <w:p>
      <w:r>
        <w:t>3. Czym różni się enzym od dowolnego białka?</w:t>
      </w:r>
    </w:p>
    <w:p>
      <w:r>
        <w:t>4. Do czego służą UniProt, PRIDE i STRING?</w:t>
      </w:r>
    </w:p>
    <w:p>
      <w:r>
        <w:t>5. Dlaczego mzML jest ważny?</w:t>
      </w:r>
    </w:p>
    <w:p>
      <w:r>
        <w:t>6. Jaką rolę pełni FASTA?</w:t>
      </w:r>
    </w:p>
    <w:p>
      <w:r>
        <w:t>7. Co daje trawienie trypsyną?</w:t>
      </w:r>
    </w:p>
    <w:p>
      <w:r>
        <w:t>8. Czym jest widmo MS/MS?</w:t>
      </w:r>
    </w:p>
    <w:p>
      <w:r>
        <w:t>9. Dlaczego istnieje problem inferencji białek?</w:t>
      </w:r>
    </w:p>
    <w:p>
      <w:r>
        <w:t>10. Co kontroluje FDR?</w:t>
      </w:r>
    </w:p>
    <w:p>
      <w:r>
        <w:t>11. Czym różni się TMT od label-free?</w:t>
      </w:r>
    </w:p>
    <w:p>
      <w:r>
        <w:t>12. Jak uzyskuje się kwantyfikację bezwzględną?</w:t>
      </w:r>
    </w:p>
    <w:p>
      <w:r>
        <w:t>13. Dlaczego PTM bywają trudne do wykrycia?</w:t>
      </w:r>
    </w:p>
    <w:p>
      <w:r>
        <w:t>14. Co oznacza lokalizacja PTM?</w:t>
      </w:r>
    </w:p>
    <w:p>
      <w:r>
        <w:t>15. Czym są hub i moduł w sieci?</w:t>
      </w:r>
    </w:p>
    <w:p>
      <w:r>
        <w:t>16. Jakie są mocne strony Cryo-EM?</w:t>
      </w:r>
    </w:p>
    <w:p>
      <w:r>
        <w:t>17. Co oznacza niski pLDDT?</w:t>
      </w:r>
    </w:p>
    <w:p>
      <w:r>
        <w:t>18. Dlaczego predykcja ML wymaga walidacji?</w:t>
      </w:r>
    </w:p>
    <w:p>
      <w:r>
        <w:t>19. Jak czytać volcano plot i PCA?</w:t>
      </w:r>
    </w:p>
    <w:p>
      <w:r>
        <w:t>20. Dlaczego RNA i białko mogą słabo korelować?</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Bioinformatyka w proteomice - materiał opracowany na podstawie podręcznika kursowego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Ściąga powtórkowa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F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7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232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F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apamiętaj">
    <w:name w:val="Zapamiętaj"/>
    <w:pPr>
      <w:spacing w:before="80" w:after="80"/>
      <w:ind w:left="283"/>
    </w:pPr>
    <w:rPr>
      <w:rFonts w:ascii="Aptos" w:hAnsi="Aptos"/>
      <w:b/>
      <w:color w:val="183F5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