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3F97" w14:textId="77777777" w:rsidR="00A505A4" w:rsidRPr="00A505A4" w:rsidRDefault="00A505A4" w:rsidP="00A505A4">
      <w:pPr>
        <w:rPr>
          <w:b/>
          <w:bCs/>
        </w:rPr>
      </w:pPr>
      <w:r w:rsidRPr="00A505A4">
        <w:rPr>
          <w:b/>
          <w:bCs/>
        </w:rPr>
        <w:t>Zadanie 17 – analiza MSA</w:t>
      </w:r>
    </w:p>
    <w:p w14:paraId="442B47A9" w14:textId="34B9EA3E" w:rsidR="00A85338" w:rsidRDefault="00A85338">
      <w:r>
        <w:rPr>
          <w:noProof/>
        </w:rPr>
        <w:drawing>
          <wp:inline distT="0" distB="0" distL="0" distR="0" wp14:anchorId="7AE8ED8C" wp14:editId="453F4F9F">
            <wp:extent cx="5975558" cy="1111453"/>
            <wp:effectExtent l="0" t="0" r="6350" b="0"/>
            <wp:docPr id="86189743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56607" cy="1145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1F4BC" w14:textId="77777777" w:rsidR="00A505A4" w:rsidRPr="00A505A4" w:rsidRDefault="00A505A4" w:rsidP="00A505A4">
      <w:r w:rsidRPr="00A505A4">
        <w:t xml:space="preserve">W wyrównaniu sekwencji w MAFFT </w:t>
      </w:r>
      <w:r w:rsidRPr="00A505A4">
        <w:rPr>
          <w:b/>
          <w:bCs/>
        </w:rPr>
        <w:t>widać wyraźne regiony konserwatywne</w:t>
      </w:r>
      <w:r w:rsidRPr="00A505A4">
        <w:t xml:space="preserve">. Najbardziej jednolite fragmenty pojawiają się w zakresie </w:t>
      </w:r>
      <w:r w:rsidRPr="00A505A4">
        <w:rPr>
          <w:b/>
          <w:bCs/>
        </w:rPr>
        <w:t>~1–25</w:t>
      </w:r>
      <w:r w:rsidRPr="00A505A4">
        <w:t xml:space="preserve">, następnie w okolicach </w:t>
      </w:r>
      <w:r w:rsidRPr="00A505A4">
        <w:rPr>
          <w:b/>
          <w:bCs/>
        </w:rPr>
        <w:t>~30–45</w:t>
      </w:r>
      <w:r w:rsidRPr="00A505A4">
        <w:t xml:space="preserve"> (motyw zbliżony do GPEFVDITG) oraz w regionie </w:t>
      </w:r>
      <w:r w:rsidRPr="00A505A4">
        <w:rPr>
          <w:b/>
          <w:bCs/>
        </w:rPr>
        <w:t>~50–65</w:t>
      </w:r>
      <w:r w:rsidRPr="00A505A4">
        <w:t>, odpowiadającym motywowi GDCPVILVGNKCDL. W tych miejscach kolumny mają jednolite kolory i praktycznie nie występują gapy.</w:t>
      </w:r>
    </w:p>
    <w:p w14:paraId="7366AD6E" w14:textId="77777777" w:rsidR="00A505A4" w:rsidRPr="00A505A4" w:rsidRDefault="00A505A4" w:rsidP="00A505A4">
      <w:r w:rsidRPr="00A505A4">
        <w:t xml:space="preserve">Z kolei </w:t>
      </w:r>
      <w:r w:rsidRPr="00A505A4">
        <w:rPr>
          <w:b/>
          <w:bCs/>
        </w:rPr>
        <w:t>regiony o dużej zmienności</w:t>
      </w:r>
      <w:r w:rsidRPr="00A505A4">
        <w:t xml:space="preserve"> są widoczne głównie w końcowej części wyrównania, mniej więcej </w:t>
      </w:r>
      <w:r w:rsidRPr="00A505A4">
        <w:rPr>
          <w:b/>
          <w:bCs/>
        </w:rPr>
        <w:t>od pozycji ~70 do końca MSA</w:t>
      </w:r>
      <w:r w:rsidRPr="00A505A4">
        <w:t>. W tych kolumnach pojawia się wiele różnych aminokwasów oraz liczne przerwy, co odzwierciedla zróżnicowane C</w:t>
      </w:r>
      <w:r w:rsidRPr="00A505A4">
        <w:noBreakHyphen/>
        <w:t>końce sekwencji.</w:t>
      </w:r>
    </w:p>
    <w:p w14:paraId="5817CB32" w14:textId="77777777" w:rsidR="00A505A4" w:rsidRDefault="00A505A4"/>
    <w:p w14:paraId="6CC5E13A" w14:textId="77777777" w:rsidR="00A505A4" w:rsidRPr="00A505A4" w:rsidRDefault="00A505A4" w:rsidP="00A505A4">
      <w:pPr>
        <w:rPr>
          <w:b/>
          <w:bCs/>
        </w:rPr>
      </w:pPr>
      <w:r w:rsidRPr="00A505A4">
        <w:rPr>
          <w:b/>
          <w:bCs/>
        </w:rPr>
        <w:t>Zadanie 18 – drzewo filogenetyczne</w:t>
      </w:r>
    </w:p>
    <w:p w14:paraId="0CD7E711" w14:textId="174F4BB3" w:rsidR="00A85338" w:rsidRDefault="00A505A4">
      <w:r w:rsidRPr="00A505A4">
        <w:drawing>
          <wp:inline distT="0" distB="0" distL="0" distR="0" wp14:anchorId="521C7E7B" wp14:editId="4A22A216">
            <wp:extent cx="5760720" cy="3052445"/>
            <wp:effectExtent l="0" t="0" r="0" b="0"/>
            <wp:docPr id="16306115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1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37E7" w14:textId="77777777" w:rsidR="00A505A4" w:rsidRPr="00A505A4" w:rsidRDefault="00A505A4" w:rsidP="00A505A4">
      <w:r w:rsidRPr="00A505A4">
        <w:t xml:space="preserve">Na drzewie filogenetycznym wygenerowanym z MSA </w:t>
      </w:r>
      <w:r w:rsidRPr="00A505A4">
        <w:rPr>
          <w:b/>
          <w:bCs/>
        </w:rPr>
        <w:t>widać wyraźne klastry sekwencji</w:t>
      </w:r>
      <w:r w:rsidRPr="00A505A4">
        <w:t xml:space="preserve">. Najbliżej siebie znajdują się </w:t>
      </w:r>
      <w:proofErr w:type="spellStart"/>
      <w:r w:rsidRPr="00A505A4">
        <w:rPr>
          <w:b/>
          <w:bCs/>
        </w:rPr>
        <w:t>Seq_A</w:t>
      </w:r>
      <w:proofErr w:type="spellEnd"/>
      <w:r w:rsidRPr="00A505A4">
        <w:rPr>
          <w:b/>
          <w:bCs/>
        </w:rPr>
        <w:t xml:space="preserve"> i </w:t>
      </w:r>
      <w:proofErr w:type="spellStart"/>
      <w:r w:rsidRPr="00A505A4">
        <w:rPr>
          <w:b/>
          <w:bCs/>
        </w:rPr>
        <w:t>Seq_B</w:t>
      </w:r>
      <w:proofErr w:type="spellEnd"/>
      <w:r w:rsidRPr="00A505A4">
        <w:t xml:space="preserve">, które tworzą najbardziej zwarty klaster. Kolejną parą o dużym podobieństwie są </w:t>
      </w:r>
      <w:proofErr w:type="spellStart"/>
      <w:r w:rsidRPr="00A505A4">
        <w:rPr>
          <w:b/>
          <w:bCs/>
        </w:rPr>
        <w:t>Seq_C</w:t>
      </w:r>
      <w:proofErr w:type="spellEnd"/>
      <w:r w:rsidRPr="00A505A4">
        <w:rPr>
          <w:b/>
          <w:bCs/>
        </w:rPr>
        <w:t xml:space="preserve"> i </w:t>
      </w:r>
      <w:proofErr w:type="spellStart"/>
      <w:r w:rsidRPr="00A505A4">
        <w:rPr>
          <w:b/>
          <w:bCs/>
        </w:rPr>
        <w:t>Seq_F</w:t>
      </w:r>
      <w:proofErr w:type="spellEnd"/>
      <w:r w:rsidRPr="00A505A4">
        <w:t xml:space="preserve">. Sekwencje </w:t>
      </w:r>
      <w:proofErr w:type="spellStart"/>
      <w:r w:rsidRPr="00A505A4">
        <w:rPr>
          <w:b/>
          <w:bCs/>
        </w:rPr>
        <w:t>Seq_D</w:t>
      </w:r>
      <w:proofErr w:type="spellEnd"/>
      <w:r w:rsidRPr="00A505A4">
        <w:rPr>
          <w:b/>
          <w:bCs/>
        </w:rPr>
        <w:t xml:space="preserve">, </w:t>
      </w:r>
      <w:proofErr w:type="spellStart"/>
      <w:r w:rsidRPr="00A505A4">
        <w:rPr>
          <w:b/>
          <w:bCs/>
        </w:rPr>
        <w:t>Seq_E</w:t>
      </w:r>
      <w:proofErr w:type="spellEnd"/>
      <w:r w:rsidRPr="00A505A4">
        <w:rPr>
          <w:b/>
          <w:bCs/>
        </w:rPr>
        <w:t xml:space="preserve"> i </w:t>
      </w:r>
      <w:proofErr w:type="spellStart"/>
      <w:r w:rsidRPr="00A505A4">
        <w:rPr>
          <w:b/>
          <w:bCs/>
        </w:rPr>
        <w:t>Seq_G</w:t>
      </w:r>
      <w:proofErr w:type="spellEnd"/>
      <w:r w:rsidRPr="00A505A4">
        <w:t xml:space="preserve"> są bardziej odległe, co przejawia się dłuższymi gałęziami.</w:t>
      </w:r>
    </w:p>
    <w:p w14:paraId="078D87E4" w14:textId="77777777" w:rsidR="00A505A4" w:rsidRPr="00A505A4" w:rsidRDefault="00A505A4" w:rsidP="00A505A4">
      <w:r w:rsidRPr="00A505A4">
        <w:t>Wynik sugeruje, że analizowane fragmenty mają wspólny, konserwatywny rdzeń, natomiast ich zróżnicowane C</w:t>
      </w:r>
      <w:r w:rsidRPr="00A505A4">
        <w:noBreakHyphen/>
        <w:t xml:space="preserve">końce wskazują na </w:t>
      </w:r>
      <w:r w:rsidRPr="00A505A4">
        <w:rPr>
          <w:b/>
          <w:bCs/>
        </w:rPr>
        <w:t>różnorodność funkcjonalną i ewolucyjną</w:t>
      </w:r>
      <w:r w:rsidRPr="00A505A4">
        <w:t>, np. różne interakcje lub odmienne mechanizmy regulacji.</w:t>
      </w:r>
    </w:p>
    <w:p w14:paraId="5456085D" w14:textId="77777777" w:rsidR="00A505A4" w:rsidRPr="00A505A4" w:rsidRDefault="00A505A4" w:rsidP="00A505A4">
      <w:pPr>
        <w:rPr>
          <w:b/>
          <w:bCs/>
        </w:rPr>
      </w:pPr>
      <w:r w:rsidRPr="00A505A4">
        <w:rPr>
          <w:b/>
          <w:bCs/>
        </w:rPr>
        <w:lastRenderedPageBreak/>
        <w:t xml:space="preserve">Zadanie 19 – </w:t>
      </w:r>
      <w:proofErr w:type="spellStart"/>
      <w:r w:rsidRPr="00A505A4">
        <w:rPr>
          <w:b/>
          <w:bCs/>
        </w:rPr>
        <w:t>WebLogo</w:t>
      </w:r>
      <w:proofErr w:type="spellEnd"/>
    </w:p>
    <w:p w14:paraId="783F97F9" w14:textId="15BDB448" w:rsidR="00A505A4" w:rsidRDefault="00A505A4">
      <w:r w:rsidRPr="00A505A4">
        <w:drawing>
          <wp:inline distT="0" distB="0" distL="0" distR="0" wp14:anchorId="29B9DD37" wp14:editId="4EB2445F">
            <wp:extent cx="5760720" cy="3636010"/>
            <wp:effectExtent l="0" t="0" r="0" b="2540"/>
            <wp:docPr id="191687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E27A" w14:textId="77777777" w:rsidR="00A505A4" w:rsidRPr="00A505A4" w:rsidRDefault="00A505A4" w:rsidP="00A505A4">
      <w:r w:rsidRPr="00A505A4">
        <w:t xml:space="preserve">Na podstawie wyrównania MSA wygenerowano logo w serwisie </w:t>
      </w:r>
      <w:proofErr w:type="spellStart"/>
      <w:r w:rsidRPr="00A505A4">
        <w:t>WebLogo</w:t>
      </w:r>
      <w:proofErr w:type="spellEnd"/>
      <w:r w:rsidRPr="00A505A4">
        <w:t xml:space="preserve"> (plik PNG dołączony do sprawozdania).</w:t>
      </w:r>
    </w:p>
    <w:p w14:paraId="69E93A95" w14:textId="77777777" w:rsidR="00A505A4" w:rsidRPr="00A505A4" w:rsidRDefault="00A505A4" w:rsidP="00A505A4">
      <w:r w:rsidRPr="00A505A4">
        <w:t xml:space="preserve">W zakresie </w:t>
      </w:r>
      <w:r w:rsidRPr="00A505A4">
        <w:rPr>
          <w:b/>
          <w:bCs/>
        </w:rPr>
        <w:t>pozycji 60–70</w:t>
      </w:r>
      <w:r w:rsidRPr="00A505A4">
        <w:t xml:space="preserve"> w logo </w:t>
      </w:r>
      <w:r w:rsidRPr="00A505A4">
        <w:rPr>
          <w:b/>
          <w:bCs/>
        </w:rPr>
        <w:t>widać dominujące litery</w:t>
      </w:r>
      <w:r w:rsidRPr="00A505A4">
        <w:t xml:space="preserve"> odpowiadające motywowi GDCPVILVGNKCDL (m.in. G, D, C, P, V, I, L, N, K). Wysoka wysokość tych liter świadczy o silnej konserwacji — mutacje w tych pozycjach są rzadkie, co sugeruje ich istotną rolę strukturalną lub funkcjonalną.</w:t>
      </w:r>
    </w:p>
    <w:p w14:paraId="33796549" w14:textId="77777777" w:rsidR="00A505A4" w:rsidRPr="00A505A4" w:rsidRDefault="00A505A4" w:rsidP="00A505A4">
      <w:r w:rsidRPr="00A505A4">
        <w:t xml:space="preserve">Porównując logo z obserwacjami z Zadania 17, </w:t>
      </w:r>
      <w:r w:rsidRPr="00A505A4">
        <w:rPr>
          <w:b/>
          <w:bCs/>
        </w:rPr>
        <w:t>widać zgodność</w:t>
      </w:r>
      <w:r w:rsidRPr="00A505A4">
        <w:t>: region, który w MSA wyglądał na najbardziej konserwatywny (okolice ~50–65), w logo również ma najwyższą informację i wyraźnie dominujące aminokwasy.</w:t>
      </w:r>
    </w:p>
    <w:p w14:paraId="1C802370" w14:textId="77777777" w:rsidR="00A505A4" w:rsidRDefault="00A505A4"/>
    <w:sectPr w:rsidR="00A50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38"/>
    <w:rsid w:val="00A505A4"/>
    <w:rsid w:val="00A85338"/>
    <w:rsid w:val="00FD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F0694"/>
  <w15:chartTrackingRefBased/>
  <w15:docId w15:val="{C62B99F8-463E-4F21-82E1-BA84918E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5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5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5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5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5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533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533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53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53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53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53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53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533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533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5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533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5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257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2026-08-04T06:10:00Z</dcterms:created>
  <dcterms:modified xsi:type="dcterms:W3CDTF">2026-08-04T06:36:00Z</dcterms:modified>
</cp:coreProperties>
</file>