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BIOINFORMATYKA W PROTEOMICE</w:t>
      </w:r>
    </w:p>
    <w:p>
      <w:pPr>
        <w:jc w:val="center"/>
      </w:pPr>
      <w:r>
        <w:rPr>
          <w:b/>
          <w:sz w:val="40"/>
        </w:rPr>
        <w:t>Zadania z rozwiązaniami</w:t>
      </w:r>
    </w:p>
    <w:p>
      <w:pPr>
        <w:jc w:val="center"/>
      </w:pPr>
      <w:r>
        <w:t>Klucz odpowiedzi do 20 zadań kursowych + przykładowe rozwiązania projektów</w:t>
      </w:r>
    </w:p>
    <w:p>
      <w:pPr>
        <w:jc w:val="center"/>
      </w:pPr>
      <w:r>
        <w:rPr>
          <w:i/>
        </w:rPr>
        <w:t>Stan baz internetowych: 1 sierpnia 2026 r.</w:t>
      </w:r>
    </w:p>
    <w:p>
      <w:pPr>
        <w:pStyle w:val="Heading1"/>
      </w:pPr>
      <w:r>
        <w:t>Jak korzystać z dokumentu</w:t>
      </w:r>
    </w:p>
    <w:p>
      <w:r>
        <w:t>Dokument stanowi wzorcowy klucz odpowiedzi. W zadaniach zależnych od dynamicznych baz (PRIDE, PhosphoSitePlus, PaxDb, STRING, AlphaFold, DeepLoc, cBioPortal) wynik może zmienić się wraz z aktualizacją zasobu lub ustawień analizy. Dlatego podano model odpowiedzi i sposób jej uzasadnienia. Zrzuty ekranów należy wykonać samodzielnie w dniu oddawania pracy.</w:t>
      </w:r>
    </w:p>
    <w:p>
      <w:r>
        <w:t>Ważne: w kilku miejscach podręcznik upraszcza nazewnictwo albo oczekuje wyniku z konkretnego interfejsu. Odpowiedzi poniżej zachowują układ zadań, a wszelkie ograniczenia są zaznaczone wprost.</w:t>
      </w:r>
    </w:p>
    <w:p>
      <w:pPr>
        <w:pStyle w:val="Heading1"/>
      </w:pPr>
      <w:r>
        <w:t>Zadanie 1. Porównanie insuliny, hemoglobiny β i lizozymu C</w:t>
      </w:r>
    </w:p>
    <w:p>
      <w:pPr>
        <w:pStyle w:val="Heading2"/>
      </w:pPr>
      <w:r>
        <w:t>Treść / cel</w:t>
      </w:r>
    </w:p>
    <w:p>
      <w:r>
        <w:t>Uzupełnij dane UniProt, sekwencję, masę, funkcję i informację o kompleksie.</w:t>
      </w:r>
    </w:p>
    <w:p>
      <w:pPr>
        <w:pStyle w:val="Heading2"/>
      </w:pPr>
      <w:r>
        <w:t>Rozwiązanie</w:t>
      </w:r>
    </w:p>
    <w:p>
      <w:r>
        <w:t>Tabela przedstawia kanoniczne prekursory zapisane w UniProt. W przypadku insuliny warto rozróżnić preproinsulinę (110 aa) od dojrzałego hormonu złożonego z łańcuchów A i 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Białko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UniProt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Długość / masa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Sekwencja kanoniczna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Funkcja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Kompleks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Insulina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P01308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110 aa; ok. 11 981 Da (preproinsulina)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MALWMRLLPLLALLALWGPDPAAAFVNQHLCGSHLVEALYLVCGERGFFYTPKT...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Hormon obniżający glikemię; zwiększa wychwyt glukozy i procesy anaboliczne.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Dojrzała insulina jest heterodimerem łańcuchów A i B połączonych mostkami S-S; może tworzyć heksamery z Zn2+.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Hemoglobina, podjednostka β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P68871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147 aa; 15 998 Da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MVHLTPEEKSAVTALWGKVNVDEVGGEALGRLLVVYPWTQRFFESFGDLSTP...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Transport tlenu i CO2 jako składnik hemoglobiny erytrocytów.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Tetramer α2β2 z hemem.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Lizozym C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P61626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148 aa; 16 537 Da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MKALIVLGLVLLSVTVQGKVFERCELARTLKRLGMDGYRGISLANWMCLAKW...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Hydroliza wiązań β(1→4) peptydoglikanu; działanie bakteriolityczne.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Najczęściej funkcjonuje jako pojedynczy łańcuch; może tworzyć kontakty/oligomery zależne od warunków.</w:t>
            </w:r>
          </w:p>
        </w:tc>
      </w:tr>
    </w:tbl>
    <w:p>
      <w:r>
        <w:t>Pełne sekwencje należy kopiować bezpośrednio z rekordu UniProt; tutaj skrócono je dla czytelności. Źródła: UniProt P01308, P68871, P61626.</w:t>
      </w:r>
    </w:p>
    <w:p>
      <w:pPr>
        <w:pStyle w:val="Heading1"/>
      </w:pPr>
      <w:r>
        <w:t>Zadanie 2. Wariant hemoglobiny, mostki insuliny i numer EC</w:t>
      </w:r>
    </w:p>
    <w:p>
      <w:pPr>
        <w:pStyle w:val="Heading2"/>
      </w:pPr>
      <w:r>
        <w:t>Treść / cel</w:t>
      </w:r>
    </w:p>
    <w:p>
      <w:r>
        <w:t>Odpowiedz na trzy pytania z UniProt.</w:t>
      </w:r>
    </w:p>
    <w:p>
      <w:pPr>
        <w:pStyle w:val="Heading2"/>
      </w:pPr>
      <w:r>
        <w:t>Rozwiązanie</w:t>
      </w:r>
    </w:p>
    <w:p>
      <w:pPr>
        <w:pStyle w:val="ListNumber"/>
      </w:pPr>
      <w:r>
        <w:t>Klasyczny wariant związany z ochroną heterozygot przed ciężką malarią to HbS: zamiana Glu na Val w β-globinie. W numeracji dojrzałego łańcucha jest to β6 Glu→Val; w rekordzie zawierającym inicjującą metioninę odpowiada pozycji 7 (p.Glu7Val).</w:t>
      </w:r>
    </w:p>
    <w:p>
      <w:pPr>
        <w:pStyle w:val="ListNumber"/>
      </w:pPr>
      <w:r>
        <w:t>Mostki między łańcuchami insuliny: A7–B7 oraz A20–B19. Dodatkowy mostek wewnątrz łańcucha A: A6–A11.</w:t>
      </w:r>
    </w:p>
    <w:p>
      <w:pPr>
        <w:pStyle w:val="ListNumber"/>
      </w:pPr>
      <w:r>
        <w:t>Lizozym C ma EC 3.2.1.17. Numer EC klasyfikuje enzym według katalizowanej reakcji: 3 = hydrolaza, 3.2 = działanie na wiązania glikozydowe, 3.2.1 = glikozydaza, 17 = lizozym. Insulina jest hormonem, a hemoglobina białkiem transportowym, więc nie katalizują reakcji i nie otrzymują numeru EC.</w:t>
      </w:r>
    </w:p>
    <w:p>
      <w:pPr>
        <w:pStyle w:val="Heading1"/>
      </w:pPr>
      <w:r>
        <w:t>Zadanie 3. Eksploracja baz danych dla TP53</w:t>
      </w:r>
    </w:p>
    <w:p>
      <w:pPr>
        <w:pStyle w:val="Heading2"/>
      </w:pPr>
      <w:r>
        <w:t>Treść / cel</w:t>
      </w:r>
    </w:p>
    <w:p>
      <w:r>
        <w:t>PRIDE, PhosphoSitePlus, HPA i PaxDb.</w:t>
      </w:r>
    </w:p>
    <w:p>
      <w:pPr>
        <w:pStyle w:val="Heading2"/>
      </w:pPr>
      <w:r>
        <w:t>Rozwiązanie</w:t>
      </w:r>
    </w:p>
    <w:p>
      <w:pPr>
        <w:pStyle w:val="Heading3"/>
      </w:pPr>
      <w:r>
        <w:t>A. PRIDE Archive</w:t>
      </w:r>
    </w:p>
    <w:p>
      <w:r>
        <w:t>Odpowiedź zależy od wybranego datasetu. Poprawny opis powinien zawierać identyfikator PXD, cel doświadczenia, organizm/próbki, typ spektrometrii oraz listę plików. Jako model: wybierz projekt nowotworowy człowieka, w którym w plikach wynikowych identyfikowane jest P04637/TP53; wskaż pliki surowe aparatu, pliki mzIdentML/mzTab lub wyniki wyszukiwarki i ewentualne pliki FASTA.</w:t>
      </w:r>
    </w:p>
    <w:p>
      <w:pPr>
        <w:pStyle w:val="Heading3"/>
      </w:pPr>
      <w:r>
        <w:t>B. PhosphoSitePlus - K120</w:t>
      </w:r>
    </w:p>
    <w:p>
      <w:r>
        <w:t>Lizyna K120 p53 jest przede wszystkim miejscem acetylacji. W zależności od wersji bazy mogą być pokazane również inne modyfikacje lizyny, np. ubikwitynacja lub sumoilacja, jeśli mają potwierdzenie eksperymentalne. W sprawozdaniu należy przepisać dokładnie etykiety widoczne po wskazaniu pinezki.</w:t>
      </w:r>
    </w:p>
    <w:p>
      <w:pPr>
        <w:pStyle w:val="Heading3"/>
      </w:pPr>
      <w:r>
        <w:t>C. Human Protein Atlas</w:t>
      </w:r>
    </w:p>
    <w:p>
      <w:r>
        <w:t>Główna lokalizacja: nukleoplazma. Dodatkowo: pęcherzyki i cytozol. Dla tkanek prawidłowych HPA nie podaje prostego, wiarygodnego rankingu wysokiej ekspresji białka p53; obserwuje się słabe jądrowe i/lub cytoplazmatyczne barwienie w części komórek, a profil jest zależny od typu komórek i stanu biologicznego.</w:t>
      </w:r>
    </w:p>
    <w:p>
      <w:pPr>
        <w:pStyle w:val="Heading3"/>
      </w:pPr>
      <w:r>
        <w:t>D. PaxDb</w:t>
      </w:r>
    </w:p>
    <w:p>
      <w:r>
        <w:t>TP53 ma niską i silnie zależną od zbioru abundancję. Należy posortować tabelę dla Homo sapiens i podać pierwsze tkanki wraz z jednostką ppm. Nie należy utożsamiać najwyższej wartości w pojedynczym zbiorze z uniwersalnym „najwyższym poziomem” - p53 jest białkiem regulowanym m.in. przez stabilność i stres komórkowy.</w:t>
      </w:r>
    </w:p>
    <w:p>
      <w:pPr>
        <w:pStyle w:val="Heading1"/>
      </w:pPr>
      <w:r>
        <w:t>Zadanie 4. Struktura 3KMD</w:t>
      </w:r>
    </w:p>
    <w:p>
      <w:pPr>
        <w:pStyle w:val="Heading2"/>
      </w:pPr>
      <w:r>
        <w:t>Treść / cel</w:t>
      </w:r>
    </w:p>
    <w:p>
      <w:r>
        <w:t>Oceń metodę, kompleks, DNA/ligandy i strukturę drugorzędową.</w:t>
      </w:r>
    </w:p>
    <w:p>
      <w:pPr>
        <w:pStyle w:val="Heading2"/>
      </w:pPr>
      <w:r>
        <w:t>Rozwiązanie</w:t>
      </w:r>
    </w:p>
    <w:p>
      <w:pPr>
        <w:pStyle w:val="ListBullet"/>
      </w:pPr>
      <w:r>
        <w:t>Metoda: dyfrakcja rentgenowska (X-ray), rozdzielczość ok. 2,15 Å.</w:t>
      </w:r>
    </w:p>
    <w:p>
      <w:pPr>
        <w:pStyle w:val="ListBullet"/>
      </w:pPr>
      <w:r>
        <w:t>Kompleks biologiczny: homotetramer domen rdzeniowych p53 - cztery łańcuchy białkowe A-D.</w:t>
      </w:r>
    </w:p>
    <w:p>
      <w:pPr>
        <w:pStyle w:val="ListBullet"/>
      </w:pPr>
      <w:r>
        <w:t>Kwasy nukleinowe: dwuniciowe DNA, dwa łańcuchy E i F, po 19 nukleotydów.</w:t>
      </w:r>
    </w:p>
    <w:p>
      <w:pPr>
        <w:pStyle w:val="ListBullet"/>
      </w:pPr>
      <w:r>
        <w:t>Ligand/ko-faktor: jony Zn2+ stabilizujące domenę wiążącą DNA.</w:t>
      </w:r>
    </w:p>
    <w:p>
      <w:pPr>
        <w:pStyle w:val="ListBullet"/>
      </w:pPr>
      <w:r>
        <w:t>Dominują β-kartki typowe dla domeny wiążącej DNA p53; występują też krótsze helisy i pętle.</w:t>
      </w:r>
    </w:p>
    <w:p>
      <w:r>
        <w:t>Wniosek: struktura pokazuje kooperatywne związanie pełnego miejsca konsensusowego przez tetramer p53.</w:t>
      </w:r>
    </w:p>
    <w:p>
      <w:pPr>
        <w:pStyle w:val="Heading1"/>
      </w:pPr>
      <w:r>
        <w:t>Zadanie 5. Kompleks p53 z nukleosomem</w:t>
      </w:r>
    </w:p>
    <w:p>
      <w:pPr>
        <w:pStyle w:val="Heading2"/>
      </w:pPr>
      <w:r>
        <w:t>Treść / cel</w:t>
      </w:r>
    </w:p>
    <w:p>
      <w:r>
        <w:t>EMD-33533 i PDB 7XZX.</w:t>
      </w:r>
    </w:p>
    <w:p>
      <w:pPr>
        <w:pStyle w:val="Heading2"/>
      </w:pPr>
      <w:r>
        <w:t>Rozwiązanie</w:t>
      </w:r>
    </w:p>
    <w:p>
      <w:pPr>
        <w:pStyle w:val="ListBullet"/>
      </w:pPr>
      <w:r>
        <w:t>Galeria EMDB zwykle zawiera przekroje/izopowierzchnie mapy gęstości, widoki dopasowanego modelu atomowego oraz orientacje całego kompleksu.</w:t>
      </w:r>
    </w:p>
    <w:p>
      <w:pPr>
        <w:pStyle w:val="ListBullet"/>
      </w:pPr>
      <w:r>
        <w:t>Sama mapa cryo-EM pokazuje obwiednię gęstości, ale nie zawsze pozwala jednoznacznie rozpoznać każdy łańcuch boczny. Interpretację ułatwia dopasowany model atomowy.</w:t>
      </w:r>
    </w:p>
    <w:p>
      <w:pPr>
        <w:pStyle w:val="ListBullet"/>
      </w:pPr>
      <w:r>
        <w:t>7XZX zawiera oktamer histonowy: po dwie kopie H2A, H2B, H3.1 i H4; ponadto DNA i cztery kopie domeny wiążącej DNA p53.</w:t>
      </w:r>
    </w:p>
    <w:p>
      <w:pPr>
        <w:pStyle w:val="ListBullet"/>
      </w:pPr>
      <w:r>
        <w:t>Biologiczny wniosek: związanie p53 lokalnie odsuwa/odwija DNA od powierzchni histonów i zmienia przebieg DNA w nukleosomie.</w:t>
      </w:r>
    </w:p>
    <w:p>
      <w:r>
        <w:t>Zrzut ekranu należy wykonać samodzielnie, ponieważ jest elementem oceny pracy z interfejsem.</w:t>
      </w:r>
    </w:p>
    <w:p>
      <w:pPr>
        <w:pStyle w:val="Heading1"/>
      </w:pPr>
      <w:r>
        <w:t>Zadanie 6. Identyfikacja białka metodą MS</w:t>
      </w:r>
    </w:p>
    <w:p>
      <w:pPr>
        <w:pStyle w:val="Heading2"/>
      </w:pPr>
      <w:r>
        <w:t>Treść / cel</w:t>
      </w:r>
    </w:p>
    <w:p>
      <w:r>
        <w:t>Opisz drogę od białka do identyfikacji.</w:t>
      </w:r>
    </w:p>
    <w:p>
      <w:pPr>
        <w:pStyle w:val="Heading2"/>
      </w:pPr>
      <w:r>
        <w:t>Rozwiązanie</w:t>
      </w:r>
    </w:p>
    <w:p>
      <w:r>
        <w:t>Białka z próbki są najpierw rozcinane proteazą, najczęściej trypsyną, na krótsze peptydy. Spektrometr mierzy stosunek masy do ładunku (m/z) jonów peptydowych. Wybrany jon jest następnie fragmentowany, a widmo MS/MS zawiera serię fragmentów, z których można odtworzyć lub potwierdzić sekwencję peptydu. Program porównuje widma eksperymentalne z widmami teoretycznymi wygenerowanymi z bazy sekwencji, np. UniProt/FASTA. Zestaw wiarygodnie dopasowanych peptydów pozwala wnioskować, które białka były obecne w próbce. Wyniki filtruje się statystycznie, np. kontrolując FDR.</w:t>
      </w:r>
    </w:p>
    <w:p>
      <w:pPr>
        <w:pStyle w:val="Heading1"/>
      </w:pPr>
      <w:r>
        <w:t>Zadanie 7. Trawienie p53 i PTM</w:t>
      </w:r>
    </w:p>
    <w:p>
      <w:pPr>
        <w:pStyle w:val="Heading2"/>
      </w:pPr>
      <w:r>
        <w:t>Treść / cel</w:t>
      </w:r>
    </w:p>
    <w:p>
      <w:r>
        <w:t>PeptideCutter i PhosphoSitePlus.</w:t>
      </w:r>
    </w:p>
    <w:p>
      <w:pPr>
        <w:pStyle w:val="Heading2"/>
      </w:pPr>
      <w:r>
        <w:t>Rozwiązanie</w:t>
      </w:r>
    </w:p>
    <w:p>
      <w:pPr>
        <w:pStyle w:val="ListBullet"/>
      </w:pPr>
      <w:r>
        <w:t>Dla kanonicznej sekwencji p53 P04637 (393 aa), przy pełnym trawieniu trypsyną i regule „cięcie po K/R, nie przed P”, otrzymuje się 45 fragmentów teoretycznych. Liczba w PeptideCutter może różnić się zależnie od ustawień i sposobu liczenia bardzo krótkich peptydów.</w:t>
      </w:r>
    </w:p>
    <w:p>
      <w:pPr>
        <w:pStyle w:val="ListBullet"/>
      </w:pPr>
      <w:r>
        <w:t>p53 jest silnie modyfikowane: fosforylacje głównie w N- i C-końcu, acetylacje lizyn w domenie wiążącej DNA i C-końcu, ubikwitynacje lizyn C-końcowych, a także metylacja, sumoilacja, neddylacja i inne modyfikacje.</w:t>
      </w:r>
    </w:p>
    <w:p>
      <w:pPr>
        <w:pStyle w:val="ListBullet"/>
      </w:pPr>
      <w:r>
        <w:t>Dane pochodzą z doświadczeń opisanych w literaturze: MS/MS, immunoblotów z przeciwciałami swoistymi dla PTM, mutagenezy i testów funkcjonalnych. MS wykrywa przesunięcie masy i fragmenty lokalizujące modyfikację na konkretnym aminokwasie.</w:t>
      </w:r>
    </w:p>
    <w:p>
      <w:pPr>
        <w:pStyle w:val="Heading1"/>
      </w:pPr>
      <w:r>
        <w:t>Zadanie 8. Interpretacja log2 fold change</w:t>
      </w:r>
    </w:p>
    <w:p>
      <w:pPr>
        <w:pStyle w:val="Heading2"/>
      </w:pPr>
      <w:r>
        <w:t>Treść / cel</w:t>
      </w:r>
    </w:p>
    <w:p>
      <w:r>
        <w:t>Wyjaśnij wartości 0, +2 i -1.</w:t>
      </w:r>
    </w:p>
    <w:p>
      <w:pPr>
        <w:pStyle w:val="Heading2"/>
      </w:pPr>
      <w:r>
        <w:t>Rozwiązanie</w:t>
      </w:r>
    </w:p>
    <w:p>
      <w:pPr>
        <w:pStyle w:val="ListBullet"/>
      </w:pPr>
      <w:r>
        <w:t>log2FC = 0: leczenie/kontrola = 1, czyli brak zmiany średniego poziomu.</w:t>
      </w:r>
    </w:p>
    <w:p>
      <w:pPr>
        <w:pStyle w:val="ListBullet"/>
      </w:pPr>
      <w:r>
        <w:t>log2FC = +2: 2² = 4, czyli około czterokrotny wzrost.</w:t>
      </w:r>
    </w:p>
    <w:p>
      <w:pPr>
        <w:pStyle w:val="ListBullet"/>
      </w:pPr>
      <w:r>
        <w:t>log2FC = -1: 2⁻¹ = 0,5, czyli spadek do połowy wartości kontrolnej.</w:t>
      </w:r>
    </w:p>
    <w:p>
      <w:r>
        <w:t>Przyczyny biologiczne: zmiana transkrypcji/translacji, stabilności białka, degradacji proteasomalnej lub lizosomalnej, sekrecji, lokalizacji, tempa proliferacji, składu komórkowego próbki albo aktywacji odpowiedzi na lek. Sam fold change nie dowodzi mechanizmu i powinien być oceniany razem z istotnością statystyczną.</w:t>
      </w:r>
    </w:p>
    <w:p>
      <w:pPr>
        <w:pStyle w:val="Heading1"/>
      </w:pPr>
      <w:r>
        <w:t>Zadanie 9. Obliczenia LFQ</w:t>
      </w:r>
    </w:p>
    <w:p>
      <w:pPr>
        <w:pStyle w:val="Heading2"/>
      </w:pPr>
      <w:r>
        <w:t>Treść / cel</w:t>
      </w:r>
    </w:p>
    <w:p>
      <w:r>
        <w:t>Oblicz średnie i log2FC.</w:t>
      </w:r>
    </w:p>
    <w:p>
      <w:pPr>
        <w:pStyle w:val="Heading2"/>
      </w:pPr>
      <w:r>
        <w:t>Rozwiązanie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Białko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Śr. kontrola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Śr. leczenie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Iloraz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log2FC</w:t>
            </w:r>
          </w:p>
        </w:tc>
        <w:tc>
          <w:tcPr>
            <w:tcW w:type="dxa" w:w="1704"/>
            <w:shd w:fill="D9EAF7"/>
          </w:tcPr>
          <w:p>
            <w:r/>
            <w:r>
              <w:rPr>
                <w:b/>
                <w:sz w:val="18"/>
              </w:rPr>
              <w:t>Klasyfikacja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110.0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410.0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3.727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1.898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w górę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190.0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95.0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0.500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-1.000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w dół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52.5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53.0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1.010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0.014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w górę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81.0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165.0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2.037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1.026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w górę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490.0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127.5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0.260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-1.942</w:t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8"/>
              </w:rPr>
              <w:t>w dół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9_log2f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Interpretacja: A i D są regulowane w górę; B i E w dół; C praktycznie bez zmiany (niewielki dodatni log2FC).</w:t>
      </w:r>
    </w:p>
    <w:p>
      <w:pPr>
        <w:pStyle w:val="Heading1"/>
      </w:pPr>
      <w:r>
        <w:t>Zadanie 10. Fosforylacje EGFR</w:t>
      </w:r>
    </w:p>
    <w:p>
      <w:pPr>
        <w:pStyle w:val="Heading2"/>
      </w:pPr>
      <w:r>
        <w:t>Treść / cel</w:t>
      </w:r>
    </w:p>
    <w:p>
      <w:r>
        <w:t>Porównaj UniProt i PhosphoSitePlus.</w:t>
      </w:r>
    </w:p>
    <w:p>
      <w:pPr>
        <w:pStyle w:val="Heading2"/>
      </w:pPr>
      <w:r>
        <w:t>Rozwiązanie</w:t>
      </w:r>
    </w:p>
    <w:p>
      <w:r>
        <w:t>UniProt P00533 opisuje liczne miejsca fosforylacji. Reprezentatywny zestaw kanonicznej numeracji UniProt obejmuje m.in. Ser695, Ser991, Tyr1016, Ser1039, Thr1041, Tyr1069, Tyr1092, Tyr1110, Tyr1172 i Tyr1197. Część literatury używa numeracji dojrzałego receptora, dlatego można spotkać klasyczne oznaczenia przesunięte o 24 reszty, np. Y992, Y1045, Y1068, Y1086, Y1148 i Y1173.</w:t>
      </w:r>
    </w:p>
    <w:p>
      <w:r>
        <w:t>PhosphoSitePlus zwykle pokazuje więcej pozycji niż ręcznie kuratorowany rekord UniProt, ponieważ agreguje liczne doświadczenia wysokoprzepustowe. Poprawna odpowiedź powinna podać liczbę widoczną w bieżącej wersji bazy oraz rozdzielić fosfotyrozyny od fosfoseryn i fosfotreonin.</w:t>
      </w:r>
    </w:p>
    <w:p>
      <w:r>
        <w:t>Wniosek: różnica liczby miejsc nie musi oznaczać sprzeczności - bazy stosują inne kryteria kuracji i poziomy dowodu.</w:t>
      </w:r>
    </w:p>
    <w:p>
      <w:pPr>
        <w:pStyle w:val="Heading1"/>
      </w:pPr>
      <w:r>
        <w:t>Zadanie 11. Budowa sieci TP53 w STRING</w:t>
      </w:r>
    </w:p>
    <w:p>
      <w:pPr>
        <w:pStyle w:val="Heading2"/>
      </w:pPr>
      <w:r>
        <w:t>Treść / cel</w:t>
      </w:r>
    </w:p>
    <w:p>
      <w:r>
        <w:t>Ustaw high confidence 0,700 i do 50 sąsiadów.</w:t>
      </w:r>
    </w:p>
    <w:p>
      <w:pPr>
        <w:pStyle w:val="Heading2"/>
      </w:pPr>
      <w:r>
        <w:t>Rozwiązanie</w:t>
      </w:r>
    </w:p>
    <w:p>
      <w:r>
        <w:t>Prawidłowy wynik to sieć dla Homo sapiens, TP53, confidence ≥0,700, maksymalnie 50 interaktorów pierwszego rzędu. W raporcie trzeba podać parametry i datę analizy. Typowo pojawiają się m.in. MDM2, MDM4, ATM, CHEK2, BRCA1, EP300, CREBBP, BAX, CDKN1A, GADD45A, CASP3, AKT1 i białka naprawy DNA.</w:t>
      </w:r>
    </w:p>
    <w:p>
      <w:r>
        <w:t>Zrzut ekranu jest częścią rozwiązania praktycznego i powinien być wygenerowany w STRING.</w:t>
      </w:r>
    </w:p>
    <w:p>
      <w:pPr>
        <w:pStyle w:val="Heading1"/>
      </w:pPr>
      <w:r>
        <w:t>Zadanie 12. Eksploracja sieci TP53</w:t>
      </w:r>
    </w:p>
    <w:p>
      <w:pPr>
        <w:pStyle w:val="Heading2"/>
      </w:pPr>
      <w:r>
        <w:t>Treść / cel</w:t>
      </w:r>
    </w:p>
    <w:p>
      <w:r>
        <w:t>Znajdź huby i moduły funkcjonalne.</w:t>
      </w:r>
    </w:p>
    <w:p>
      <w:pPr>
        <w:pStyle w:val="Heading2"/>
      </w:pPr>
      <w:r>
        <w:t>Rozwiązanie</w:t>
      </w:r>
    </w:p>
    <w:p>
      <w:r>
        <w:t>Przykładowe huby po wyświetleniu 50 sąsiadów: TP53, EP300, AKT1/ATM lub MDM2 - dokładna kolejność zależy od tego, czy liczymy węzeł centralny i od wersji sieci.</w:t>
      </w:r>
    </w:p>
    <w:p>
      <w:pPr>
        <w:pStyle w:val="ListBullet"/>
      </w:pPr>
      <w:r>
        <w:t>MDM2: ujemny regulator p53, ligaza E3 promująca ubikwitynację i degradację p53; onkogen często amplifikowany.</w:t>
      </w:r>
    </w:p>
    <w:p>
      <w:pPr>
        <w:pStyle w:val="ListBullet"/>
      </w:pPr>
      <w:r>
        <w:t>BRCA1: naprawa DNA i kontrola cyklu; gen supresorowy związany z rakiem piersi i jajnika.</w:t>
      </w:r>
    </w:p>
    <w:p>
      <w:pPr>
        <w:pStyle w:val="ListBullet"/>
      </w:pPr>
      <w:r>
        <w:t>Moduł cyklu komórkowego: CDKN1A, CCND1, CDK2, CHEK1/2.</w:t>
      </w:r>
    </w:p>
    <w:p>
      <w:pPr>
        <w:pStyle w:val="ListBullet"/>
      </w:pPr>
      <w:r>
        <w:t>Moduł apoptozy: BAX, BBC3/PUMA, PMAIP1/NOXA, CASP3.</w:t>
      </w:r>
    </w:p>
    <w:p>
      <w:pPr>
        <w:pStyle w:val="ListBullet"/>
      </w:pPr>
      <w:r>
        <w:t>Moduł naprawy DNA/stresu: ATM, ATR, BRCA1, RAD51, GADD45A.</w:t>
      </w:r>
    </w:p>
    <w:p>
      <w:r>
        <w:t>Wniosek: TP53 łączy wykrywanie uszkodzeń DNA z zatrzymaniem cyklu, naprawą, senescencją i apoptozą.</w:t>
      </w:r>
    </w:p>
    <w:p>
      <w:pPr>
        <w:pStyle w:val="Heading1"/>
      </w:pPr>
      <w:r>
        <w:t>Zadanie 13. Predykcja struktury O14717</w:t>
      </w:r>
    </w:p>
    <w:p>
      <w:pPr>
        <w:pStyle w:val="Heading2"/>
      </w:pPr>
      <w:r>
        <w:t>Treść / cel</w:t>
      </w:r>
    </w:p>
    <w:p>
      <w:r>
        <w:t>AlphaFold dla TRDMT1.</w:t>
      </w:r>
    </w:p>
    <w:p>
      <w:pPr>
        <w:pStyle w:val="Heading2"/>
      </w:pPr>
      <w:r>
        <w:t>Rozwiązanie</w:t>
      </w:r>
    </w:p>
    <w:p>
      <w:r>
        <w:t>O14717 to TRDMT1, tRNA (cytosine-38-C5)-methyltransferase, białko około 391 aa. Rdzeń enzymatyczny powinien być przewidywany z wysoką ufnością, ponieważ ma uporządkowany fałd metylotransferazy i istnieją dane strukturalne homologiczne/eksperymentalne.</w:t>
      </w:r>
    </w:p>
    <w:p>
      <w:r>
        <w:t>Najniższej ufności należy oczekiwać w elastycznych pętlach powierzchniowych oraz krótkich końcach białka. Obszary o niskim pLDDT często nie tworzą stabilnej regularnej struktury drugorzędowej albo przyjmują konformację dopiero po związaniu RNA/ligandu.</w:t>
      </w:r>
    </w:p>
    <w:p>
      <w:r>
        <w:t>Do oddania trzeba dołączyć własny model PDB/CIF i zrzut z legendą pLDDT; bez uruchomienia serwera nie ma jednego identycznego pliku wynikowego.</w:t>
      </w:r>
    </w:p>
    <w:p>
      <w:pPr>
        <w:pStyle w:val="Heading1"/>
      </w:pPr>
      <w:r>
        <w:t>Zadanie 14. Porównanie O14717 z 1G55</w:t>
      </w:r>
    </w:p>
    <w:p>
      <w:pPr>
        <w:pStyle w:val="Heading2"/>
      </w:pPr>
      <w:r>
        <w:t>Treść / cel</w:t>
      </w:r>
    </w:p>
    <w:p>
      <w:r>
        <w:t>Nałóż model przewidziany na strukturę eksperymentalną.</w:t>
      </w:r>
    </w:p>
    <w:p>
      <w:pPr>
        <w:pStyle w:val="Heading2"/>
      </w:pPr>
      <w:r>
        <w:t>Rozwiązanie</w:t>
      </w:r>
    </w:p>
    <w:p>
      <w:r>
        <w:t>1G55 przedstawia ludzką metylotransferazę TRDMT1/DNMT2 wyznaczoną eksperymentalnie. Po nałożeniu rdzenie katalityczne powinny być bardzo podobne, natomiast największe odchylenia pojawią się w pętlach, końcach i fragmentach słabo widocznych w krysztale.</w:t>
      </w:r>
    </w:p>
    <w:p>
      <w:r>
        <w:t>Przyczyny niskiej ufności: ruchliwość pętli rozpoznających RNA, brak partnera RNA i kofaktora w predykcji, mała liczba ograniczeń ewolucyjnych, możliwe alternatywne konformacje oraz brak części reszt w modelu eksperymentalnym z powodu nieuporządkowania.</w:t>
      </w:r>
    </w:p>
    <w:p>
      <w:r>
        <w:t>W raporcie należy podać RMSD z programu i liczbę dopasowanych atomów/reszt. Nie należy porównywać RMSD bez informacji o zakresie dopasowania.</w:t>
      </w:r>
    </w:p>
    <w:p>
      <w:pPr>
        <w:pStyle w:val="Heading1"/>
      </w:pPr>
      <w:r>
        <w:t>Zadanie 15. Predykcja białek rybosomalnych</w:t>
      </w:r>
    </w:p>
    <w:p>
      <w:pPr>
        <w:pStyle w:val="Heading2"/>
      </w:pPr>
      <w:r>
        <w:t>Treść / cel</w:t>
      </w:r>
    </w:p>
    <w:p>
      <w:r>
        <w:t>Przykład: RPL3, RPS6, RPL13A.</w:t>
      </w:r>
    </w:p>
    <w:p>
      <w:pPr>
        <w:pStyle w:val="Heading2"/>
      </w:pPr>
      <w:r>
        <w:t>Rozwiązanie</w:t>
      </w:r>
    </w:p>
    <w:p>
      <w:r>
        <w:t>Modelowy zestaw wyników (nazwy predykcji mogą różnić się w zależności od wersji modeli):</w:t>
      </w:r>
    </w:p>
    <w:p>
      <w:pPr>
        <w:pStyle w:val="ListBullet"/>
      </w:pPr>
      <w:r>
        <w:t>RPL3 (P39023): funkcja - składnik dużej podjednostki 60S, udział w translacji i centrum peptydylotransferazowym; lokalizacja - jądro/jąderko oraz cytozol.</w:t>
      </w:r>
    </w:p>
    <w:p>
      <w:pPr>
        <w:pStyle w:val="ListBullet"/>
      </w:pPr>
      <w:r>
        <w:t>RPS6 (P62753): składnik małej podjednostki 40S, wiązanie RNA i regulacja translacji; lokalizacja - jądro/jąderko oraz cytozol.</w:t>
      </w:r>
    </w:p>
    <w:p>
      <w:pPr>
        <w:pStyle w:val="ListBullet"/>
      </w:pPr>
      <w:r>
        <w:t>RPL13A (P40429): składnik 60S, wiązanie rRNA; dodatkowo udział w kompleksie GAIT; lokalizacja - jąderko/cytozol.</w:t>
      </w:r>
    </w:p>
    <w:p>
      <w:r>
        <w:t>DeepLoc powinien wskazywać lokalizację wewnątrzkomórkową, bez peptydu sygnałowego i domen transbłonowych. AlphaFold powinien przewidzieć uporządkowane rdzenie, ale dodatnio naładowane ogony wiążące rRNA mogą mieć niższą ufność.</w:t>
      </w:r>
    </w:p>
    <w:p>
      <w:pPr>
        <w:pStyle w:val="Heading1"/>
      </w:pPr>
      <w:r>
        <w:t>Zadanie 16. Ocena wyników ML</w:t>
      </w:r>
    </w:p>
    <w:p>
      <w:pPr>
        <w:pStyle w:val="Heading2"/>
      </w:pPr>
      <w:r>
        <w:t>Treść / cel</w:t>
      </w:r>
    </w:p>
    <w:p>
      <w:r>
        <w:t>Porównaj z UniProt.</w:t>
      </w:r>
    </w:p>
    <w:p>
      <w:pPr>
        <w:pStyle w:val="Heading2"/>
      </w:pPr>
      <w:r>
        <w:t>Rozwiązanie</w:t>
      </w:r>
    </w:p>
    <w:p>
      <w:r>
        <w:t>Predykcje są biologicznie sensowne, jeśli wskazują udział w rybosomie/translacji oraz lokalizację jądrowo-jąderkową i cytoplazmatyczną. Białka rybosomalne są syntetyzowane w cytozolu, importowane do jądra/jąderka w celu składania podjednostek, a następnie wracają w dojrzałych podjednostkach do cytoplazmy.</w:t>
      </w:r>
    </w:p>
    <w:p>
      <w:r>
        <w:t>Rozbieżność nie musi oznaczać błędu: modele często zwracają jedną dominującą lokalizację, podczas gdy białko przechodzi między przedziałami. UniProt ma pierwszeństwo jako źródło ręcznie kuratorowanych danych eksperymentalnych.</w:t>
      </w:r>
    </w:p>
    <w:p>
      <w:pPr>
        <w:pStyle w:val="Heading1"/>
      </w:pPr>
      <w:r>
        <w:t>Zadanie 17. Wielokrotne wyrównanie sekwencji</w:t>
      </w:r>
    </w:p>
    <w:p>
      <w:pPr>
        <w:pStyle w:val="Heading2"/>
      </w:pPr>
      <w:r>
        <w:t>Treść / cel</w:t>
      </w:r>
    </w:p>
    <w:p>
      <w:r>
        <w:t>Wskaż regiony konserwatywne i zmienne.</w:t>
      </w:r>
    </w:p>
    <w:p>
      <w:pPr>
        <w:pStyle w:val="Heading2"/>
      </w:pPr>
      <w:r>
        <w:t>Rozwiązanie</w:t>
      </w:r>
    </w:p>
    <w:p>
      <w:r>
        <w:t>Na podstawie sekwencji widoczne są bardzo silnie konserwowane bloki:</w:t>
      </w:r>
    </w:p>
    <w:p>
      <w:pPr>
        <w:pStyle w:val="ListBullet"/>
      </w:pPr>
      <w:r>
        <w:t>około 1-23: MKTAIIGKGGIGRNPTVEVDLST</w:t>
      </w:r>
    </w:p>
    <w:p>
      <w:pPr>
        <w:pStyle w:val="ListBullet"/>
      </w:pPr>
      <w:r>
        <w:t>około 43-61: motyw zawierający ...GPEFVDITG...</w:t>
      </w:r>
    </w:p>
    <w:p>
      <w:pPr>
        <w:pStyle w:val="ListBullet"/>
      </w:pPr>
      <w:r>
        <w:t>około 66-82: ...NVIFADKT...</w:t>
      </w:r>
    </w:p>
    <w:p>
      <w:pPr>
        <w:pStyle w:val="ListBullet"/>
      </w:pPr>
      <w:r>
        <w:t>około 103-120: ...GDCPVILVGNKCDL...</w:t>
      </w:r>
    </w:p>
    <w:p>
      <w:r>
        <w:t>Regiony o dużej zmienności obejmują około 25-42, 83-102 oraz szczególnie 121-145, gdzie występują insercje bogate w Q/P, G/S, E/D, K/R, N/T lub A/T. Końcowe 10-20 reszt także są zmienne.</w:t>
      </w:r>
    </w:p>
    <w:p>
      <w:r>
        <w:t>Wniosek: rdzeń enzymatyczny jest konserwowany, a pętle/ogony powierzchniowe tolerują insercje i zmiany składu.</w:t>
      </w:r>
    </w:p>
    <w:p>
      <w:pPr>
        <w:pStyle w:val="Heading1"/>
      </w:pPr>
      <w:r>
        <w:t>Zadanie 18. Drzewo podobieństwa</w:t>
      </w:r>
    </w:p>
    <w:p>
      <w:pPr>
        <w:pStyle w:val="Heading2"/>
      </w:pPr>
      <w:r>
        <w:t>Treść / cel</w:t>
      </w:r>
    </w:p>
    <w:p>
      <w:r>
        <w:t>Wskaż klastry.</w:t>
      </w:r>
    </w:p>
    <w:p>
      <w:pPr>
        <w:pStyle w:val="Heading2"/>
      </w:pPr>
      <w:r>
        <w:t>Rozwiązanie</w:t>
      </w:r>
    </w:p>
    <w:p>
      <w:r>
        <w:t>Najbardziej podobne pary według prostego globalnego porównania to: B-A (91.1% identyczności), C-A (84.6%) oraz C-B (82.6%).</w:t>
      </w:r>
    </w:p>
    <w:p>
      <w:r>
        <w:t>Najwyraźniejszy klaster tworzą Seq_A i Seq_B; Seq_C i Seq_F są do nich relatywnie zbliżone. Seq_D, Seq_E i Seq_G są bardziej odległe, głównie przez zmienny region środkowo-końcowy.</w:t>
      </w:r>
    </w:p>
    <w:p>
      <w:r>
        <w:t>Drzewo jest drzewem podobieństwa dla krótkiego zestawu, a nie pełną filogenezą gatunków. Wniosek funkcjonalny: konserwowany rdzeń sugeruje wspólną funkcję, natomiast różne ogony mogą odpowiadać za regulację, lokalizację lub oddziaływania specyficzne dla linii.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8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Zadanie 19. Logo sekwencyjne</w:t>
      </w:r>
    </w:p>
    <w:p>
      <w:pPr>
        <w:pStyle w:val="Heading2"/>
      </w:pPr>
      <w:r>
        <w:t>Treść / cel</w:t>
      </w:r>
    </w:p>
    <w:p>
      <w:r>
        <w:t>Zinterpretuj pozycje 60-70.</w:t>
      </w:r>
    </w:p>
    <w:p>
      <w:pPr>
        <w:pStyle w:val="Heading2"/>
      </w:pPr>
      <w:r>
        <w:t>Rozwiązanie</w:t>
      </w:r>
    </w:p>
    <w:p>
      <w:r>
        <w:t>W regionie około 60-70 dominują reszty należące do konserwowanego przejścia między motywem DITG i odcinkiem LKQ...NVIFADKT. Najwyższe litery powinny obejmować m.in. D, I, T, G oraz konserwowane reszty w NVIFADKT, zależnie od dokładnego numerowania kolumn po MSA.</w:t>
      </w:r>
    </w:p>
    <w:p>
      <w:r>
        <w:t>Wysoka litera oznacza dużą częstość aminokwasu i wysoką informację/konserwację w danej kolumnie. Niskie, wielokolorowe stosy wskazują zmienność.</w:t>
      </w:r>
    </w:p>
    <w:p>
      <w:r>
        <w:t>Logo powinno potwierdzić zadanie 17: wysokie stosy w rdzeniu i niskie/rozproszone w regionach insercyjnych. Obraz należy wygenerować samodzielnie z dokładnego MSA, ponieważ numeracja kolumn zależy od wstawionych luk.</w:t>
      </w:r>
    </w:p>
    <w:p>
      <w:pPr>
        <w:pStyle w:val="Heading1"/>
      </w:pPr>
      <w:r>
        <w:t>Zadanie 20. Korelacja RNA-białko TP53</w:t>
      </w:r>
    </w:p>
    <w:p>
      <w:pPr>
        <w:pStyle w:val="Heading2"/>
      </w:pPr>
      <w:r>
        <w:t>Treść / cel</w:t>
      </w:r>
    </w:p>
    <w:p>
      <w:r>
        <w:t>cBioPortal: TCGA BRCA, mRNA vs RPPA.</w:t>
      </w:r>
    </w:p>
    <w:p>
      <w:pPr>
        <w:pStyle w:val="Heading2"/>
      </w:pPr>
      <w:r>
        <w:t>Rozwiązanie</w:t>
      </w:r>
    </w:p>
    <w:p>
      <w:r>
        <w:t>Po ustawieniu osi należy przepisać współczynniki Pearsona i Spearmana wyświetlane w bieżącej sesji. Zwykle korelacja jest dodatnia, ale słaba lub umiarkowana - poziom mRNA nie wyjaśnia całej zmienności białka p53. Dokładna liczba zależy od filtrów, wersji badania i liczby próbek z obiema wartościami.</w:t>
      </w:r>
    </w:p>
    <w:p>
      <w:r>
        <w:t>Przyczyny rozbieżności: różna wydajność translacji; stabilizacja/degradacja białka (p53 jest silnie kontrolowane przez MDM2); modyfikacje potranslacyjne; różny czas życia RNA i białka; zmiany liczby kopii i mutacje; jakość próbki i domieszka komórek; różnice techniczne między RNA-seq i RPPA.</w:t>
      </w:r>
    </w:p>
    <w:p>
      <w:r>
        <w:t>Wniosek należy sformułować na podstawie wielkości |r|, nie tylko znaku: korelacja nie jest dowodem przyczynowości.</w:t>
      </w:r>
    </w:p>
    <w:p>
      <w:pPr>
        <w:pStyle w:val="Title"/>
      </w:pPr>
      <w:r>
        <w:t>Przykładowe rozwiązania projektów</w:t>
      </w:r>
    </w:p>
    <w:p>
      <w:r>
        <w:t>Poniższe propozycje są modelami organizacji odpowiedzi. Projekty są otwarte i wymagają własnych zrzutów, tabel oraz wyników z serwerów.</w:t>
      </w:r>
    </w:p>
    <w:p>
      <w:pPr>
        <w:pStyle w:val="Heading1"/>
      </w:pPr>
      <w:r>
        <w:t>Projekt 1 - przykład: ludzka dehydrogenaza mleczanowa A (LDHA, P00338)</w:t>
      </w:r>
    </w:p>
    <w:p>
      <w:pPr>
        <w:pStyle w:val="ListBullet"/>
      </w:pPr>
      <w:r>
        <w:t>LDHA katalizuje odwracalną przemianę pirogronianu i mleczanu z udziałem NADH/NAD+. Jest enzymem tetramerycznym i ma znaczenie w metabolizmie beztlenowym oraz nowotworach.</w:t>
      </w:r>
    </w:p>
    <w:p>
      <w:pPr>
        <w:pStyle w:val="ListBullet"/>
      </w:pPr>
      <w:r>
        <w:t>Do MSA należy zebrać 8-12 ortologów LDHA z kręgowców i bardziej odległych eukariontów. Oczekiwane: silna konserwacja rdzenia wiążącego NAD i reszt katalitycznych, większa zmienność pętli powierzchniowych.</w:t>
      </w:r>
    </w:p>
    <w:p>
      <w:pPr>
        <w:pStyle w:val="ListBullet"/>
      </w:pPr>
      <w:r>
        <w:t>W tabeli należy zaznaczyć reszty funkcjonalne z UniProt/PDB i sprawdzić, czy są zachowane. PTM położone poza centrum aktywnym mogą regulować oligomeryzację, stabilność lub lokalizację; PTM blisko szczeliny aktywnej mogą wpływać na katalizę.</w:t>
      </w:r>
    </w:p>
    <w:p>
      <w:pPr>
        <w:pStyle w:val="ListBullet"/>
      </w:pPr>
      <w:r>
        <w:t>Wniosek modelowy: centrum aktywne jest silnie konserwowane, bo zmiany obniżałyby aktywność enzymu; regiony regulatorowe ewoluują szybciej.</w:t>
      </w:r>
    </w:p>
    <w:p>
      <w:pPr>
        <w:pStyle w:val="Heading1"/>
      </w:pPr>
      <w:r>
        <w:t>Projekt 2 - przykład: TP53, EGFR i GAPDH</w:t>
      </w:r>
    </w:p>
    <w:p>
      <w:pPr>
        <w:pStyle w:val="ListBullet"/>
      </w:pPr>
      <w:r>
        <w:t>TP53: przewidywana lokalizacja jądrowa/cytozolowa; funkcja - wiązanie DNA i regulacja transkrypcji; struktura zawiera uporządkowaną domenę wiążącą DNA i nieuporządkowane końce.</w:t>
      </w:r>
    </w:p>
    <w:p>
      <w:pPr>
        <w:pStyle w:val="ListBullet"/>
      </w:pPr>
      <w:r>
        <w:t>EGFR: błona komórkowa, receptorowa kinaza tyrozynowa; model powinien zawierać domenę zewnątrzkomórkową, pojedynczą helisę transbłonową i domenę kinazową, lecz pełna konformacja zależy od ligandu i dimeryzacji.</w:t>
      </w:r>
    </w:p>
    <w:p>
      <w:pPr>
        <w:pStyle w:val="ListBullet"/>
      </w:pPr>
      <w:r>
        <w:t>GAPDH: cytozol, enzym glikolizy; model globularny o wysokiej ufności, zgodny ze strukturami PDB.</w:t>
      </w:r>
    </w:p>
    <w:p>
      <w:pPr>
        <w:pStyle w:val="ListBullet"/>
      </w:pPr>
      <w:r>
        <w:t>Porównanie: predykcje ML będą najlepiej zgodne dla dobrze scharakteryzowanych białek; największe niepewności dotyczą wielolokalizacyjności, regionów nieuporządkowanych i stanów kompleksowych.</w:t>
      </w:r>
    </w:p>
    <w:p>
      <w:pPr>
        <w:pStyle w:val="Heading1"/>
      </w:pPr>
      <w:r>
        <w:t>Projekt 3 - przykład: receptor EGFR (P00533)</w:t>
      </w:r>
    </w:p>
    <w:p>
      <w:pPr>
        <w:pStyle w:val="ListBullet"/>
      </w:pPr>
      <w:r>
        <w:t>Motywacja: białko o znaczeniu onkologicznym, z licznymi strukturami eksperymentalnymi i bogatymi danymi proteomicznymi.</w:t>
      </w:r>
    </w:p>
    <w:p>
      <w:pPr>
        <w:pStyle w:val="ListBullet"/>
      </w:pPr>
      <w:r>
        <w:t>Parametry: 1210 aa, receptor jednoprzejściowy; domena zewnątrzkomórkowa, helisa 646-668, cytoplazmatyczna domena kinazowa 712-979 i elastyczny ogon C-końcowy.</w:t>
      </w:r>
    </w:p>
    <w:p>
      <w:pPr>
        <w:pStyle w:val="ListBullet"/>
      </w:pPr>
      <w:r>
        <w:t>AlphaFold vs PDB: domeny lokalne powinny być wiarygodne, ale wzajemna orientacja domen i ogon C-końcowy mogą być niepewne; eksperymentalne struktury często obejmują tylko fragmenty i określone stany aktywacji.</w:t>
      </w:r>
    </w:p>
    <w:p>
      <w:pPr>
        <w:pStyle w:val="ListBullet"/>
      </w:pPr>
      <w:r>
        <w:t>Interaktom: ERBB2/3, GRB2, SHC1, CBL, PLCG1, PIK3R1, STAT3, SRC i regulatory endocytozy. Sieć należy podzielić na sygnalizację, internalizację/degradację i regulację transkrypcji.</w:t>
      </w:r>
    </w:p>
    <w:p>
      <w:pPr>
        <w:pStyle w:val="ListBullet"/>
      </w:pPr>
      <w:r>
        <w:t>Ekspresja: HPA wskazuje szeroką ekspresję z profilem podwyższonym m.in. w łożysku; w nowotworach amplifikacja/aktywacja EGFR jest zależna od typu guza. Dane MS należy pobrać z konkretnego datasetu i opisać warunki.</w:t>
      </w:r>
    </w:p>
    <w:p>
      <w:pPr>
        <w:pStyle w:val="ListBullet"/>
      </w:pPr>
      <w:r>
        <w:t>Predykcja lokalizacji powinna wskazać błonę komórkową; funkcja ML - receptorowa aktywność kinazy tyrozynowej i sygnalizacja wzrostowa. Wyniki należy porównać z UniProt, PDB i HPA.</w:t>
      </w:r>
    </w:p>
    <w:p>
      <w:pPr>
        <w:pStyle w:val="Heading1"/>
      </w:pPr>
      <w:r>
        <w:t>Źródła i uwagi weryfikacyjne</w:t>
      </w:r>
    </w:p>
    <w:p>
      <w:pPr>
        <w:pStyle w:val="ListBullet"/>
      </w:pPr>
      <w:r>
        <w:t>Podręcznik „Bioinformatyka w proteomice”, wersja 2025/26_2.</w:t>
      </w:r>
    </w:p>
    <w:p>
      <w:pPr>
        <w:pStyle w:val="ListBullet"/>
      </w:pPr>
      <w:r>
        <w:t>UniProtKB: P01308, P68871, P61626, P04637, P00533, O14717, P39023, P62753, P40429.</w:t>
      </w:r>
    </w:p>
    <w:p>
      <w:pPr>
        <w:pStyle w:val="ListBullet"/>
      </w:pPr>
      <w:r>
        <w:t>RCSB PDB: 3KMD, 7XZX, 1G55.</w:t>
      </w:r>
    </w:p>
    <w:p>
      <w:pPr>
        <w:pStyle w:val="ListBullet"/>
      </w:pPr>
      <w:r>
        <w:t>EMDB: EMD-33533.</w:t>
      </w:r>
    </w:p>
    <w:p>
      <w:pPr>
        <w:pStyle w:val="ListBullet"/>
      </w:pPr>
      <w:r>
        <w:t>Human Protein Atlas: TP53 / ENSG00000141510.</w:t>
      </w:r>
    </w:p>
    <w:p>
      <w:pPr>
        <w:pStyle w:val="ListBullet"/>
      </w:pPr>
      <w:r>
        <w:t>PRIDE Archive, PhosphoSitePlus, PaxDb, STRING, AlphaFold Server, cBioPortal - wyniki dynamiczne; wymagana data dostępu i własny zrzut.</w:t>
      </w:r>
    </w:p>
    <w:p>
      <w:r>
        <w:t>Opracowanie edukacyjne. Przed oddaniem pracy sprawdź wartości w bieżącej wersji bazy i dołącz wymagane zrzuty ekranów.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Materiał do nauki • stan: 01.08.2026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Bioinformatyka w proteomice - zadania z rozwiązaniami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