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m.xml" ContentType="application/vnd.openxmlformats-officedocument.wordprocessingml.header+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006A6E">
      <w:pPr>
        <w:spacing w:before="0" w:after="0"/>
        <w:ind w:left="4800" w:leftChars="2000" w:firstLine="0" w:firstLineChars="0"/>
        <w:jc w:val="center"/>
      </w:pPr>
      <w:r>
        <w:rPr>
          <w:b/>
          <w:i w:val="0"/>
        </w:rPr>
        <w:t xml:space="preserve">TASDIQLANGAN</w:t>
      </w:r>
    </w:p>
    <w:p w14:paraId="6C369F5B">
      <w:pPr>
        <w:spacing w:before="0" w:after="0"/>
        <w:ind w:left="4800" w:leftChars="2000" w:firstLine="0" w:firstLineChars="0"/>
        <w:jc w:val="center"/>
      </w:pPr>
      <w:r>
        <w:rPr>
          <w:b w:val="0"/>
          <w:i w:val="0"/>
        </w:rPr>
        <w:t xml:space="preserve">direktorning buyrug‘i bilan</w:t>
      </w:r>
    </w:p>
    <w:p w14:paraId="2989FB8A">
      <w:pPr>
        <w:spacing w:before="0" w:after="0"/>
        <w:ind w:left="4800" w:leftChars="2000" w:firstLine="0" w:firstLineChars="0"/>
        <w:jc w:val="center"/>
      </w:pPr>
      <w:r>
        <w:rPr>
          <w:b w:val="0"/>
          <w:i w:val="0"/>
        </w:rPr>
        <w:t xml:space="preserve">«MOSSAD» MChJ</w:t>
      </w:r>
    </w:p>
    <w:p w14:paraId="5E3C3D07">
      <w:pPr>
        <w:spacing w:before="0" w:after="200"/>
        <w:ind w:left="4800" w:leftChars="2000" w:firstLine="0" w:firstLineChars="0"/>
        <w:jc w:val="center"/>
      </w:pPr>
      <w:r>
        <w:rPr>
          <w:b w:val="0"/>
          <w:i w:val="0"/>
        </w:rPr>
        <w:t xml:space="preserve">2026-yil «___» ____________dagi № ____</w:t>
      </w:r>
    </w:p>
    <w:p w14:paraId="4DBF0F0B">
      <w:pPr>
        <w:spacing w:before="0" w:after="0"/>
        <w:jc w:val="center"/>
        <w:rPr>
          <w:b/>
          <w:i w:val="0"/>
        </w:rPr>
      </w:pPr>
    </w:p>
    <w:p w14:paraId="66EBDD70">
      <w:pPr>
        <w:spacing w:before="0" w:after="0"/>
        <w:jc w:val="center"/>
      </w:pPr>
      <w:r>
        <w:rPr>
          <w:b/>
          <w:i w:val="0"/>
        </w:rPr>
        <w:t xml:space="preserve">NIZOM</w:t>
      </w:r>
    </w:p>
    <w:p w14:paraId="0307AB35">
      <w:pPr>
        <w:spacing w:before="0" w:after="160"/>
        <w:jc w:val="center"/>
      </w:pPr>
      <w:r>
        <w:rPr>
          <w:b/>
          <w:i w:val="0"/>
        </w:rPr>
        <w:t xml:space="preserve">«MOSSAD» MChJda turistik xizmatlarni sotish va to‘lovlarni qabul qilish tartibi to‘g‘risida</w:t>
      </w:r>
    </w:p>
    <w:p w14:paraId="1CD99976">
      <w:pPr>
        <w:keepNext/>
        <w:spacing w:before="120" w:after="80"/>
        <w:jc w:val="center"/>
      </w:pPr>
      <w:r>
        <w:rPr>
          <w:b/>
          <w:i w:val="0"/>
        </w:rPr>
        <w:t xml:space="preserve">1. Umumiy qoidalar</w:t>
      </w:r>
    </w:p>
    <w:p w14:paraId="6A6B892B">
      <w:pPr>
        <w:keepLines w:val="0"/>
        <w:pageBreakBefore w:val="0"/>
        <w:widowControl/>
        <w:kinsoku/>
        <w:wordWrap/>
        <w:overflowPunct/>
        <w:topLinePunct w:val="0"/>
        <w:autoSpaceDE/>
        <w:autoSpaceDN/>
        <w:bidi w:val="0"/>
        <w:adjustRightInd/>
        <w:snapToGrid/>
        <w:spacing w:before="0" w:after="80" w:line="233" w:lineRule="auto"/>
        <w:ind w:left="567" w:hanging="567"/>
        <w:jc w:val="both"/>
        <w:textAlignment w:val="auto"/>
        <w:rPr>
          <w:spacing w:val="6"/>
        </w:rPr>
      </w:pPr>
      <w:r>
        <w:rPr>
          <w:b w:val="0"/>
          <w:i w:val="0"/>
          <w:spacing w:val="6"/>
        </w:rPr>
        <w:t xml:space="preserve">1.1.</w:t>
        <w:tab/>
        <w:t xml:space="preserve">Ushbu Nizom «MOSSAD» MChJning (keyingi o‘rinlarda — Jamiyat) lokal hujjatidir. U turistik xizmatlarni sotishni rasmiylashtirish va to‘lovlarni qabul qilish tartibini, shuningdek xodimlarning ushbu sohadagi huquq, majburiyat va mas’uliyatini belgilaydi. Nizomning maqsadi — Jamiyat va uning mijozlarining mulkiy manfaatlarini himoya qilish, to‘lovlarni qabul qilish va bitimlar tuzishni Ofisdan tashqarida amalga oshirishga yo‘l qo‘ymaslik.</w:t>
      </w:r>
    </w:p>
    <w:p w14:paraId="68582FA7">
      <w:pPr>
        <w:keepLines w:val="0"/>
        <w:pageBreakBefore w:val="0"/>
        <w:widowControl/>
        <w:kinsoku/>
        <w:wordWrap/>
        <w:overflowPunct/>
        <w:topLinePunct w:val="0"/>
        <w:autoSpaceDE/>
        <w:autoSpaceDN/>
        <w:bidi w:val="0"/>
        <w:adjustRightInd/>
        <w:snapToGrid/>
        <w:spacing w:before="0" w:after="80" w:line="233" w:lineRule="auto"/>
        <w:ind w:left="567" w:hanging="567"/>
        <w:jc w:val="both"/>
        <w:textAlignment w:val="auto"/>
      </w:pPr>
      <w:r>
        <w:rPr>
          <w:b w:val="0"/>
          <w:i w:val="0"/>
        </w:rPr>
        <w:t xml:space="preserve">1.2.</w:t>
        <w:tab/>
        <w:t xml:space="preserve">Nizom Jamiyatning barcha xodimlari, shu jumladan savdo bo‘yicha menejerlar va sinov muddati bilan qabul qilingan xodimlar uchun majburiydir. Mehnat shartnomasini imzolashdan oldin ishga kirayotgan shaxs Nizom bilan imzo qo‘ydirib tanishadi (O‘zbekiston Respublikasi Mehnat kodeksining 123-moddasi, keyingi o‘rinlarda — MK).</w:t>
      </w:r>
    </w:p>
    <w:p w14:paraId="3D9AD578">
      <w:pPr>
        <w:keepLines w:val="0"/>
        <w:pageBreakBefore w:val="0"/>
        <w:widowControl/>
        <w:kinsoku/>
        <w:wordWrap/>
        <w:overflowPunct/>
        <w:topLinePunct w:val="0"/>
        <w:autoSpaceDE/>
        <w:autoSpaceDN/>
        <w:bidi w:val="0"/>
        <w:adjustRightInd/>
        <w:snapToGrid/>
        <w:spacing w:before="0" w:after="80" w:line="233" w:lineRule="auto"/>
        <w:ind w:left="567" w:hanging="567"/>
        <w:jc w:val="both"/>
        <w:textAlignment w:val="auto"/>
      </w:pPr>
      <w:r>
        <w:rPr>
          <w:b w:val="0"/>
          <w:i w:val="0"/>
        </w:rPr>
        <w:t xml:space="preserve">1.3.</w:t>
        <w:tab/>
        <w:t xml:space="preserve">Atamalar: «</w:t>
      </w:r>
      <w:r>
        <w:rPr>
          <w:b/>
          <w:i w:val="0"/>
        </w:rPr>
        <w:t xml:space="preserve">Ofis</w:t>
      </w:r>
      <w:r>
        <w:rPr>
          <w:b w:val="0"/>
          <w:i w:val="0"/>
        </w:rPr>
        <w:t xml:space="preserve">» — Jamiyatning quyidagi manzildagi joyi: Toshkent sh., Mirobod tumani, Namuna ko‘chasi, 1; «</w:t>
      </w:r>
      <w:r>
        <w:rPr>
          <w:b/>
          <w:i w:val="0"/>
        </w:rPr>
        <w:t xml:space="preserve">Mijoz</w:t>
      </w:r>
      <w:r>
        <w:rPr>
          <w:b w:val="0"/>
          <w:i w:val="0"/>
        </w:rPr>
        <w:t xml:space="preserve">» — Jamiyat xizmatlarini sotib oluvchi turist, buyurtmachi yoki boshqa shaxs; «</w:t>
      </w:r>
      <w:r>
        <w:rPr>
          <w:b/>
          <w:i w:val="0"/>
        </w:rPr>
        <w:t xml:space="preserve">To‘lov</w:t>
      </w:r>
      <w:r>
        <w:rPr>
          <w:b w:val="0"/>
          <w:i w:val="0"/>
        </w:rPr>
        <w:t xml:space="preserve">» — Jamiyat xizmatlari uchun yoki ular munosabati bilan o‘tkaziladigan har qanday pul mablag‘lari (naqd va naqdsiz); «</w:t>
      </w:r>
      <w:r>
        <w:rPr>
          <w:b/>
          <w:i w:val="0"/>
        </w:rPr>
        <w:t xml:space="preserve">Menejer</w:t>
      </w:r>
      <w:r>
        <w:rPr>
          <w:b w:val="0"/>
          <w:i w:val="0"/>
        </w:rPr>
        <w:t xml:space="preserve">» — savdo bo‘yicha menejer lavozimini egallagan xodim; «</w:t>
      </w:r>
      <w:r>
        <w:rPr>
          <w:b/>
          <w:i w:val="0"/>
        </w:rPr>
        <w:t xml:space="preserve">Mas’ul shaxs</w:t>
      </w:r>
      <w:r>
        <w:rPr>
          <w:b w:val="0"/>
          <w:i w:val="0"/>
        </w:rPr>
        <w:t xml:space="preserve">» — Ofisda to‘lovlarni qabul qilish uchun direktor buyrug‘i bilan tayinlangan xodim.</w:t>
      </w:r>
    </w:p>
    <w:p w14:paraId="0ECA7722">
      <w:pPr>
        <w:keepLines w:val="0"/>
        <w:pageBreakBefore w:val="0"/>
        <w:widowControl/>
        <w:kinsoku/>
        <w:wordWrap/>
        <w:overflowPunct/>
        <w:topLinePunct w:val="0"/>
        <w:autoSpaceDE/>
        <w:autoSpaceDN/>
        <w:bidi w:val="0"/>
        <w:adjustRightInd/>
        <w:snapToGrid/>
        <w:spacing w:before="0" w:after="80" w:line="233" w:lineRule="auto"/>
        <w:ind w:left="567" w:hanging="567"/>
        <w:jc w:val="both"/>
        <w:textAlignment w:val="auto"/>
      </w:pPr>
      <w:r>
        <w:rPr>
          <w:b w:val="0"/>
          <w:i w:val="0"/>
        </w:rPr>
        <w:t xml:space="preserve">1.4.</w:t>
        <w:tab/>
        <w:t xml:space="preserve">Menejerlar To‘lovlarni qabul qilish </w:t>
      </w:r>
      <w:r>
        <w:rPr>
          <w:b/>
          <w:i w:val="0"/>
        </w:rPr>
        <w:t xml:space="preserve">vakolatiga ega emas</w:t>
      </w:r>
      <w:r>
        <w:rPr>
          <w:b w:val="0"/>
          <w:i w:val="0"/>
        </w:rPr>
        <w:t xml:space="preserve">. Ofisda To‘lovlarni qabul qilish vakolati faqat Mas’ul shaxsga tegishli.</w:t>
      </w:r>
    </w:p>
    <w:p w14:paraId="1DB21CA1">
      <w:pPr>
        <w:keepNext/>
        <w:keepLines w:val="0"/>
        <w:pageBreakBefore w:val="0"/>
        <w:widowControl/>
        <w:kinsoku/>
        <w:wordWrap/>
        <w:overflowPunct/>
        <w:topLinePunct w:val="0"/>
        <w:autoSpaceDE/>
        <w:autoSpaceDN/>
        <w:bidi w:val="0"/>
        <w:adjustRightInd/>
        <w:snapToGrid/>
        <w:spacing w:before="120" w:after="80" w:line="233" w:lineRule="auto"/>
        <w:jc w:val="center"/>
        <w:textAlignment w:val="auto"/>
      </w:pPr>
      <w:r>
        <w:rPr>
          <w:b/>
          <w:i w:val="0"/>
        </w:rPr>
        <w:t xml:space="preserve">2. To‘lovning yagona usullari</w:t>
      </w:r>
    </w:p>
    <w:p w14:paraId="0C33A7EC">
      <w:pPr>
        <w:keepLines w:val="0"/>
        <w:pageBreakBefore w:val="0"/>
        <w:widowControl/>
        <w:kinsoku/>
        <w:wordWrap/>
        <w:overflowPunct/>
        <w:topLinePunct w:val="0"/>
        <w:autoSpaceDE/>
        <w:autoSpaceDN/>
        <w:bidi w:val="0"/>
        <w:adjustRightInd/>
        <w:snapToGrid/>
        <w:spacing w:before="0" w:after="80" w:line="233" w:lineRule="auto"/>
        <w:ind w:left="567" w:hanging="567"/>
        <w:jc w:val="both"/>
        <w:textAlignment w:val="auto"/>
      </w:pPr>
      <w:r>
        <w:rPr>
          <w:b w:val="0"/>
          <w:i w:val="0"/>
        </w:rPr>
        <w:t xml:space="preserve">2.1.</w:t>
        <w:tab/>
        <w:t xml:space="preserve">Jamiyat xizmatlari uchun to‘lov </w:t>
      </w:r>
      <w:r>
        <w:rPr>
          <w:b/>
          <w:i w:val="0"/>
        </w:rPr>
        <w:t xml:space="preserve">faqat</w:t>
      </w:r>
      <w:r>
        <w:rPr>
          <w:b w:val="0"/>
          <w:i w:val="0"/>
        </w:rPr>
        <w:t xml:space="preserve"> quyidagi usullarda qabul qilinadi:</w:t>
      </w:r>
    </w:p>
    <w:p w14:paraId="126F7AD2">
      <w:pPr>
        <w:keepLines w:val="0"/>
        <w:pageBreakBefore w:val="0"/>
        <w:widowControl/>
        <w:kinsoku/>
        <w:wordWrap/>
        <w:overflowPunct/>
        <w:topLinePunct w:val="0"/>
        <w:autoSpaceDE/>
        <w:autoSpaceDN/>
        <w:bidi w:val="0"/>
        <w:adjustRightInd/>
        <w:snapToGrid/>
        <w:spacing w:before="0" w:after="60" w:line="233" w:lineRule="auto"/>
        <w:ind w:left="567"/>
        <w:jc w:val="both"/>
        <w:textAlignment w:val="auto"/>
      </w:pPr>
      <w:r>
        <w:rPr>
          <w:b w:val="0"/>
          <w:i w:val="0"/>
        </w:rPr>
        <w:t xml:space="preserve">a) shartnomada va to‘lov hisobida ko‘rsatilgan rekvizitlar bo‘yicha Jamiyatning hisob raqamiga naqdsiz pul o‘tkazish orqali: «Namuna Bank», MFO 00999, h/r 20208000900000000001, SWIFT NAMBUZ22, STIR 300123456 (barcha valyutalar bo‘yicha dolzarb rekvizitlar turistlar uchun eslatmada ko‘rsatilgan QR-kod orqali joylashtirilgan);</w:t>
      </w:r>
    </w:p>
    <w:p w14:paraId="56EEF780">
      <w:pPr>
        <w:keepLines w:val="0"/>
        <w:pageBreakBefore w:val="0"/>
        <w:widowControl/>
        <w:kinsoku/>
        <w:wordWrap/>
        <w:overflowPunct/>
        <w:topLinePunct w:val="0"/>
        <w:autoSpaceDE/>
        <w:autoSpaceDN/>
        <w:bidi w:val="0"/>
        <w:adjustRightInd/>
        <w:snapToGrid/>
        <w:spacing w:before="0" w:after="60" w:line="233" w:lineRule="auto"/>
        <w:ind w:left="567"/>
        <w:jc w:val="both"/>
        <w:textAlignment w:val="auto"/>
      </w:pPr>
      <w:r>
        <w:rPr>
          <w:b w:val="0"/>
          <w:i w:val="0"/>
        </w:rPr>
        <w:t xml:space="preserve">b) Ofisda — Mas’ul shaxsga, Mijozga to‘lov hujjati (kassa cheki, kvitansiya yoki hisob-kitoblar to‘g‘risidagi qonunchilikda nazarda tutilgan boshqa hujjat) majburiy berilgan holda.</w:t>
      </w:r>
    </w:p>
    <w:p w14:paraId="0EB4C4C0">
      <w:pPr>
        <w:keepLines w:val="0"/>
        <w:pageBreakBefore w:val="0"/>
        <w:widowControl/>
        <w:kinsoku/>
        <w:wordWrap/>
        <w:overflowPunct/>
        <w:topLinePunct w:val="0"/>
        <w:autoSpaceDE/>
        <w:autoSpaceDN/>
        <w:bidi w:val="0"/>
        <w:adjustRightInd/>
        <w:snapToGrid/>
        <w:spacing w:before="0" w:after="80" w:line="233" w:lineRule="auto"/>
        <w:ind w:left="567" w:hanging="567"/>
        <w:jc w:val="both"/>
        <w:textAlignment w:val="auto"/>
      </w:pPr>
      <w:r>
        <w:rPr>
          <w:b w:val="0"/>
          <w:i w:val="0"/>
        </w:rPr>
        <w:t xml:space="preserve">2.2.</w:t>
        <w:tab/>
        <w:t xml:space="preserve">To‘lovning boshqa usullari — Ofisdan tashqarida naqd pul, xodimlarning shaxsiy bank kartalari va hisobvaraqlariga o‘tkazma, elektron hamyonlar, to‘lov ilovalari, QR-kodlar, messenjerlar — Mijozning iltimosidan, buyurtmaning shoshilinchligidan yoki berilayotgan chegirmadan qat’i nazar </w:t>
      </w:r>
      <w:r>
        <w:rPr>
          <w:b/>
          <w:i w:val="0"/>
        </w:rPr>
        <w:t xml:space="preserve">ruxsat etilmaydi</w:t>
      </w:r>
      <w:r>
        <w:rPr>
          <w:b w:val="0"/>
          <w:i w:val="0"/>
        </w:rPr>
        <w:t xml:space="preserve">.</w:t>
      </w:r>
    </w:p>
    <w:p w14:paraId="3A2F6205">
      <w:pPr>
        <w:keepLines w:val="0"/>
        <w:pageBreakBefore w:val="0"/>
        <w:widowControl/>
        <w:kinsoku/>
        <w:wordWrap/>
        <w:overflowPunct/>
        <w:topLinePunct w:val="0"/>
        <w:autoSpaceDE/>
        <w:autoSpaceDN/>
        <w:bidi w:val="0"/>
        <w:adjustRightInd/>
        <w:snapToGrid/>
        <w:spacing w:before="0" w:after="80" w:line="233" w:lineRule="auto"/>
        <w:ind w:left="567" w:hanging="567"/>
        <w:jc w:val="both"/>
        <w:textAlignment w:val="auto"/>
      </w:pPr>
      <w:r>
        <w:rPr>
          <w:b w:val="0"/>
          <w:i w:val="0"/>
        </w:rPr>
        <w:t xml:space="preserve">2.3.</w:t>
        <w:tab/>
        <w:t xml:space="preserve">Menejer Mijozlarning pullarini qabul qilmaydi, saqlamaydi, sanamaydi va topshirmaydi. Agar Mijoz Menejerga to‘lov qilishda turib olsa yoki pul qoldirmoqchi bo‘lsa, Menejer muloyimlik bilan rad etadi, to‘lov tartibini tushuntiradi va o‘sha ish kuniyoq direktorni xabardor qiladi (6-bo‘lim).</w:t>
      </w:r>
    </w:p>
    <w:p w14:paraId="06764856">
      <w:pPr>
        <w:keepLines w:val="0"/>
        <w:pageBreakBefore w:val="0"/>
        <w:widowControl/>
        <w:kinsoku/>
        <w:wordWrap/>
        <w:overflowPunct/>
        <w:topLinePunct w:val="0"/>
        <w:autoSpaceDE/>
        <w:autoSpaceDN/>
        <w:bidi w:val="0"/>
        <w:adjustRightInd/>
        <w:snapToGrid/>
        <w:spacing w:before="0" w:after="80" w:line="233" w:lineRule="auto"/>
        <w:ind w:left="567" w:hanging="567"/>
        <w:jc w:val="both"/>
        <w:textAlignment w:val="auto"/>
      </w:pPr>
      <w:r>
        <w:rPr>
          <w:b w:val="0"/>
          <w:i w:val="0"/>
        </w:rPr>
        <w:t xml:space="preserve">2.4.</w:t>
        <w:tab/>
        <w:t xml:space="preserve">Jamiyat xodimlarning To‘lovlarni qabul qilish va ushbu Nizomni buzgan holda bitimlar tuzish bo‘yicha harakatlarini ma’qullamaydi va ijroga qabul qilmaydi (O‘zbekiston Respublikasi Fuqarolik kodeksining 132-moddasi, keyingi o‘rinlarda — FK). Tartib buzilgan holda olingan mablag‘larning Jamiyatga kelib tushishi buzilishni ma’qullash degani emas va aybdor xodimni javobgarlikdan ozod qilmaydi.</w:t>
      </w:r>
    </w:p>
    <w:p w14:paraId="4A7830FE">
      <w:pPr>
        <w:keepNext/>
        <w:spacing w:before="120" w:after="80"/>
        <w:jc w:val="center"/>
      </w:pPr>
      <w:r>
        <w:rPr>
          <w:b/>
          <w:i w:val="0"/>
        </w:rPr>
        <w:t xml:space="preserve">3. Sotishni rasmiylashtirish tartibi</w:t>
      </w:r>
    </w:p>
    <w:p w14:paraId="50FFE566">
      <w:pPr>
        <w:spacing w:before="0" w:after="80"/>
        <w:ind w:left="567" w:hanging="567"/>
        <w:jc w:val="both"/>
      </w:pPr>
      <w:r>
        <w:rPr>
          <w:b w:val="0"/>
          <w:i w:val="0"/>
        </w:rPr>
        <w:t xml:space="preserve">3.1.</w:t>
        <w:tab/>
        <w:t xml:space="preserve">Mijozning arizasi Menejer tomonidan Jamiyat hisobida (arizalar jurnali / CRM) murojaat qilingan kuni qayd etiladi.</w:t>
      </w:r>
    </w:p>
    <w:p w14:paraId="17B3CC12">
      <w:pPr>
        <w:spacing w:before="0" w:after="80"/>
        <w:ind w:left="567" w:hanging="567"/>
        <w:jc w:val="both"/>
        <w:rPr>
          <w:u w:val="none"/>
        </w:rPr>
      </w:pPr>
      <w:r>
        <w:rPr>
          <w:b w:val="0"/>
          <w:i w:val="0"/>
          <w:u w:val="none"/>
        </w:rPr>
        <w:t xml:space="preserve">3.2.</w:t>
        <w:tab/>
        <w:t xml:space="preserve">Xizmat </w:t>
      </w:r>
      <w:r>
        <w:rPr>
          <w:b/>
          <w:i w:val="0"/>
          <w:u w:val="none"/>
        </w:rPr>
        <w:t xml:space="preserve">faqat Jamiyatning shartnomasi bo‘yicha</w:t>
      </w:r>
      <w:r>
        <w:rPr>
          <w:b w:val="0"/>
          <w:i w:val="0"/>
          <w:u w:val="none"/>
        </w:rPr>
        <w:t xml:space="preserve"> — tasdiqlangan shakl bo‘yicha rasmiylashtirilgan va Jamiyatning vakolatli shaxsi tomonidan imzolangan shartnoma asosida amalga oshiriladi. Menejer direktorning yozma roziligisiz shartnomaning muhim shartlarini o‘zgartirmaydi.</w:t>
      </w:r>
    </w:p>
    <w:p w14:paraId="5EEB5EE5">
      <w:pPr>
        <w:spacing w:before="0" w:after="80"/>
        <w:ind w:left="567" w:hanging="567"/>
        <w:jc w:val="both"/>
      </w:pPr>
      <w:r>
        <w:rPr>
          <w:b w:val="0"/>
          <w:i w:val="0"/>
        </w:rPr>
        <w:t xml:space="preserve">3.3.</w:t>
        <w:tab/>
        <w:t xml:space="preserve">Mijozga Jamiyat rekvizitlari ko‘rsatilgan to‘lov hisobi taqdim etiladi. Hisobsiz va shartnomasiz to‘lov qabul qilinmaydi.</w:t>
      </w:r>
    </w:p>
    <w:p w14:paraId="6748E800">
      <w:pPr>
        <w:spacing w:before="0" w:after="80"/>
        <w:ind w:left="567" w:hanging="567"/>
        <w:jc w:val="both"/>
      </w:pPr>
      <w:r>
        <w:rPr>
          <w:b w:val="0"/>
          <w:i w:val="0"/>
        </w:rPr>
        <w:t xml:space="preserve">3.4.</w:t>
        <w:tab/>
        <w:t xml:space="preserve">Vaucherlar, bron tasdiqnomalari, chiptalar va boshqa hujjatlar, agar direktor tomonidan yozma ravishda boshqacha belgilanmagan bo‘lsa, to‘lov Jamiyatning hisob raqamiga yoki kassasiga kelib tushgani tasdiqlangandan keyingina Mijozga beriladi.</w:t>
      </w:r>
    </w:p>
    <w:p w14:paraId="74CDFDB0">
      <w:pPr>
        <w:spacing w:before="0" w:after="80"/>
        <w:ind w:left="567" w:hanging="567"/>
        <w:jc w:val="both"/>
      </w:pPr>
      <w:r>
        <w:rPr>
          <w:b w:val="0"/>
          <w:i w:val="0"/>
        </w:rPr>
        <w:t xml:space="preserve">3.5.</w:t>
        <w:tab/>
        <w:t xml:space="preserve">Narxlar, chegirmalar, qaytarish shartlari va buyurtmaga o‘zgartirishlar faqat Jamiyat tomonidan tasdiqlangan tartibda qo‘llaniladi; boshqa shartlar direktorning yozma roziligi mavjud bo‘lganda ruxsat etiladi.</w:t>
      </w:r>
    </w:p>
    <w:p w14:paraId="31E31B3C">
      <w:pPr>
        <w:spacing w:before="0" w:after="80"/>
        <w:ind w:left="567" w:hanging="567"/>
        <w:jc w:val="both"/>
      </w:pPr>
      <w:r>
        <w:rPr>
          <w:b w:val="0"/>
          <w:i w:val="0"/>
        </w:rPr>
        <w:t xml:space="preserve">3.6.</w:t>
        <w:tab/>
        <w:t xml:space="preserve">Direktor (yoki u vakolat bergan xodim) kamida haftada bir marta arizalar, shartnomalar, hisoblar va tushumlarni solishtirib chiqadi. Nomuvofiqliklar aniqlangan taqdirda xizmat tekshiruvi tayinlanadi.</w:t>
      </w:r>
    </w:p>
    <w:p w14:paraId="2867C06B">
      <w:pPr>
        <w:keepNext/>
        <w:spacing w:before="120" w:after="80"/>
        <w:jc w:val="center"/>
      </w:pPr>
      <w:r>
        <w:rPr>
          <w:b/>
          <w:i w:val="0"/>
        </w:rPr>
        <w:t xml:space="preserve">4. Mijozlarni xabardor qilish</w:t>
      </w:r>
    </w:p>
    <w:p w14:paraId="2628785D">
      <w:pPr>
        <w:spacing w:before="0" w:after="80"/>
        <w:ind w:left="567" w:hanging="567"/>
        <w:jc w:val="both"/>
      </w:pPr>
      <w:r>
        <w:rPr>
          <w:b w:val="0"/>
          <w:i w:val="0"/>
        </w:rPr>
        <w:t xml:space="preserve">4.1.</w:t>
        <w:tab/>
        <w:t xml:space="preserve">«To‘lov — faqat ofisda yoki Jamiyat hisob raqamiga» deb nomlangan eslatma ish stollarida, Mijozlarni qabul qilish hududida, Jamiyatning saytida va rasmiy sahifalarida joylashtiriladi.</w:t>
      </w:r>
    </w:p>
    <w:p w14:paraId="1FD3D9D4">
      <w:pPr>
        <w:spacing w:before="0" w:after="80"/>
        <w:ind w:left="567" w:hanging="567"/>
        <w:jc w:val="both"/>
      </w:pPr>
      <w:r>
        <w:rPr>
          <w:b w:val="0"/>
          <w:i w:val="0"/>
        </w:rPr>
        <w:t xml:space="preserve">4.2.</w:t>
        <w:tab/>
        <w:t xml:space="preserve">Mijoz bilan tuziladigan shartnomada xodimlar Nizomning 2-bo‘limi tartibidan tashqari to‘lovni qabul qilishga vakolatli emasligini ko‘rsatuvchi to‘lov to‘g‘risidagi shart mavjud bo‘ladi.</w:t>
      </w:r>
    </w:p>
    <w:p w14:paraId="721C646F">
      <w:pPr>
        <w:spacing w:before="0" w:after="80"/>
        <w:ind w:left="567" w:hanging="567"/>
        <w:jc w:val="both"/>
      </w:pPr>
      <w:r>
        <w:rPr>
          <w:b w:val="0"/>
          <w:i w:val="0"/>
        </w:rPr>
        <w:t xml:space="preserve">4.3.</w:t>
        <w:tab/>
        <w:t xml:space="preserve">Hisobni yuborishda Menejer Mijozga quyidagicha xabar beradi: «To‘lov faqat hisobdagi rekvizitlar bo‘yicha «MOSSAD» MChJning hisob raqamiga yoki kompaniya ofisida qabul qilinadi. Xodimlar shaxsiy kartalarga va ofisdan tashqarida naqd pulda to‘lovni qabul qilmaydi».</w:t>
      </w:r>
    </w:p>
    <w:p w14:paraId="2585D906">
      <w:pPr>
        <w:keepNext/>
        <w:spacing w:before="120" w:after="80"/>
        <w:jc w:val="center"/>
      </w:pPr>
      <w:r>
        <w:rPr>
          <w:b/>
          <w:i w:val="0"/>
        </w:rPr>
        <w:t xml:space="preserve">5. Shaxsiy mablag‘lar va aloqa kanallari</w:t>
      </w:r>
    </w:p>
    <w:p w14:paraId="50934854">
      <w:pPr>
        <w:spacing w:before="0" w:after="80"/>
        <w:ind w:left="567" w:hanging="567"/>
        <w:jc w:val="both"/>
      </w:pPr>
      <w:r>
        <w:rPr>
          <w:b w:val="0"/>
          <w:i w:val="0"/>
        </w:rPr>
        <w:t xml:space="preserve">5.1.</w:t>
        <w:tab/>
        <w:t xml:space="preserve">Menejer Mijozlardan mablag‘ olish uchun shaxsiy bank kartalari, hisobvaraqlari, elektron hamyonlari va QR-kodlaridan foydalanmaydi hamda ularning rekvizitlarini Mijozlarga bermaydi.</w:t>
      </w:r>
    </w:p>
    <w:p w14:paraId="137298A0">
      <w:pPr>
        <w:keepNext/>
        <w:spacing w:before="120" w:after="80"/>
        <w:jc w:val="center"/>
      </w:pPr>
      <w:r>
        <w:rPr>
          <w:b/>
          <w:i w:val="0"/>
        </w:rPr>
        <w:t xml:space="preserve">6. Tartib buzilganda harakatlar</w:t>
      </w:r>
    </w:p>
    <w:p w14:paraId="65D14072">
      <w:pPr>
        <w:spacing w:before="0" w:after="80"/>
        <w:ind w:left="567" w:hanging="567"/>
        <w:jc w:val="both"/>
      </w:pPr>
      <w:r>
        <w:rPr>
          <w:b w:val="0"/>
          <w:i w:val="0"/>
        </w:rPr>
        <w:t xml:space="preserve">6.1.</w:t>
        <w:tab/>
        <w:t xml:space="preserve">Mijoz belgilangan tartibdan tashqari to‘lov qilishga urinsa, shuningdek har qanday xodim bunday to‘lov faktini aniqlasa, xodim yozma ravishda (shu jumladan elektron pochta yoki messenjer orqali) </w:t>
      </w:r>
      <w:r>
        <w:rPr>
          <w:b/>
          <w:i w:val="0"/>
        </w:rPr>
        <w:t xml:space="preserve">o‘sha ish kuniyoq</w:t>
      </w:r>
      <w:r>
        <w:rPr>
          <w:b w:val="0"/>
          <w:i w:val="0"/>
        </w:rPr>
        <w:t xml:space="preserve"> direktorni xabardor qiladi.</w:t>
      </w:r>
    </w:p>
    <w:p w14:paraId="2E76BBAF">
      <w:pPr>
        <w:spacing w:before="0" w:after="80"/>
        <w:ind w:left="567" w:hanging="567"/>
        <w:jc w:val="both"/>
      </w:pPr>
      <w:r>
        <w:rPr>
          <w:b w:val="0"/>
          <w:i w:val="0"/>
        </w:rPr>
        <w:t xml:space="preserve">6.2.</w:t>
        <w:tab/>
        <w:t xml:space="preserve">Direktor xodimni Mijozlar bilan ishlashga qo‘yishni to‘xtatib turish, xizmat tekshiruvini tayinlash (MKning 302–311-moddalari), yozma tushuntirish talab qilish (MKning 313 va 344-moddalari), dalolatnoma tuzish huquqiga ega. Tushuntirish berishdan bosh tortish ishtirok etgan guvohlar ko‘rsatilgan holda dalolatnoma bilan rasmiylashtiriladi.</w:t>
      </w:r>
    </w:p>
    <w:p w14:paraId="510C2460">
      <w:pPr>
        <w:spacing w:before="0" w:after="80"/>
        <w:ind w:left="567" w:hanging="567"/>
        <w:jc w:val="both"/>
      </w:pPr>
      <w:r>
        <w:rPr>
          <w:b w:val="0"/>
          <w:i w:val="0"/>
        </w:rPr>
        <w:t xml:space="preserve">6.3.</w:t>
        <w:tab/>
        <w:t xml:space="preserve">Jamiyat jabrlangan Mijoz va Jamiyat manfaatlarini himoya qilish choralarini ko‘radi, shu jumladan huquqni muhofaza qiluvchi organlarga murojaat qiladi.</w:t>
      </w:r>
    </w:p>
    <w:p w14:paraId="0A0B8A35">
      <w:pPr>
        <w:keepNext/>
        <w:spacing w:before="120" w:after="80"/>
        <w:jc w:val="center"/>
      </w:pPr>
      <w:r>
        <w:rPr>
          <w:b/>
          <w:i w:val="0"/>
        </w:rPr>
        <w:t xml:space="preserve">7. Mehnat majburiyatlarining bir martalik qo‘pol buzilishlari ro‘yxati</w:t>
      </w:r>
    </w:p>
    <w:p w14:paraId="6A670B7B">
      <w:pPr>
        <w:spacing w:before="0" w:after="80"/>
        <w:ind w:left="567" w:hanging="567"/>
        <w:jc w:val="both"/>
      </w:pPr>
      <w:r>
        <w:rPr>
          <w:b w:val="0"/>
          <w:i w:val="0"/>
        </w:rPr>
        <w:t xml:space="preserve">7.1.</w:t>
        <w:tab/>
        <w:t xml:space="preserve">MKning 161-moddasi ikkinchi qismining 5-bandi va 162-moddasiga muvofiq, Jamiyatning tashabbusi bilan mehnat shartnomasi bekor qilinishi mumkin bo‘lgan mehnat majburiyatlarining bir martalik qo‘pol buzilishlari quyidagilardir:</w:t>
      </w:r>
    </w:p>
    <w:p w14:paraId="3E41B3E1">
      <w:pPr>
        <w:spacing w:before="0" w:after="60"/>
        <w:ind w:left="567"/>
        <w:jc w:val="both"/>
      </w:pPr>
      <w:r>
        <w:rPr>
          <w:b w:val="0"/>
          <w:i w:val="0"/>
        </w:rPr>
        <w:t xml:space="preserve">a) turistlar, mijozlar va boshqa shaxslardan Jamiyat xizmatlari uchun yoki ular munosabati bilan pul mablag‘larini (naqd pul, shaxsiy bank kartalari va hisobvaraqlariga, elektron hamyonlarga o‘tkazmalar, to‘lov ilovalari, QR-kodlar, messenjerlar orqali va boshqa usullarda) qabul qilish, talab qilish, olish yoki tovlamachilik qilish — har qanday joyda va har qanday shaklda, direktor buyrug‘i bilan tayinlangan shaxs tomonidan Nizomning 2-bo‘limi tartibida to‘lovlarni qabul qilish bundan mustasno;</w:t>
      </w:r>
    </w:p>
    <w:p w14:paraId="52CE70E0">
      <w:pPr>
        <w:spacing w:before="0" w:after="60"/>
        <w:ind w:left="567"/>
        <w:jc w:val="both"/>
      </w:pPr>
      <w:r>
        <w:rPr>
          <w:b w:val="0"/>
          <w:i w:val="0"/>
        </w:rPr>
        <w:t xml:space="preserve">b) mijozlarga Jamiyatga tegishli bo‘lmagan rekvizitlarni yoki Nizomning 2-bo‘limida nazarda tutilmagan boshqa to‘lov usullarini xabar qilish;</w:t>
      </w:r>
    </w:p>
    <w:p w14:paraId="5396ED66">
      <w:pPr>
        <w:spacing w:before="0" w:after="60"/>
        <w:ind w:left="567"/>
        <w:jc w:val="both"/>
      </w:pPr>
      <w:r>
        <w:rPr>
          <w:b w:val="0"/>
          <w:i w:val="0"/>
        </w:rPr>
        <w:t xml:space="preserve">d) turistik xizmatlarni Jamiyat shartnomasidan va Jamiyat hisobidan tashqarida rasmiylashtirish, bron qilish, tasdiqlash yoki boshqacha tarzda sotish, shu jumladan o‘z manfaatlarida yoki uchinchi shaxslar manfaatlarida «parallel» sotuvlar;</w:t>
      </w:r>
    </w:p>
    <w:p w14:paraId="1741F8AC">
      <w:pPr>
        <w:spacing w:before="0" w:after="60"/>
        <w:ind w:left="567"/>
        <w:jc w:val="both"/>
      </w:pPr>
      <w:r>
        <w:rPr>
          <w:b w:val="0"/>
          <w:i w:val="0"/>
        </w:rPr>
        <w:t xml:space="preserve">e) mijozlarga Jamiyat nomidan direktorning yozma roziligisiz, shuningdek to‘lov Jamiyatning hisob raqamiga yoki kassasiga kelib tushguniga qadar vaucherlar, tasdiqnomalar, kafolatlar, chegirmalar, qaytarish to‘g‘risidagi va’dalar yoki boshqa majburiyatlar berish;</w:t>
      </w:r>
    </w:p>
    <w:p w14:paraId="04E06F67">
      <w:pPr>
        <w:spacing w:before="0" w:after="60"/>
        <w:ind w:left="567"/>
        <w:jc w:val="both"/>
      </w:pPr>
      <w:r>
        <w:rPr>
          <w:b w:val="0"/>
          <w:i w:val="0"/>
        </w:rPr>
        <w:t xml:space="preserve">f) berilgan vakolatlar doirasidan tashqarida Jamiyat nomidan har qanday harakatlar sodir etish; Jamiyatning nomi, muhrlari, blanklari va rekvizitlaridan direktorning topshirig‘isiz foydalanish;</w:t>
      </w:r>
    </w:p>
    <w:p w14:paraId="199CFF8F">
      <w:pPr>
        <w:spacing w:before="0" w:after="60"/>
        <w:ind w:left="567"/>
        <w:jc w:val="both"/>
      </w:pPr>
      <w:r>
        <w:rPr>
          <w:b w:val="0"/>
          <w:i w:val="0"/>
        </w:rPr>
        <w:t xml:space="preserve">g) Jamiyatning tijorat sirini tashkil etuvchi ma’lumotlarni oshkor qilish, mijozlar bazasi va boshqa ma’lumotlarni Jamiyatdan tashqarida foydalanish uchun olib chiqish, nusxalash yoki uzatish;</w:t>
      </w:r>
    </w:p>
    <w:p w14:paraId="525ECA10">
      <w:pPr>
        <w:spacing w:before="0" w:after="60"/>
        <w:ind w:left="567"/>
        <w:jc w:val="both"/>
      </w:pPr>
      <w:r>
        <w:rPr>
          <w:b w:val="0"/>
          <w:i w:val="0"/>
        </w:rPr>
        <w:t xml:space="preserve">h) mijozning belgilangan tartibdan tashqari to‘lov qilishga urinishlarini, mijozlarning shikoyat va da’volarini direktordan yashirish, bu Jamiyatga yoki mijozlarga zarar yetkazilishiga olib kelgan bo‘lsa.</w:t>
      </w:r>
    </w:p>
    <w:p w14:paraId="0086CE9E">
      <w:pPr>
        <w:spacing w:before="0" w:after="80"/>
        <w:ind w:left="567" w:hanging="567"/>
        <w:jc w:val="both"/>
      </w:pPr>
      <w:r>
        <w:rPr>
          <w:b w:val="0"/>
          <w:i w:val="0"/>
        </w:rPr>
        <w:t xml:space="preserve">7.2.</w:t>
        <w:tab/>
        <w:t xml:space="preserve">Xodimning aybli harakatlari (harakatsizligi) uchun mehnat shartnomasini bekor qilish intizomiy jazo choralaridan biri hisoblanadi va MKning 313–314-moddalarida belgilangan tartib va muddatlarga rioya etilgan holda amalga oshiriladi.</w:t>
      </w:r>
    </w:p>
    <w:p w14:paraId="145D80A6">
      <w:pPr>
        <w:spacing w:before="0" w:after="80"/>
        <w:ind w:left="567" w:hanging="567"/>
        <w:jc w:val="both"/>
      </w:pPr>
      <w:r>
        <w:rPr>
          <w:b w:val="0"/>
          <w:i w:val="0"/>
        </w:rPr>
        <w:t xml:space="preserve">7.3.</w:t>
        <w:tab/>
        <w:t xml:space="preserve">Ushbu bo‘limning Ro‘yxati Jamiyatning ichki mehnat tartibi qoidalariga ilova hisoblanadi.</w:t>
      </w:r>
    </w:p>
    <w:p w14:paraId="2EF563D8">
      <w:pPr>
        <w:keepNext/>
        <w:spacing w:before="120" w:after="80"/>
        <w:jc w:val="center"/>
      </w:pPr>
      <w:r>
        <w:rPr>
          <w:b/>
          <w:i w:val="0"/>
        </w:rPr>
        <w:t xml:space="preserve">8. Javobgarlik</w:t>
      </w:r>
    </w:p>
    <w:p w14:paraId="28286425">
      <w:pPr>
        <w:spacing w:before="0" w:after="80"/>
        <w:ind w:left="567" w:hanging="567"/>
        <w:jc w:val="both"/>
      </w:pPr>
      <w:r>
        <w:rPr>
          <w:b w:val="0"/>
          <w:i w:val="0"/>
        </w:rPr>
        <w:t xml:space="preserve">8.1.</w:t>
        <w:tab/>
        <w:t xml:space="preserve">Ushbu Nizomni buzganlik uchun xodim intizomiy javobgarlikka (MKning 312-moddasi) va moddiy javobgarlikka (MKning 337, 340–347-moddalari) tortiladi.</w:t>
      </w:r>
    </w:p>
    <w:p w14:paraId="53B6666F">
      <w:pPr>
        <w:spacing w:before="0" w:after="80"/>
        <w:ind w:left="567" w:hanging="567"/>
        <w:jc w:val="both"/>
      </w:pPr>
      <w:r>
        <w:rPr>
          <w:b w:val="0"/>
          <w:i w:val="0"/>
        </w:rPr>
        <w:t xml:space="preserve">8.2.</w:t>
        <w:tab/>
        <w:t xml:space="preserve">Xodim Jamiyatga to‘g‘ridan-to‘g‘ri haqiqiy zararni, shu jumladan xodimning harakatlari natijasida Jamiyat Mijozlarga va uchinchi shaxslarga to‘lashga majbur bo‘lgan summalarni qoplaydi (MKning 337-moddasi uchinchi qismi). To‘g‘ridan-to‘g‘ri haqiqiy zarar MKning 342-moddasida nazarda tutilgan hollarda, shu jumladan zarar qasddan yetkazilganda va mehnat majburiyatlari bajarilmaganligi oqibatida yetkazilganda to‘la hajmda qoplanadi. Olinmagan daromadlar (boy berilgan foyda) xodimdan undirilmaydi.</w:t>
      </w:r>
    </w:p>
    <w:p w14:paraId="0EAE775C">
      <w:pPr>
        <w:spacing w:before="0" w:after="80"/>
        <w:ind w:left="567" w:hanging="567"/>
        <w:jc w:val="both"/>
      </w:pPr>
      <w:r>
        <w:rPr>
          <w:b w:val="0"/>
          <w:i w:val="0"/>
        </w:rPr>
        <w:t xml:space="preserve">8.3.</w:t>
        <w:tab/>
        <w:t xml:space="preserve">Zarar miqdori va uning yuzaga kelish sabablari xodimdan yozma tushuntirish majburiy talab qilingan holda xizmat tekshiruvi orqali aniqlanadi (MKning 344-moddasi). Undirish MKning 347-moddasida belgilangan tartibda amalga oshiriladi.</w:t>
      </w:r>
    </w:p>
    <w:p w14:paraId="5B18CE5B">
      <w:pPr>
        <w:spacing w:before="0" w:after="80"/>
        <w:ind w:left="567" w:hanging="567"/>
        <w:jc w:val="both"/>
      </w:pPr>
      <w:r>
        <w:rPr>
          <w:b w:val="0"/>
          <w:i w:val="0"/>
        </w:rPr>
        <w:t xml:space="preserve">8.4.</w:t>
        <w:tab/>
        <w:t xml:space="preserve">Intizomiy va moddiy javobgarlikka tortish qonunchilikda nazarda tutilgan fuqarolik-huquqiy, ma’muriy va jinoiy javobgarlikni istisno etmaydi.</w:t>
      </w:r>
    </w:p>
    <w:p w14:paraId="5EFEF80F">
      <w:pPr>
        <w:keepNext/>
        <w:spacing w:before="120" w:after="80"/>
        <w:jc w:val="center"/>
      </w:pPr>
      <w:r>
        <w:rPr>
          <w:b/>
          <w:i w:val="0"/>
        </w:rPr>
        <w:t xml:space="preserve">9. Yakuniy qoidalar</w:t>
      </w:r>
    </w:p>
    <w:p w14:paraId="57A1A6A0">
      <w:pPr>
        <w:spacing w:before="0" w:after="80"/>
        <w:ind w:left="567" w:hanging="567"/>
        <w:jc w:val="both"/>
      </w:pPr>
      <w:r>
        <w:rPr>
          <w:b w:val="0"/>
          <w:i w:val="0"/>
        </w:rPr>
        <w:t xml:space="preserve">9.1.</w:t>
        <w:tab/>
        <w:t xml:space="preserve">Nizom direktor buyrug‘i bilan tasdiqlangan kundan boshlab kuchga kiradi va muddatsiz amal qiladi. O‘zgartirishlar direktor buyrug‘i bilan kiritiladi.</w:t>
      </w:r>
    </w:p>
    <w:p w14:paraId="767ECD18">
      <w:pPr>
        <w:spacing w:before="0" w:after="80"/>
        <w:ind w:left="567" w:hanging="567"/>
        <w:jc w:val="both"/>
      </w:pPr>
      <w:r>
        <w:rPr>
          <w:b w:val="0"/>
          <w:i w:val="0"/>
        </w:rPr>
        <w:t xml:space="preserve">9.2.</w:t>
        <w:tab/>
        <w:t xml:space="preserve">Xodimlar Nizom bilan imzo qo‘ydirib (tanishuv varaqasi orqali) tanishadi. Tanishishdan bosh tortish ishtirok etgan guvohlar ko‘rsatilgan holda dalolatnoma bilan rasmiylashtiriladi.</w:t>
      </w:r>
    </w:p>
    <w:p w14:paraId="77F3754C">
      <w:pPr>
        <w:spacing w:before="0" w:after="120"/>
        <w:jc w:val="both"/>
      </w:pPr>
    </w:p>
    <w:tbl>
      <w:tblPr>
        <w:tblStyle w:val="12"/>
        <w:tblW w:w="93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8"/>
        <w:gridCol w:w="3402"/>
        <w:gridCol w:w="3685"/>
      </w:tblGrid>
      <w:tr w14:paraId="418D8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Pr>
          <w:p w14:paraId="0D604711">
            <w:pPr>
              <w:spacing w:before="0" w:after="20"/>
              <w:jc w:val="left"/>
            </w:pPr>
            <w:r>
              <w:rPr>
                <w:b w:val="0"/>
                <w:i w:val="0"/>
                <w:sz w:val="24"/>
              </w:rPr>
              <w:t xml:space="preserve">Direktor</w:t>
            </w:r>
          </w:p>
        </w:tc>
        <w:tc>
          <w:tcPr>
            <w:tcW w:w="3402" w:type="dxa"/>
          </w:tcPr>
          <w:p w14:paraId="6ABCF29D">
            <w:pPr>
              <w:spacing w:before="0" w:after="20"/>
              <w:jc w:val="left"/>
              <w:rPr>
                <w:b/>
                <w:bCs/>
              </w:rPr>
            </w:pPr>
            <w:r>
              <w:rPr>
                <w:b/>
                <w:bCs/>
                <w:i w:val="0"/>
                <w:sz w:val="24"/>
              </w:rPr>
              <w:t>/________________/</w:t>
            </w:r>
          </w:p>
        </w:tc>
        <w:tc>
          <w:tcPr>
            <w:tcW w:w="3685" w:type="dxa"/>
          </w:tcPr>
          <w:p w14:paraId="3C1C2A1C">
            <w:pPr>
              <w:spacing w:before="0" w:after="20"/>
              <w:jc w:val="left"/>
              <w:rPr>
                <w:b/>
                <w:bCs/>
              </w:rPr>
            </w:pPr>
            <w:r>
              <w:rPr>
                <w:b/>
                <w:bCs/>
                <w:i w:val="0"/>
                <w:sz w:val="24"/>
              </w:rPr>
              <w:t xml:space="preserve">A.R. Karimov</w:t>
            </w:r>
          </w:p>
        </w:tc>
      </w:tr>
      <w:tr w14:paraId="4EB94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Pr>
          <w:p w14:paraId="0B481FA8">
            <w:pPr>
              <w:spacing w:before="0" w:after="20"/>
              <w:jc w:val="left"/>
            </w:pPr>
          </w:p>
        </w:tc>
        <w:tc>
          <w:tcPr>
            <w:tcW w:w="3402" w:type="dxa"/>
          </w:tcPr>
          <w:p w14:paraId="16316481">
            <w:pPr>
              <w:spacing w:before="0" w:after="20"/>
              <w:ind w:firstLine="720" w:firstLineChars="450"/>
              <w:jc w:val="left"/>
            </w:pPr>
            <w:bookmarkStart w:id="0" w:name="_GoBack"/>
            <w:bookmarkEnd w:id="0"/>
            <w:r>
              <w:rPr>
                <w:b w:val="0"/>
                <w:i/>
                <w:sz w:val="16"/>
                <w:szCs w:val="15"/>
              </w:rPr>
              <w:t xml:space="preserve">(imzo)</w:t>
            </w:r>
          </w:p>
        </w:tc>
        <w:tc>
          <w:tcPr>
            <w:tcW w:w="3685" w:type="dxa"/>
          </w:tcPr>
          <w:p w14:paraId="4CD47BFB">
            <w:pPr>
              <w:spacing w:before="0" w:after="20"/>
              <w:jc w:val="left"/>
            </w:pPr>
          </w:p>
        </w:tc>
      </w:tr>
    </w:tbl>
    <w:p w14:paraId="0C3E218F"/>
    <w:sectPr>
      <w:headerReference r:id="rIdWM1" w:type="default"/>
      <w:footerReference r:id="rId5" w:type="default"/>
      <w:pgSz w:w="11906" w:h="16838"/>
      <w:pgMar w:top="654" w:right="850" w:bottom="82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DE959">
    <w:pPr>
      <w:pStyle w:val="26"/>
      <w:jc w:val="center"/>
    </w:pPr>
    <w:r>
      <w:rPr>
        <w:sz w:val="18"/>
      </w:rPr>
      <w:fldChar w:fldCharType="begin"/>
    </w:r>
    <w:r>
      <w:rPr>
        <w:sz w:val="18"/>
      </w:rPr>
      <w:instrText xml:space="preserve">PAGE</w:instrText>
    </w:r>
    <w:r>
      <w:rPr>
        <w:sz w:val="18"/>
      </w:rPr>
      <w:fldChar w:fldCharType="end"/>
    </w:r>
  </w:p>
  <w:p>
    <w:pPr>
      <w:spacing w:before="0" w:after="0"/>
      <w:jc w:val="center"/>
    </w:pPr>
    <w:r>
      <w:rPr>
        <w:rFonts w:ascii="Times New Roman" w:hAnsi="Times New Roman" w:cs="Times New Roman"/>
        <w:color w:val="7F7F7F"/>
        <w:sz w:val="14"/>
        <w:szCs w:val="14"/>
      </w:rPr>
      <w:t>MARKUS kompaniyasi mahsuloti (STIR 311283164)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_wm.xml><?xml version="1.0" encoding="utf-8"?>
<w:hdr xmlns:w="http://schemas.openxmlformats.org/wordprocessingml/2006/main" xmlns:v="urn:schemas-microsoft-com:vml" xmlns:o="urn:schemas-microsoft-com:office:office" xmlns:w10="urn:schemas-microsoft-com:office:word" xmlns:r="http://schemas.openxmlformats.org/officeDocument/2006/relationships">
  <w:p>
    <w:pPr>
      <w:spacing w:before="0" w:after="0" w:line="20" w:lineRule="exact"/>
    </w:pPr>
    <w:r>
      <w:rPr>
        <w:noProof/>
        <w:sz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30pt;height:130pt;rotation:315;z-index:-251658752;mso-position-horizontal:center;mso-position-horizontal-relative:margin;mso-position-vertical:center;mso-position-vertical-relative:margin" o:allowincell="f" fillcolor="#e8e8e8" stroked="f">
          <v:textpath style="font-family:&quot;Arial&quot;;font-size:1pt;font-weight:bold" string="MARKU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E24B96"/>
    <w:rsid w:val="11AD70E2"/>
    <w:rsid w:val="142A0116"/>
    <w:rsid w:val="485C5F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WM1" Type="http://schemas.openxmlformats.org/officeDocument/2006/relationships/header" Target="header_wm.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1191</Words>
  <Characters>7794</Characters>
  <Lines>0</Lines>
  <Paragraphs>0</Paragraphs>
  <TotalTime>6</TotalTime>
  <ScaleCrop>false</ScaleCrop>
  <LinksUpToDate>false</LinksUpToDate>
  <CharactersWithSpaces>8929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MARKUS</dc:creator>
  <cp:lastModifiedBy>MARKUS</cp:lastModifiedBy>
  <dcterms:modified xsi:type="dcterms:W3CDTF">2026-10-21T14:12:24Z</dcterms:modified>
  <cp:revision>1</cp:revision>
</cp:coreProperties>
</file>