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m.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080FA">
      <w:pPr>
        <w:spacing w:before="0" w:after="0"/>
        <w:ind w:left="4800" w:leftChars="2000" w:firstLine="0" w:firstLineChars="0"/>
        <w:jc w:val="center"/>
      </w:pPr>
      <w:r>
        <w:rPr>
          <w:b/>
          <w:i w:val="0"/>
        </w:rPr>
        <w:t xml:space="preserve">TASDIQLAYMAN</w:t>
      </w:r>
    </w:p>
    <w:p w14:paraId="06933034">
      <w:pPr>
        <w:spacing w:before="0" w:after="0"/>
        <w:ind w:left="4800" w:leftChars="2000" w:firstLine="0" w:firstLineChars="0"/>
        <w:jc w:val="center"/>
      </w:pPr>
      <w:r>
        <w:rPr>
          <w:b w:val="0"/>
          <w:i w:val="0"/>
        </w:rPr>
        <w:t xml:space="preserve">«MOSSAD» MChJ direktori</w:t>
      </w:r>
    </w:p>
    <w:p w14:paraId="3985A071">
      <w:pPr>
        <w:spacing w:before="0" w:after="0"/>
        <w:ind w:left="4800" w:leftChars="2000" w:firstLine="0" w:firstLineChars="0"/>
        <w:jc w:val="center"/>
      </w:pPr>
      <w:r>
        <w:rPr>
          <w:b w:val="0"/>
          <w:i w:val="0"/>
        </w:rPr>
        <w:t xml:space="preserve">_________________ A.R. Karimov</w:t>
      </w:r>
    </w:p>
    <w:p w14:paraId="0B4DA764">
      <w:pPr>
        <w:spacing w:before="0" w:after="200"/>
        <w:ind w:left="4800" w:leftChars="2000" w:firstLine="0" w:firstLineChars="0"/>
        <w:jc w:val="center"/>
      </w:pPr>
      <w:r>
        <w:rPr>
          <w:b w:val="0"/>
          <w:i w:val="0"/>
        </w:rPr>
        <w:t xml:space="preserve">2026-yil «___» ____________</w:t>
      </w:r>
    </w:p>
    <w:p w14:paraId="21371212">
      <w:pPr>
        <w:spacing w:before="0" w:after="0"/>
        <w:jc w:val="center"/>
        <w:rPr>
          <w:b/>
          <w:i w:val="0"/>
        </w:rPr>
      </w:pPr>
    </w:p>
    <w:p w14:paraId="35C269F6">
      <w:pPr>
        <w:spacing w:before="0" w:after="0"/>
        <w:jc w:val="center"/>
      </w:pPr>
      <w:r>
        <w:rPr>
          <w:b/>
          <w:i w:val="0"/>
        </w:rPr>
        <w:t xml:space="preserve">LAVOZIM YO‘RIQNOMASI</w:t>
      </w:r>
    </w:p>
    <w:p w14:paraId="62F7148E">
      <w:pPr>
        <w:spacing w:before="0" w:after="160"/>
        <w:jc w:val="center"/>
        <w:rPr>
          <w:b/>
          <w:i w:val="0"/>
        </w:rPr>
      </w:pPr>
      <w:r>
        <w:rPr>
          <w:b/>
          <w:i w:val="0"/>
        </w:rPr>
        <w:t xml:space="preserve">savdo bo‘yicha menejerning</w:t>
      </w:r>
    </w:p>
    <w:p w14:paraId="3FBA76E6">
      <w:pPr>
        <w:spacing w:before="0" w:after="160"/>
        <w:jc w:val="center"/>
        <w:rPr>
          <w:b/>
          <w:i w:val="0"/>
        </w:rPr>
      </w:pPr>
    </w:p>
    <w:p w14:paraId="4562297B">
      <w:pPr>
        <w:keepNext/>
        <w:spacing w:before="120" w:after="80"/>
        <w:jc w:val="center"/>
      </w:pPr>
      <w:r>
        <w:rPr>
          <w:b/>
          <w:i w:val="0"/>
        </w:rPr>
        <w:t xml:space="preserve">1. Umumiy qoidalar</w:t>
      </w:r>
    </w:p>
    <w:p w14:paraId="2FE27BB8">
      <w:pPr>
        <w:spacing w:before="0" w:after="80"/>
        <w:ind w:left="567" w:hanging="567"/>
        <w:jc w:val="both"/>
      </w:pPr>
      <w:r>
        <w:rPr>
          <w:b w:val="0"/>
          <w:i w:val="0"/>
        </w:rPr>
        <w:t xml:space="preserve">1.1.</w:t>
        <w:tab/>
        <w:t xml:space="preserve">Savdo bo‘yicha menejer (keyingi o‘rinlarda — Menejer) O‘zbekiston Respublikasi Mehnat kodeksida (keyingi o‘rinlarda — MK) belgilangan tartibda Jamiyat direktori tomonidan ishga qabul qilinadi va lavozimidan ozod etiladi.</w:t>
      </w:r>
    </w:p>
    <w:p w14:paraId="15E2E916">
      <w:pPr>
        <w:spacing w:before="0" w:after="80"/>
        <w:ind w:left="567" w:hanging="567"/>
        <w:jc w:val="both"/>
      </w:pPr>
      <w:r>
        <w:rPr>
          <w:b w:val="0"/>
          <w:i w:val="0"/>
        </w:rPr>
        <w:t xml:space="preserve">1.2.</w:t>
        <w:tab/>
        <w:t xml:space="preserve">Menejer bevosita Jamiyat direktoriga bo‘ysunadi.</w:t>
      </w:r>
    </w:p>
    <w:p w14:paraId="710C9358">
      <w:pPr>
        <w:spacing w:before="0" w:after="80"/>
        <w:ind w:left="567" w:hanging="567"/>
        <w:jc w:val="both"/>
      </w:pPr>
      <w:r>
        <w:rPr>
          <w:b w:val="0"/>
          <w:i w:val="0"/>
        </w:rPr>
        <w:t xml:space="preserve">1.3.</w:t>
        <w:tab/>
        <w:t xml:space="preserve">O‘z faoliyatida Menejer O‘zbekiston Respublikasi qonunchiligi, Jamiyat Ustavi, ichki mehnat tartibi qoidalari, mehnat shartnomasi, ushbu yo‘riqnoma, Turistik xizmatlarni sotish va to‘lovlarni qabul qilish tartibi to‘g‘risidagi Nizom, direktorning buyruqlari va yozma topshiriqlariga amal qiladi.</w:t>
      </w:r>
    </w:p>
    <w:p w14:paraId="20C62B53">
      <w:pPr>
        <w:spacing w:before="0" w:after="80"/>
        <w:ind w:left="567" w:hanging="567"/>
        <w:jc w:val="both"/>
      </w:pPr>
      <w:r>
        <w:rPr>
          <w:b w:val="0"/>
          <w:i w:val="0"/>
        </w:rPr>
        <w:t xml:space="preserve">1.4.</w:t>
        <w:tab/>
        <w:t xml:space="preserve">Menejer quyidagilarni bilishi shart: Jamiyatning turistik mahsulotlari va xizmatlarini hamda ularni ko‘rsatish shartlarini; yetkazib beruvchilar va hamkorlar bilan ishlash shartlarini; Jamiyatning shartnoma shakllarini; to‘lov va hisob yuritish tartibini; turistik faoliyat va iste’molchilar huquqlarini himoya qilish to‘g‘risidagi qonunchilik asoslarini; Turistik xizmatlarni sotish va to‘lovlarni qabul qilish tartibi to‘g‘risidagi Nizomni.</w:t>
      </w:r>
    </w:p>
    <w:p w14:paraId="57ECBF40">
      <w:pPr>
        <w:spacing w:before="0" w:after="80"/>
        <w:ind w:left="567" w:hanging="567"/>
        <w:jc w:val="both"/>
      </w:pPr>
      <w:r>
        <w:rPr>
          <w:b w:val="0"/>
          <w:i w:val="0"/>
        </w:rPr>
        <w:t xml:space="preserve">1.5.</w:t>
        <w:tab/>
        <w:t xml:space="preserve">Menejerning ish joyi — Jamiyat Ofisi: Toshkent sh., Mirobod tumani, Namuna ko‘chasi, 1.</w:t>
      </w:r>
    </w:p>
    <w:p w14:paraId="666E4049">
      <w:pPr>
        <w:keepNext/>
        <w:spacing w:before="120" w:after="80"/>
        <w:jc w:val="center"/>
      </w:pPr>
      <w:r>
        <w:rPr>
          <w:b/>
          <w:i w:val="0"/>
        </w:rPr>
        <w:t xml:space="preserve">2. Vazifalar va funksiyalar</w:t>
      </w:r>
    </w:p>
    <w:p w14:paraId="7CA4B8F7">
      <w:pPr>
        <w:spacing w:before="0" w:after="80"/>
        <w:ind w:left="567" w:hanging="567"/>
        <w:jc w:val="both"/>
      </w:pPr>
      <w:r>
        <w:rPr>
          <w:b w:val="0"/>
          <w:i w:val="0"/>
        </w:rPr>
        <w:t xml:space="preserve">2.1.</w:t>
        <w:tab/>
        <w:t xml:space="preserve">Mijozlarga maslahat berish va Jamiyatning turistik mahsulotlarini tanlashda yordam berish.</w:t>
      </w:r>
    </w:p>
    <w:p w14:paraId="3A6FC911">
      <w:pPr>
        <w:spacing w:before="0" w:after="80"/>
        <w:ind w:left="567" w:hanging="567"/>
        <w:jc w:val="both"/>
      </w:pPr>
      <w:r>
        <w:rPr>
          <w:b w:val="0"/>
          <w:i w:val="0"/>
        </w:rPr>
        <w:t xml:space="preserve">2.2.</w:t>
        <w:tab/>
        <w:t xml:space="preserve">Jamiyatning turistik mahsulotlarini Jamiyat nomidan va uning manfaatlarida Nizomda belgilangan tartibda sotish.</w:t>
      </w:r>
    </w:p>
    <w:p w14:paraId="52634511">
      <w:pPr>
        <w:spacing w:before="0" w:after="80"/>
        <w:ind w:left="567" w:hanging="567"/>
        <w:jc w:val="both"/>
      </w:pPr>
      <w:r>
        <w:rPr>
          <w:b w:val="0"/>
          <w:i w:val="0"/>
        </w:rPr>
        <w:t xml:space="preserve">2.3.</w:t>
        <w:tab/>
        <w:t xml:space="preserve">Arizalar, shartnomalar va qo‘shimcha hujjatlarni rasmiylashtirish; direktor topshiriqlari doirasida Jamiyatning yetkazib beruvchilari va hamkorlari bilan o‘zaro hamkorlik qilish.</w:t>
      </w:r>
    </w:p>
    <w:p w14:paraId="5DD82E15">
      <w:pPr>
        <w:spacing w:before="0" w:after="80"/>
        <w:ind w:left="567" w:hanging="567"/>
        <w:jc w:val="both"/>
      </w:pPr>
      <w:r>
        <w:rPr>
          <w:b w:val="0"/>
          <w:i w:val="0"/>
        </w:rPr>
        <w:t xml:space="preserve">2.4.</w:t>
        <w:tab/>
        <w:t xml:space="preserve">Mijozlar, arizalar hisobini va sotuvlar bo‘yicha hisobotni yuritish.</w:t>
      </w:r>
    </w:p>
    <w:p w14:paraId="7F236CF7">
      <w:pPr>
        <w:keepNext/>
        <w:spacing w:before="120" w:after="80"/>
        <w:jc w:val="center"/>
      </w:pPr>
      <w:r>
        <w:rPr>
          <w:b/>
          <w:i w:val="0"/>
        </w:rPr>
        <w:t xml:space="preserve">3. Lavozim majburiyatlari</w:t>
      </w:r>
    </w:p>
    <w:p w14:paraId="28AAB627">
      <w:pPr>
        <w:spacing w:before="0" w:after="80"/>
        <w:ind w:left="567" w:hanging="567"/>
        <w:jc w:val="both"/>
      </w:pPr>
      <w:r>
        <w:rPr>
          <w:b w:val="0"/>
          <w:i w:val="0"/>
        </w:rPr>
        <w:t xml:space="preserve">3.1.</w:t>
        <w:tab/>
        <w:t xml:space="preserve">Menejer Mijozlarga Jamiyatning xizmatlari, narxlari va shartlari haqida Mijozlarni chalg‘itmasdan, ishonchli va to‘liq hajmda maslahat berishi shart;</w:t>
      </w:r>
    </w:p>
    <w:p w14:paraId="0BE601BA">
      <w:pPr>
        <w:spacing w:before="0" w:after="80"/>
        <w:ind w:left="567" w:hanging="567"/>
        <w:jc w:val="both"/>
      </w:pPr>
      <w:r>
        <w:rPr>
          <w:b w:val="0"/>
          <w:i w:val="0"/>
        </w:rPr>
        <w:t xml:space="preserve">3.2.</w:t>
        <w:tab/>
        <w:t xml:space="preserve">Menejer Mijozning har bir arizasini murojaat qilingan kuni Jamiyat hisobida qayd etishi shart;</w:t>
      </w:r>
    </w:p>
    <w:p w14:paraId="0A795F64">
      <w:pPr>
        <w:spacing w:before="0" w:after="80"/>
        <w:ind w:left="567" w:hanging="567"/>
        <w:jc w:val="both"/>
      </w:pPr>
      <w:r>
        <w:rPr>
          <w:b w:val="0"/>
          <w:i w:val="0"/>
        </w:rPr>
        <w:t xml:space="preserve">3.3.</w:t>
        <w:tab/>
        <w:t xml:space="preserve">Menejer Jamiyat shartnomasini tasdiqlangan shakl bo‘yicha rasmiylashtirishi, kiritilayotgan ma’lumotlarning to‘liq va ishonchli bo‘lishini ta’minlashi, direktorning yozma roziligisiz muhim shartlarni o‘zgartirmasligi shart;</w:t>
      </w:r>
    </w:p>
    <w:p w14:paraId="5A82AE37">
      <w:pPr>
        <w:spacing w:before="0" w:after="80"/>
        <w:ind w:left="567" w:hanging="567"/>
        <w:jc w:val="both"/>
      </w:pPr>
      <w:r>
        <w:rPr>
          <w:b w:val="0"/>
          <w:i w:val="0"/>
        </w:rPr>
        <w:t xml:space="preserve">3.4.</w:t>
        <w:tab/>
        <w:t xml:space="preserve">Menejer Mijozga Jamiyat rekvizitlari ko‘rsatilgan to‘lov hisobini taqdim etishi va Mijozga to‘lov faqat Jamiyatning hisob raqamiga yoki Ofisda Mas’ul shaxsga qabul qilinishini tushuntirishi shart;</w:t>
      </w:r>
    </w:p>
    <w:p w14:paraId="4B35E489">
      <w:pPr>
        <w:spacing w:before="0" w:after="80"/>
        <w:ind w:left="567" w:hanging="567"/>
        <w:jc w:val="both"/>
      </w:pPr>
      <w:r>
        <w:rPr>
          <w:b w:val="0"/>
          <w:i w:val="0"/>
        </w:rPr>
        <w:t xml:space="preserve">3.5.</w:t>
        <w:tab/>
        <w:t xml:space="preserve">Menejer Mijozga vaucherlar, tasdiqnomalar va boshqa hujjatlarni faqat to‘lov Jamiyatga kelib tushgani tasdiqlangandan keyin topshirishi shart;</w:t>
      </w:r>
    </w:p>
    <w:p w14:paraId="3DF1BF8D">
      <w:pPr>
        <w:spacing w:before="0" w:after="80"/>
        <w:ind w:left="567" w:hanging="567"/>
        <w:jc w:val="both"/>
      </w:pPr>
      <w:r>
        <w:rPr>
          <w:b w:val="0"/>
          <w:i w:val="0"/>
        </w:rPr>
        <w:t xml:space="preserve">3.6.</w:t>
        <w:tab/>
        <w:t xml:space="preserve">Menejer Mijozlarning belgilangan tartibdan tashqari to‘lov qilishga urinishlari, Mijozlarning shikoyat va da’volari hamda Jamiyat yoki Mijozlar uchun xavf tug‘diruvchi boshqa holatlar haqida o‘sha ish kuniyoq direktorga yozma ravishda xabar berishi shart;</w:t>
      </w:r>
    </w:p>
    <w:p w14:paraId="5D518AC1">
      <w:pPr>
        <w:spacing w:before="0" w:after="80"/>
        <w:ind w:left="567" w:hanging="567"/>
        <w:jc w:val="both"/>
      </w:pPr>
      <w:r>
        <w:rPr>
          <w:b w:val="0"/>
          <w:i w:val="0"/>
        </w:rPr>
        <w:t xml:space="preserve">3.7.</w:t>
        <w:tab/>
        <w:t xml:space="preserve">Menejer Mijozlar va hamkorlar bilan Jamiyat xizmatlari bo‘yicha yozishmalarni faqat Jamiyat belgilagan kanallar orqali olib borishi va uni Jamiyat hisobida saqlashi shart;</w:t>
      </w:r>
    </w:p>
    <w:p w14:paraId="4E349FEE">
      <w:pPr>
        <w:spacing w:before="0" w:after="80"/>
        <w:ind w:left="567" w:hanging="567"/>
        <w:jc w:val="both"/>
      </w:pPr>
      <w:r>
        <w:rPr>
          <w:b w:val="0"/>
          <w:i w:val="0"/>
        </w:rPr>
        <w:t xml:space="preserve">3.8.</w:t>
        <w:tab/>
        <w:t xml:space="preserve">Menejer direktorga sotuvlar bo‘yicha hisobotni o‘z vaqtida va to‘liq hajmda taqdim etishi shart;</w:t>
      </w:r>
    </w:p>
    <w:p w14:paraId="0FDDC344">
      <w:pPr>
        <w:spacing w:before="0" w:after="80"/>
        <w:ind w:left="567" w:hanging="567"/>
        <w:jc w:val="both"/>
      </w:pPr>
      <w:r>
        <w:rPr>
          <w:b w:val="0"/>
          <w:i w:val="0"/>
        </w:rPr>
        <w:t xml:space="preserve">3.9.</w:t>
        <w:tab/>
        <w:t xml:space="preserve">Menejer Jamiyatning tijorat siri rejimiga va Mijozlarning shaxsga doir ma’lumotlarini qayta ishlash tartibiga rioya qilishi, ulardan shaxsiy maqsadlarda foydalanmasligi shart;</w:t>
      </w:r>
    </w:p>
    <w:p w14:paraId="4C7D403F">
      <w:pPr>
        <w:spacing w:before="0" w:after="80"/>
        <w:ind w:left="567" w:hanging="567"/>
        <w:jc w:val="both"/>
      </w:pPr>
      <w:r>
        <w:rPr>
          <w:b w:val="0"/>
          <w:i w:val="0"/>
        </w:rPr>
        <w:t xml:space="preserve">3.10.</w:t>
        <w:tab/>
        <w:t xml:space="preserve">Menejer Jamiyat mol-mulkiga ehtiyotkorlik bilan munosabatda bo‘lishi, mehnat muhofazasi va yong‘in xavfsizligi talablariga, ichki mehnat tartibi qoidalariga rioya qilishi shart;</w:t>
      </w:r>
    </w:p>
    <w:p w14:paraId="7E0A755F">
      <w:pPr>
        <w:spacing w:before="0" w:after="80"/>
        <w:ind w:left="567" w:hanging="567"/>
        <w:jc w:val="both"/>
      </w:pPr>
      <w:r>
        <w:rPr>
          <w:b w:val="0"/>
          <w:i w:val="0"/>
        </w:rPr>
        <w:t xml:space="preserve">3.11.</w:t>
        <w:tab/>
        <w:t xml:space="preserve">Menejer mehnat shartnomasi bekor qilinganda hujjatlarni, mijozlar bazasini, yozishmalarni, axborot tizimlariga kirish ma’lumotlarini, axborot tashuvchilarni va Jamiyatning boshqa mol-mulkini dalolatnoma bo‘yicha topshirishi shart.</w:t>
      </w:r>
    </w:p>
    <w:p w14:paraId="75CA920C">
      <w:pPr>
        <w:keepNext/>
        <w:spacing w:before="120" w:after="80"/>
        <w:jc w:val="center"/>
      </w:pPr>
      <w:r>
        <w:rPr>
          <w:b/>
          <w:i w:val="0"/>
        </w:rPr>
        <w:t xml:space="preserve">4. Taqiqlar</w:t>
      </w:r>
    </w:p>
    <w:p w14:paraId="070CD3A1">
      <w:pPr>
        <w:spacing w:before="0" w:after="80"/>
        <w:ind w:left="567" w:hanging="567"/>
        <w:jc w:val="both"/>
      </w:pPr>
      <w:r>
        <w:rPr>
          <w:b w:val="0"/>
          <w:i w:val="0"/>
        </w:rPr>
        <w:t xml:space="preserve">4.1.</w:t>
        <w:tab/>
        <w:t xml:space="preserve">Menejerga quyidagilar </w:t>
      </w:r>
      <w:r>
        <w:rPr>
          <w:b/>
          <w:i w:val="0"/>
        </w:rPr>
        <w:t xml:space="preserve">taqiqlanadi</w:t>
      </w:r>
      <w:r>
        <w:rPr>
          <w:b w:val="0"/>
          <w:i w:val="0"/>
        </w:rPr>
        <w:t xml:space="preserve">:</w:t>
      </w:r>
    </w:p>
    <w:p w14:paraId="693BD907">
      <w:pPr>
        <w:spacing w:before="0" w:after="80"/>
        <w:ind w:left="709" w:hanging="709"/>
        <w:jc w:val="both"/>
      </w:pPr>
      <w:r>
        <w:rPr>
          <w:b w:val="0"/>
          <w:i w:val="0"/>
        </w:rPr>
        <w:t xml:space="preserve">4.1.1.</w:t>
        <w:tab/>
        <w:t xml:space="preserve">Mijozlardan va boshqa shaxslardan Jamiyat xizmatlari uchun yoki ular munosabati bilan har qanday shaklda (naqd pul, shaxsiy kartalar va hisobvaraqlarga o‘tkazmalar, elektron hamyonlar, to‘lov ilovalari, QR-kodlar, messenjerlar) pul qabul qilish, talab qilish yoki olish;</w:t>
      </w:r>
    </w:p>
    <w:p w14:paraId="2F29653F">
      <w:pPr>
        <w:spacing w:before="0" w:after="80"/>
        <w:ind w:left="709" w:hanging="709"/>
        <w:jc w:val="both"/>
      </w:pPr>
      <w:r>
        <w:rPr>
          <w:b w:val="0"/>
          <w:i w:val="0"/>
        </w:rPr>
        <w:t xml:space="preserve">4.1.2.</w:t>
        <w:tab/>
        <w:t xml:space="preserve">Mijozlarga Jamiyatga tegishli bo‘lmagan rekvizitlarni xabar qilish va Mijozlar bilan hisob-kitoblar uchun shaxsiy to‘lov vositalaridan foydalanish;</w:t>
      </w:r>
    </w:p>
    <w:p w14:paraId="402C2550">
      <w:pPr>
        <w:spacing w:before="0" w:after="80"/>
        <w:ind w:left="709" w:hanging="709"/>
        <w:jc w:val="both"/>
      </w:pPr>
      <w:r>
        <w:rPr>
          <w:b w:val="0"/>
          <w:i w:val="0"/>
        </w:rPr>
        <w:t xml:space="preserve">4.1.3.</w:t>
        <w:tab/>
        <w:t xml:space="preserve">Turistik xizmatlarni Jamiyat shartnomasi va hisobidan tashqarida, shuningdek o‘z nomidan yoki uchinchi shaxslar manfaatlarida rasmiylashtirish, bron qilish, tasdiqlash yoki sotish;</w:t>
      </w:r>
    </w:p>
    <w:p w14:paraId="4F1B088C">
      <w:pPr>
        <w:spacing w:before="0" w:after="80"/>
        <w:ind w:left="709" w:hanging="709"/>
        <w:jc w:val="both"/>
      </w:pPr>
      <w:r>
        <w:rPr>
          <w:b w:val="0"/>
          <w:i w:val="0"/>
        </w:rPr>
        <w:t xml:space="preserve">4.1.4.</w:t>
        <w:tab/>
        <w:t xml:space="preserve">Mijozlarga Jamiyat nomidan direktorning yozma roziligisiz kafolatlar, chegirmalar, qaytarish to‘g‘risidagi va’dalar va boshqa majburiyatlar berish;</w:t>
      </w:r>
    </w:p>
    <w:p w14:paraId="5CB042C3">
      <w:pPr>
        <w:spacing w:before="0" w:after="80"/>
        <w:ind w:left="709" w:hanging="709"/>
        <w:jc w:val="both"/>
      </w:pPr>
      <w:r>
        <w:rPr>
          <w:b w:val="0"/>
          <w:i w:val="0"/>
        </w:rPr>
        <w:t xml:space="preserve">4.1.5.</w:t>
        <w:tab/>
        <w:t xml:space="preserve">Berilgan vakolatlar doirasidan tashqarida Jamiyat nomidan harakatlar sodir etish, Jamiyatning nomi, muhrlari, blanklari va rekvizitlaridan direktorning topshirig‘isiz foydalanish;</w:t>
      </w:r>
    </w:p>
    <w:p w14:paraId="7C4AEB97">
      <w:pPr>
        <w:spacing w:before="0" w:after="80"/>
        <w:ind w:left="709" w:hanging="709"/>
        <w:jc w:val="both"/>
      </w:pPr>
      <w:r>
        <w:rPr>
          <w:b w:val="0"/>
          <w:i w:val="0"/>
        </w:rPr>
        <w:t xml:space="preserve">4.1.6.</w:t>
        <w:tab/>
        <w:t xml:space="preserve">Jamiyatning tijorat sirini tashkil etuvchi ma’lumotlarni oshkor qilish, mijozlar bazasi va boshqa ma’lumotlarni nusxalash hamda Jamiyatdan tashqariga olib chiqish.</w:t>
      </w:r>
    </w:p>
    <w:p w14:paraId="2BE42436">
      <w:pPr>
        <w:keepNext/>
        <w:spacing w:before="120" w:after="80"/>
        <w:jc w:val="center"/>
      </w:pPr>
      <w:r>
        <w:rPr>
          <w:b/>
          <w:i w:val="0"/>
        </w:rPr>
        <w:t xml:space="preserve">5. Huquqlar</w:t>
      </w:r>
    </w:p>
    <w:p w14:paraId="2C269228">
      <w:pPr>
        <w:spacing w:before="0" w:after="80"/>
        <w:ind w:left="567" w:hanging="567"/>
        <w:jc w:val="both"/>
      </w:pPr>
      <w:r>
        <w:rPr>
          <w:b w:val="0"/>
          <w:i w:val="0"/>
        </w:rPr>
        <w:t xml:space="preserve">5.1.</w:t>
        <w:tab/>
        <w:t xml:space="preserve">Menejer quyidagi huquqlarga ega: majburiyatlarni bajarish uchun zarur ma’lumot va hujjatlarni direktordan olish; ish sifatini yaxshilash bo‘yicha takliflar kiritish; ish uchun zarur sharoitlar yaratilishini talab qilish; tasdiqlangan shartlar doirasidan tashqaridagi masalalar bo‘yicha direktorning yozma ko‘rsatmalarini so‘rash.</w:t>
      </w:r>
    </w:p>
    <w:p w14:paraId="5284C208">
      <w:pPr>
        <w:keepNext/>
        <w:spacing w:before="120" w:after="80"/>
        <w:jc w:val="center"/>
      </w:pPr>
      <w:r>
        <w:rPr>
          <w:b/>
          <w:i w:val="0"/>
        </w:rPr>
        <w:t xml:space="preserve">6. Javobgarlik</w:t>
      </w:r>
    </w:p>
    <w:p w14:paraId="7DD494B7">
      <w:pPr>
        <w:spacing w:before="0" w:after="80"/>
        <w:ind w:left="567" w:hanging="567"/>
        <w:jc w:val="both"/>
      </w:pPr>
      <w:r>
        <w:rPr>
          <w:b w:val="0"/>
          <w:i w:val="0"/>
        </w:rPr>
        <w:t xml:space="preserve">6.1.</w:t>
        <w:tab/>
        <w:t xml:space="preserve">Menejer quyidagilar uchun javobgar bo‘ladi: majburiyatlarni bajarmaganlik yoki lozim darajada bajarmaganlik uchun — MKda nazarda tutilgan tartibda; 4-bo‘limdagi taqiqlarni buzganlik uchun — mehnat shartnomasi bekor qilinishigacha bo‘lgan intizomiy javobgarlik (MK 161-moddasi ikkinchi qismining 5-bandi va 162-moddasi) va moddiy javobgarlik (MKning 337, 340–342-moddalari); tijorat sirini oshkor qilganlik uchun — qonunchilikka muvofiq.</w:t>
      </w:r>
    </w:p>
    <w:p w14:paraId="0A6D5A0C">
      <w:pPr>
        <w:spacing w:before="0" w:after="80"/>
        <w:ind w:left="567" w:hanging="567"/>
        <w:jc w:val="both"/>
      </w:pPr>
      <w:r>
        <w:rPr>
          <w:b w:val="0"/>
          <w:i w:val="0"/>
        </w:rPr>
        <w:t xml:space="preserve">6.2.</w:t>
        <w:tab/>
        <w:t xml:space="preserve">Ushbu yo‘riqnoma bo‘yicha javobgarlikka tortish qonunchilikda nazarda tutilgan boshqa javobgarlikni istisno etmaydi.</w:t>
      </w:r>
    </w:p>
    <w:p w14:paraId="4F4D5633">
      <w:pPr>
        <w:keepNext/>
        <w:spacing w:before="120" w:after="80"/>
        <w:jc w:val="center"/>
      </w:pPr>
      <w:r>
        <w:rPr>
          <w:b/>
          <w:i w:val="0"/>
        </w:rPr>
        <w:t xml:space="preserve">7. Yakuniy qoidalar</w:t>
      </w:r>
    </w:p>
    <w:p w14:paraId="4BADEF40">
      <w:pPr>
        <w:spacing w:before="0" w:after="80"/>
        <w:ind w:left="567" w:hanging="567"/>
        <w:jc w:val="both"/>
      </w:pPr>
      <w:r>
        <w:rPr>
          <w:b w:val="0"/>
          <w:i w:val="0"/>
        </w:rPr>
        <w:t xml:space="preserve">7.1.</w:t>
        <w:tab/>
        <w:t xml:space="preserve">Yo‘riqnoma ikki nusxada tuzilgan: bittasi Jamiyatda saqlanadi, ikkinchisi Menejerga imzo qo‘ydirib topshiriladi.</w:t>
      </w:r>
    </w:p>
    <w:p w14:paraId="6CB841C6">
      <w:pPr>
        <w:spacing w:before="0" w:after="120"/>
        <w:jc w:val="both"/>
      </w:pPr>
    </w:p>
    <w:tbl>
      <w:tblPr>
        <w:tblStyle w:val="12"/>
        <w:tblW w:w="93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04"/>
        <w:gridCol w:w="2551"/>
      </w:tblGrid>
      <w:tr w14:paraId="09693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3" w:type="dxa"/>
          </w:tcPr>
          <w:p w14:paraId="22268926">
            <w:pPr>
              <w:spacing w:before="0" w:after="20"/>
              <w:jc w:val="left"/>
            </w:pPr>
            <w:r>
              <w:rPr>
                <w:b w:val="0"/>
                <w:i w:val="0"/>
              </w:rPr>
              <w:t xml:space="preserve">Yo‘riqnoma bilan tanishdim, nusxasini oldim:</w:t>
            </w:r>
          </w:p>
          <w:p w14:paraId="22ADF501">
            <w:pPr>
              <w:spacing w:before="0" w:after="20"/>
              <w:jc w:val="left"/>
            </w:pPr>
          </w:p>
          <w:p w14:paraId="01947F52">
            <w:pPr>
              <w:spacing w:before="0" w:after="20"/>
              <w:jc w:val="left"/>
              <w:rPr>
                <w:b/>
                <w:bCs/>
              </w:rPr>
            </w:pPr>
            <w:r>
              <w:rPr>
                <w:b w:val="0"/>
                <w:i w:val="0"/>
              </w:rPr>
              <w:t xml:space="preserve">_______________  </w:t>
            </w:r>
            <w:r>
              <w:rPr>
                <w:b/>
                <w:bCs/>
                <w:i w:val="0"/>
              </w:rPr>
              <w:t xml:space="preserve">B.E. Rahimov</w:t>
            </w:r>
            <w:bookmarkStart w:id="0" w:name="_GoBack"/>
            <w:bookmarkEnd w:id="0"/>
          </w:p>
          <w:p w14:paraId="2B54F4D6">
            <w:pPr>
              <w:spacing w:before="0" w:after="20"/>
              <w:jc w:val="left"/>
            </w:pPr>
            <w:r>
              <w:rPr>
                <w:b w:val="0"/>
                <w:i w:val="0"/>
              </w:rPr>
              <w:t xml:space="preserve">2026-yil «___» ____________</w:t>
            </w:r>
          </w:p>
        </w:tc>
        <w:tc>
          <w:tcPr>
            <w:tcW w:w="2551" w:type="dxa"/>
          </w:tcPr>
          <w:p w14:paraId="57894B01">
            <w:pPr>
              <w:spacing w:before="0" w:after="20"/>
              <w:jc w:val="left"/>
            </w:pPr>
          </w:p>
        </w:tc>
      </w:tr>
    </w:tbl>
    <w:p w14:paraId="4A5568B4"/>
    <w:sectPr>
      <w:headerReference r:id="rIdWM1" w:type="default"/>
      <w:footerReference r:id="rId5" w:type="default"/>
      <w:pgSz w:w="11906" w:h="16838"/>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10874">
    <w:pPr>
      <w:pStyle w:val="26"/>
      <w:jc w:val="center"/>
    </w:pPr>
    <w:r>
      <w:rPr>
        <w:sz w:val="18"/>
      </w:rPr>
      <w:fldChar w:fldCharType="begin"/>
    </w:r>
    <w:r>
      <w:rPr>
        <w:sz w:val="18"/>
      </w:rPr>
      <w:instrText xml:space="preserve">PAGE</w:instrText>
    </w:r>
    <w:r>
      <w:rPr>
        <w:sz w:val="18"/>
      </w:rPr>
      <w:fldChar w:fldCharType="end"/>
    </w:r>
  </w:p>
  <w:p>
    <w:pPr>
      <w:spacing w:before="0" w:after="0"/>
      <w:jc w:val="center"/>
    </w:pPr>
    <w:r>
      <w:rPr>
        <w:rFonts w:ascii="Times New Roman" w:hAnsi="Times New Roman" w:cs="Times New Roman"/>
        <w:color w:val="7F7F7F"/>
        <w:sz w:val="14"/>
        <w:szCs w:val="14"/>
      </w:rPr>
      <w:t>MARKUS kompaniyasi mahsuloti (STIR 311283164)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_wm.xml><?xml version="1.0" encoding="utf-8"?>
<w:hdr xmlns:w="http://schemas.openxmlformats.org/wordprocessingml/2006/main" xmlns:v="urn:schemas-microsoft-com:vml" xmlns:o="urn:schemas-microsoft-com:office:office" xmlns:w10="urn:schemas-microsoft-com:office:word" xmlns:r="http://schemas.openxmlformats.org/officeDocument/2006/relationships">
  <w:p>
    <w:pPr>
      <w:spacing w:before="0" w:after="0" w:line="20" w:lineRule="exact"/>
    </w:pPr>
    <w:r>
      <w:rPr>
        <w:noProof/>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0pt;height:130pt;rotation:315;z-index:-251658752;mso-position-horizontal:center;mso-position-horizontal-relative:margin;mso-position-vertical:center;mso-position-vertical-relative:margin" o:allowincell="f" fillcolor="#e8e8e8" stroked="f">
          <v:textpath style="font-family:&quot;Arial&quot;;font-size:1pt;font-weight:bold" string="MARKU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615E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WM1" Type="http://schemas.openxmlformats.org/officeDocument/2006/relationships/header" Target="header_wm.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712</Words>
  <Characters>4820</Characters>
  <Lines>0</Lines>
  <Paragraphs>0</Paragraphs>
  <TotalTime>1</TotalTime>
  <ScaleCrop>false</ScaleCrop>
  <LinksUpToDate>false</LinksUpToDate>
  <CharactersWithSpaces>5492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MARKUS</dc:creator>
  <cp:lastModifiedBy>MARKUS</cp:lastModifiedBy>
  <dcterms:modified xsi:type="dcterms:W3CDTF">2026-10-21T14:13:41Z</dcterms:modified>
  <cp:revision>1</cp:revision>
</cp:coreProperties>
</file>