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_wm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5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72D4D9">
      <w:pPr>
        <w:spacing w:before="0" w:after="0"/>
        <w:jc w:val="right"/>
      </w:pPr>
      <w:r>
        <w:rPr>
          <w:b/>
          <w:i w:val="0"/>
        </w:rPr>
        <w:t>Приложение</w:t>
      </w:r>
    </w:p>
    <w:p w14:paraId="04CA0951">
      <w:pPr>
        <w:spacing w:before="0" w:after="0"/>
        <w:jc w:val="right"/>
      </w:pPr>
      <w:r>
        <w:rPr>
          <w:b w:val="0"/>
          <w:i w:val="0"/>
        </w:rPr>
        <w:t xml:space="preserve">к приказу директора ООО «MOSSAD»</w:t>
      </w:r>
    </w:p>
    <w:p w14:paraId="11DE01EA">
      <w:pPr>
        <w:spacing w:before="0" w:after="0"/>
        <w:jc w:val="right"/>
      </w:pPr>
      <w:r>
        <w:rPr>
          <w:b w:val="0"/>
          <w:i w:val="0"/>
        </w:rPr>
        <w:t>№ ____ от «___» ____________ 2026 г.</w:t>
      </w:r>
    </w:p>
    <w:p w14:paraId="5977ED11">
      <w:pPr>
        <w:spacing w:before="0" w:after="200"/>
        <w:jc w:val="right"/>
      </w:pPr>
      <w:r>
        <w:rPr>
          <w:b w:val="0"/>
          <w:i w:val="0"/>
        </w:rPr>
        <w:t>и к правилам внутреннего трудового распорядка</w:t>
      </w:r>
    </w:p>
    <w:p w14:paraId="482C2D62">
      <w:pPr>
        <w:spacing w:before="0" w:after="0"/>
        <w:jc w:val="center"/>
        <w:rPr>
          <w:b/>
          <w:i w:val="0"/>
        </w:rPr>
      </w:pPr>
    </w:p>
    <w:p w14:paraId="5F2366C9">
      <w:pPr>
        <w:spacing w:before="0" w:after="0"/>
        <w:jc w:val="center"/>
      </w:pPr>
      <w:r>
        <w:rPr>
          <w:b/>
          <w:i w:val="0"/>
        </w:rPr>
        <w:t>ПЕРЕЧЕНЬ</w:t>
      </w:r>
    </w:p>
    <w:p w14:paraId="1FA4A3D7">
      <w:pPr>
        <w:spacing w:before="0" w:after="40"/>
        <w:jc w:val="center"/>
      </w:pPr>
      <w:r>
        <w:rPr>
          <w:b/>
          <w:i w:val="0"/>
        </w:rPr>
        <w:t>однократных грубых нарушений трудовых обязанностей</w:t>
      </w:r>
    </w:p>
    <w:p w14:paraId="5243292F">
      <w:pPr>
        <w:spacing w:before="0" w:after="160"/>
        <w:jc w:val="center"/>
        <w:rPr>
          <w:b w:val="0"/>
          <w:i w:val="0"/>
          <w:sz w:val="20"/>
        </w:rPr>
      </w:pPr>
      <w:r>
        <w:rPr>
          <w:b w:val="0"/>
          <w:i w:val="0"/>
          <w:sz w:val="20"/>
        </w:rPr>
        <w:t>(пункт 5 части второй статьи 161, статья 162 Трудового кодекса Республики Узбекистан)</w:t>
      </w:r>
    </w:p>
    <w:p w14:paraId="5FA245AD">
      <w:pPr>
        <w:spacing w:before="0" w:after="160"/>
        <w:jc w:val="center"/>
        <w:rPr>
          <w:b w:val="0"/>
          <w:i w:val="0"/>
          <w:sz w:val="20"/>
        </w:rPr>
      </w:pPr>
    </w:p>
    <w:p w14:paraId="7ED7A67E">
      <w:pPr>
        <w:spacing w:before="0" w:after="80"/>
        <w:ind w:left="510" w:hanging="510"/>
        <w:jc w:val="both"/>
      </w:pPr>
      <w:r>
        <w:rPr>
          <w:b w:val="0"/>
          <w:i w:val="0"/>
        </w:rPr>
        <w:t>1.</w:t>
        <w:tab/>
        <w:t xml:space="preserve">Однократными грубыми нарушениями трудовых обязанностей, за которые трудовой договор может быть прекращён по инициативе ООО «MOSSAD» (далее - Общество), являются:</w:t>
      </w:r>
    </w:p>
    <w:p w14:paraId="515F8CD9">
      <w:pPr>
        <w:spacing w:before="0" w:after="60"/>
        <w:ind w:left="567"/>
        <w:jc w:val="both"/>
      </w:pPr>
      <w:r>
        <w:rPr>
          <w:b w:val="0"/>
          <w:i w:val="0"/>
        </w:rPr>
        <w:t>а) приём, требование, получение или вымогательство денежных средств (наличных, переводов на личные банковские карты и счета, на электронные кошельки, через платёжные приложения, QR-коды, мессенджеры и иными способами) от туристов, клиентов и иных лиц за услуги Общества либо в связи с ними - в любом месте и в любой форме, за исключением приёма платежей лицом, назначенным приказом директора, в порядке раздела 2 Положения;</w:t>
      </w:r>
    </w:p>
    <w:p w14:paraId="1F7690FC">
      <w:pPr>
        <w:spacing w:before="0" w:after="60"/>
        <w:ind w:left="567"/>
        <w:jc w:val="both"/>
      </w:pPr>
      <w:r>
        <w:rPr>
          <w:b w:val="0"/>
          <w:i w:val="0"/>
        </w:rPr>
        <w:t>б) сообщение клиентам реквизитов, не принадлежащих Обществу, либо иных способов оплаты, не предусмотренных разделом 2 Положения;</w:t>
      </w:r>
    </w:p>
    <w:p w14:paraId="2992F0A1">
      <w:pPr>
        <w:spacing w:before="0" w:after="60"/>
        <w:ind w:left="567"/>
        <w:jc w:val="both"/>
      </w:pPr>
      <w:r>
        <w:rPr>
          <w:b w:val="0"/>
          <w:i w:val="0"/>
        </w:rPr>
        <w:t>в) оформление, бронирование, подтверждение или иная реализация туристских услуг вне договора Общества и вне учёта Общества, в том числе «параллельные» продажи в своих интересах либо в интересах третьих лиц;</w:t>
      </w:r>
    </w:p>
    <w:p w14:paraId="7FB3648A">
      <w:pPr>
        <w:spacing w:before="0" w:after="60"/>
        <w:ind w:left="567"/>
        <w:jc w:val="both"/>
      </w:pPr>
      <w:r>
        <w:rPr>
          <w:b w:val="0"/>
          <w:i w:val="0"/>
        </w:rPr>
        <w:t>г) выдача клиентам ваучеров, подтверждений, гарантий, скидок, обещаний о возврате или иных обязательств от имени Общества без письменного согласия директора, а также до поступления оплаты на расчётный счёт или в кассу Общества;</w:t>
      </w:r>
    </w:p>
    <w:p w14:paraId="43570CC4">
      <w:pPr>
        <w:spacing w:before="0" w:after="60"/>
        <w:ind w:left="567"/>
        <w:jc w:val="both"/>
      </w:pPr>
      <w:r>
        <w:rPr>
          <w:b w:val="0"/>
          <w:i w:val="0"/>
        </w:rPr>
        <w:t>д) совершение любых действий от имени Общества за пределами предоставленных полномочий; использование наименования, печатей, бланков и реквизитов Общества вне поручения директора;</w:t>
      </w:r>
    </w:p>
    <w:p w14:paraId="04CAA0E5">
      <w:pPr>
        <w:spacing w:before="0" w:after="60"/>
        <w:ind w:left="567"/>
        <w:jc w:val="both"/>
      </w:pPr>
      <w:r>
        <w:rPr>
          <w:b w:val="0"/>
          <w:i w:val="0"/>
        </w:rPr>
        <w:t>е) разглашение сведений, составляющих коммерческую тайну Общества, вынос, копирование или передача клиентской базы и иных сведений для использования вне Общества;</w:t>
      </w:r>
    </w:p>
    <w:p w14:paraId="73E23F40">
      <w:pPr>
        <w:spacing w:before="0" w:after="60"/>
        <w:ind w:left="567"/>
        <w:jc w:val="both"/>
      </w:pPr>
      <w:r>
        <w:rPr>
          <w:b w:val="0"/>
          <w:i w:val="0"/>
        </w:rPr>
        <w:t>ж) сокрытие от директора попыток клиента внести оплату вне установленного порядка, жалоб и претензий клиентов, повлёкшее ущерб для Общества или клиентов.</w:t>
      </w:r>
    </w:p>
    <w:p w14:paraId="0FD632C4">
      <w:pPr>
        <w:spacing w:before="0" w:after="80"/>
        <w:ind w:left="510" w:hanging="510"/>
        <w:jc w:val="both"/>
      </w:pPr>
      <w:r>
        <w:rPr>
          <w:b w:val="0"/>
          <w:i w:val="0"/>
        </w:rPr>
        <w:t>2.</w:t>
        <w:tab/>
        <w:t>Прекращение трудового договора за виновные действия (бездействие) работника является мерой дисциплинарного взыскания и производится с соблюдением порядка и сроков, установленных статьями 313 и 314 Трудового кодекса Республики Узбекистан, в том числе с истребованием письменного объяснения работника.</w:t>
      </w:r>
    </w:p>
    <w:p w14:paraId="3E25410F">
      <w:pPr>
        <w:spacing w:before="0" w:after="80"/>
        <w:ind w:left="510" w:hanging="510"/>
        <w:jc w:val="both"/>
      </w:pPr>
      <w:r>
        <w:rPr>
          <w:b w:val="0"/>
          <w:i w:val="0"/>
        </w:rPr>
        <w:t>3.</w:t>
        <w:tab/>
        <w:t>Перечень обязателен для всех работников Общества; работники знакомятся с ним под роспись (лист ознакомления).</w:t>
      </w:r>
    </w:p>
    <w:p w14:paraId="76EF10A8">
      <w:pPr>
        <w:spacing w:before="0" w:after="160"/>
        <w:jc w:val="both"/>
      </w:pPr>
    </w:p>
    <w:tbl>
      <w:tblPr>
        <w:tblStyle w:val="12"/>
        <w:tblW w:w="935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402"/>
        <w:gridCol w:w="3685"/>
      </w:tblGrid>
      <w:tr w14:paraId="3E30A2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EF9CC73">
            <w:pPr>
              <w:spacing w:before="0" w:after="20"/>
              <w:jc w:val="left"/>
            </w:pPr>
            <w:r>
              <w:rPr>
                <w:b w:val="0"/>
                <w:i w:val="0"/>
                <w:sz w:val="24"/>
              </w:rPr>
              <w:t>Директор</w:t>
            </w:r>
          </w:p>
        </w:tc>
        <w:tc>
          <w:tcPr>
            <w:tcW w:w="3402" w:type="dxa"/>
          </w:tcPr>
          <w:p w14:paraId="292872EF">
            <w:pPr>
              <w:spacing w:before="0" w:after="20"/>
              <w:jc w:val="left"/>
            </w:pPr>
            <w:r>
              <w:rPr>
                <w:b w:val="0"/>
                <w:i w:val="0"/>
                <w:sz w:val="24"/>
              </w:rPr>
              <w:t>/________________/</w:t>
            </w:r>
          </w:p>
        </w:tc>
        <w:tc>
          <w:tcPr>
            <w:tcW w:w="3685" w:type="dxa"/>
          </w:tcPr>
          <w:p w14:paraId="427CD083">
            <w:pPr>
              <w:spacing w:before="0" w:after="20"/>
              <w:jc w:val="left"/>
            </w:pPr>
            <w:r>
              <w:rPr>
                <w:b/>
                <w:bCs/>
                <w:i w:val="0"/>
                <w:sz w:val="24"/>
              </w:rPr>
              <w:t xml:space="preserve">А.Р. Каримов</w:t>
            </w:r>
          </w:p>
        </w:tc>
      </w:tr>
      <w:tr w14:paraId="6328FB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3ECA241">
            <w:pPr>
              <w:spacing w:before="0" w:after="20"/>
              <w:jc w:val="left"/>
            </w:pPr>
          </w:p>
        </w:tc>
        <w:tc>
          <w:tcPr>
            <w:tcW w:w="3402" w:type="dxa"/>
          </w:tcPr>
          <w:p w14:paraId="3CAD7C75">
            <w:pPr>
              <w:spacing w:before="0" w:after="20"/>
              <w:ind w:firstLine="675" w:firstLineChars="450"/>
              <w:jc w:val="both"/>
            </w:pPr>
            <w:bookmarkStart w:id="0" w:name="_GoBack"/>
            <w:bookmarkEnd w:id="0"/>
            <w:r>
              <w:rPr>
                <w:b w:val="0"/>
                <w:i/>
                <w:sz w:val="15"/>
                <w:szCs w:val="13"/>
              </w:rPr>
              <w:t>(подпись)</w:t>
            </w:r>
          </w:p>
        </w:tc>
        <w:tc>
          <w:tcPr>
            <w:tcW w:w="3685" w:type="dxa"/>
          </w:tcPr>
          <w:p w14:paraId="474D5F6A">
            <w:pPr>
              <w:spacing w:before="0" w:after="20"/>
              <w:jc w:val="left"/>
            </w:pPr>
          </w:p>
        </w:tc>
      </w:tr>
    </w:tbl>
    <w:p w14:paraId="61E13EA0"/>
    <w:sectPr>
      <w:headerReference r:id="rIdWM1" w:type="default"/>
      <w:footerReference r:id="rId5" w:type="default"/>
      <w:pgSz w:w="11906" w:h="16838"/>
      <w:pgMar w:top="1134" w:right="850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0F35F7">
    <w:pPr>
      <w:pStyle w:val="26"/>
      <w:jc w:val="center"/>
    </w:pPr>
    <w:r>
      <w:rPr>
        <w:sz w:val="18"/>
      </w:rPr>
      <w:fldChar w:fldCharType="begin"/>
    </w:r>
    <w:r>
      <w:rPr>
        <w:sz w:val="18"/>
      </w:rPr>
      <w:instrText xml:space="preserve">PAGE</w:instrText>
    </w:r>
    <w:r>
      <w:rPr>
        <w:sz w:val="18"/>
      </w:rPr>
      <w:fldChar w:fldCharType="end"/>
    </w:r>
  </w:p>
  <w:p>
    <w:pPr>
      <w:spacing w:before="0" w:after="0"/>
      <w:jc w:val="center"/>
    </w:pPr>
    <w:r>
      <w:rPr>
        <w:rFonts w:ascii="Times New Roman" w:hAnsi="Times New Roman" w:cs="Times New Roman"/>
        <w:color w:val="7F7F7F"/>
        <w:sz w:val="14"/>
        <w:szCs w:val="14"/>
      </w:rPr>
      <w:t>Продукция компании "MARKUS" (ИНН 311283164)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_wm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>
    <w:pPr>
      <w:spacing w:before="0" w:after="0" w:line="20" w:lineRule="exact"/>
    </w:pPr>
    <w:r>
      <w:rPr>
        <w:noProof/>
        <w:sz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2049" type="#_x0000_t136" style="position:absolute;margin-left:0;margin-top:0;width:430pt;height:130pt;rotation:315;z-index:-251658752;mso-position-horizontal:center;mso-position-horizontal-relative:margin;mso-position-vertical:center;mso-position-vertical-relative:margin" o:allowincell="f" fillcolor="#e8e8e8" stroked="f">
          <v:textpath style="font-family:&quot;Arial&quot;;font-size:1pt;font-weight:bold" string="MARKU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6E25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240" w:lineRule="auto"/>
    </w:pPr>
    <w:rPr>
      <w:rFonts w:ascii="Times New Roman" w:hAnsi="Times New Roman" w:eastAsia="Times New Roman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WM1" Type="http://schemas.openxmlformats.org/officeDocument/2006/relationships/header" Target="header_wm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322</Words>
  <Characters>2103</Characters>
  <Lines>0</Lines>
  <Paragraphs>0</Paragraphs>
  <TotalTime>0</TotalTime>
  <ScaleCrop>false</ScaleCrop>
  <LinksUpToDate>false</LinksUpToDate>
  <CharactersWithSpaces>2404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MARKUS</dc:creator>
  <cp:lastModifiedBy>MARKUS</cp:lastModifiedBy>
  <dcterms:modified xsi:type="dcterms:W3CDTF">2026-10-21T14:19:46Z</dcterms:modified>
  <cp:revision>1</cp:revision>
</cp:coreProperties>
</file>