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F58" w:rsidRPr="00173F58" w:rsidRDefault="00173F58" w:rsidP="00173F58">
      <w:pPr>
        <w:shd w:val="clear" w:color="auto" w:fill="FFFFFF"/>
        <w:spacing w:after="0" w:line="945" w:lineRule="atLeast"/>
        <w:textAlignment w:val="baseline"/>
        <w:outlineLvl w:val="0"/>
        <w:rPr>
          <w:rFonts w:ascii="WebServeroff-Regular" w:eastAsia="Times New Roman" w:hAnsi="WebServeroff-Regular" w:cs="Times New Roman"/>
          <w:color w:val="565656"/>
          <w:kern w:val="36"/>
          <w:sz w:val="90"/>
          <w:szCs w:val="90"/>
          <w:lang w:eastAsia="ru-RU"/>
        </w:rPr>
      </w:pPr>
      <w:r w:rsidRPr="00173F58">
        <w:rPr>
          <w:rFonts w:ascii="WebServeroff-Regular" w:eastAsia="Times New Roman" w:hAnsi="WebServeroff-Regular" w:cs="Times New Roman"/>
          <w:color w:val="565656"/>
          <w:kern w:val="36"/>
          <w:sz w:val="90"/>
          <w:szCs w:val="90"/>
          <w:lang w:eastAsia="ru-RU"/>
        </w:rPr>
        <w:t xml:space="preserve">Автоматизированная система оплаты и контроля проезда </w:t>
      </w:r>
      <w:r>
        <w:rPr>
          <w:rFonts w:ascii="WebServeroff-Regular" w:eastAsia="Times New Roman" w:hAnsi="WebServeroff-Regular" w:cs="Times New Roman"/>
          <w:color w:val="565656"/>
          <w:kern w:val="36"/>
          <w:sz w:val="90"/>
          <w:szCs w:val="90"/>
          <w:lang w:eastAsia="ru-RU"/>
        </w:rPr>
        <w:t xml:space="preserve">от компании </w:t>
      </w:r>
      <w:r>
        <w:rPr>
          <w:rFonts w:ascii="WebServeroff-Regular" w:eastAsia="Times New Roman" w:hAnsi="WebServeroff-Regular" w:cs="Times New Roman"/>
          <w:color w:val="565656"/>
          <w:kern w:val="36"/>
          <w:sz w:val="90"/>
          <w:szCs w:val="90"/>
          <w:lang w:val="en-US" w:eastAsia="ru-RU"/>
        </w:rPr>
        <w:t>IBA</w:t>
      </w:r>
    </w:p>
    <w:p w:rsidR="00173F58" w:rsidRPr="00173F58" w:rsidRDefault="00173F58" w:rsidP="00173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173F58" w:rsidRPr="00173F58" w:rsidRDefault="00173F58" w:rsidP="00173F58">
      <w:pPr>
        <w:shd w:val="clear" w:color="auto" w:fill="FFFFFF"/>
        <w:spacing w:before="150" w:after="150" w:line="315" w:lineRule="atLeast"/>
        <w:textAlignment w:val="baseline"/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</w:pPr>
      <w:r w:rsidRPr="00173F58"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  <w:t xml:space="preserve">Автоматизированная система оплаты и контроля проезда (АСОКП) в коммунальном пассажирском транспорте предназначена для оплаты проезда, контроля оплаты проезда, продажи и пополнения электронных проездных документов на базе бесконтактной технологии </w:t>
      </w:r>
      <w:proofErr w:type="spellStart"/>
      <w:r w:rsidRPr="00173F58"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  <w:t>Mifare</w:t>
      </w:r>
      <w:proofErr w:type="spellEnd"/>
      <w:r w:rsidRPr="00173F58"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  <w:t xml:space="preserve"> </w:t>
      </w:r>
      <w:proofErr w:type="spellStart"/>
      <w:r w:rsidRPr="00173F58"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  <w:t>Plus</w:t>
      </w:r>
      <w:proofErr w:type="spellEnd"/>
      <w:r w:rsidRPr="00173F58"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  <w:t xml:space="preserve"> SL3 и продажи одноразовых проездных документов, а также сбора и анализа статистической информации о работе общественного транспорта.</w:t>
      </w:r>
    </w:p>
    <w:p w:rsidR="00173F58" w:rsidRPr="00173F58" w:rsidRDefault="00173F58" w:rsidP="00173F58">
      <w:pPr>
        <w:shd w:val="clear" w:color="auto" w:fill="FFFFFF"/>
        <w:spacing w:before="150" w:after="150" w:line="315" w:lineRule="atLeast"/>
        <w:textAlignment w:val="baseline"/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</w:pPr>
      <w:r w:rsidRPr="00173F58"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  <w:t> </w:t>
      </w:r>
    </w:p>
    <w:p w:rsidR="00173F58" w:rsidRPr="00173F58" w:rsidRDefault="00173F58" w:rsidP="00173F58">
      <w:pPr>
        <w:shd w:val="clear" w:color="auto" w:fill="FFFFFF"/>
        <w:spacing w:after="0" w:line="315" w:lineRule="atLeast"/>
        <w:textAlignment w:val="baseline"/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</w:pPr>
      <w:r w:rsidRPr="00173F58">
        <w:rPr>
          <w:rFonts w:ascii="Corbel-Regular" w:eastAsia="Times New Roman" w:hAnsi="Corbel-Regular" w:cs="Times New Roman"/>
          <w:b/>
          <w:bCs/>
          <w:color w:val="474747"/>
          <w:sz w:val="27"/>
          <w:szCs w:val="27"/>
          <w:bdr w:val="none" w:sz="0" w:space="0" w:color="auto" w:frame="1"/>
          <w:lang w:eastAsia="ru-RU"/>
        </w:rPr>
        <w:t>Основные элементы системы:</w:t>
      </w:r>
    </w:p>
    <w:p w:rsidR="00173F58" w:rsidRPr="00173F58" w:rsidRDefault="00173F58" w:rsidP="00173F5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</w:pPr>
      <w:hyperlink r:id="rId6" w:tgtFrame="_blank" w:history="1">
        <w:r w:rsidRPr="00173F58">
          <w:rPr>
            <w:rFonts w:ascii="Corbel-Regular" w:eastAsia="Times New Roman" w:hAnsi="Corbel-Regular" w:cs="Times New Roman"/>
            <w:color w:val="0066B3"/>
            <w:sz w:val="27"/>
            <w:szCs w:val="27"/>
            <w:bdr w:val="none" w:sz="0" w:space="0" w:color="auto" w:frame="1"/>
            <w:lang w:eastAsia="ru-RU"/>
          </w:rPr>
          <w:t>Электронный проездной документ (ЭПД)</w:t>
        </w:r>
      </w:hyperlink>
    </w:p>
    <w:p w:rsidR="00173F58" w:rsidRPr="00173F58" w:rsidRDefault="00173F58" w:rsidP="00173F5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</w:pPr>
      <w:hyperlink r:id="rId7" w:tgtFrame="_blank" w:history="1">
        <w:proofErr w:type="spellStart"/>
        <w:r w:rsidRPr="00173F58">
          <w:rPr>
            <w:rFonts w:ascii="Corbel-Regular" w:eastAsia="Times New Roman" w:hAnsi="Corbel-Regular" w:cs="Times New Roman"/>
            <w:color w:val="0066B3"/>
            <w:sz w:val="27"/>
            <w:szCs w:val="27"/>
            <w:bdr w:val="none" w:sz="0" w:space="0" w:color="auto" w:frame="1"/>
            <w:lang w:eastAsia="ru-RU"/>
          </w:rPr>
          <w:t>Валидатор</w:t>
        </w:r>
        <w:proofErr w:type="spellEnd"/>
        <w:r w:rsidRPr="00173F58">
          <w:rPr>
            <w:rFonts w:ascii="Corbel-Regular" w:eastAsia="Times New Roman" w:hAnsi="Corbel-Regular" w:cs="Times New Roman"/>
            <w:color w:val="0066B3"/>
            <w:sz w:val="27"/>
            <w:szCs w:val="27"/>
            <w:bdr w:val="none" w:sz="0" w:space="0" w:color="auto" w:frame="1"/>
            <w:lang w:eastAsia="ru-RU"/>
          </w:rPr>
          <w:t xml:space="preserve"> бесконтактных смарт-карт</w:t>
        </w:r>
      </w:hyperlink>
    </w:p>
    <w:p w:rsidR="00173F58" w:rsidRPr="00173F58" w:rsidRDefault="00173F58" w:rsidP="00173F5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</w:pPr>
      <w:hyperlink r:id="rId8" w:tgtFrame="_blank" w:history="1">
        <w:r w:rsidRPr="00173F58">
          <w:rPr>
            <w:rFonts w:ascii="Corbel-Regular" w:eastAsia="Times New Roman" w:hAnsi="Corbel-Regular" w:cs="Times New Roman"/>
            <w:color w:val="0066B3"/>
            <w:sz w:val="27"/>
            <w:szCs w:val="27"/>
            <w:bdr w:val="none" w:sz="0" w:space="0" w:color="auto" w:frame="1"/>
            <w:lang w:eastAsia="ru-RU"/>
          </w:rPr>
          <w:t>Электронный компостер</w:t>
        </w:r>
      </w:hyperlink>
    </w:p>
    <w:p w:rsidR="00173F58" w:rsidRPr="00173F58" w:rsidRDefault="00173F58" w:rsidP="00173F5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</w:pPr>
      <w:hyperlink r:id="rId9" w:tgtFrame="_blank" w:history="1">
        <w:r w:rsidRPr="00173F58">
          <w:rPr>
            <w:rFonts w:ascii="Corbel-Regular" w:eastAsia="Times New Roman" w:hAnsi="Corbel-Regular" w:cs="Times New Roman"/>
            <w:color w:val="0066B3"/>
            <w:sz w:val="27"/>
            <w:szCs w:val="27"/>
            <w:bdr w:val="none" w:sz="0" w:space="0" w:color="auto" w:frame="1"/>
            <w:lang w:eastAsia="ru-RU"/>
          </w:rPr>
          <w:t>Турникет</w:t>
        </w:r>
      </w:hyperlink>
    </w:p>
    <w:p w:rsidR="00173F58" w:rsidRPr="00173F58" w:rsidRDefault="00173F58" w:rsidP="00173F5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</w:pPr>
      <w:hyperlink r:id="rId10" w:tgtFrame="_blank" w:history="1">
        <w:r w:rsidRPr="00173F58">
          <w:rPr>
            <w:rFonts w:ascii="Corbel-Regular" w:eastAsia="Times New Roman" w:hAnsi="Corbel-Regular" w:cs="Times New Roman"/>
            <w:color w:val="0066B3"/>
            <w:sz w:val="27"/>
            <w:szCs w:val="27"/>
            <w:bdr w:val="none" w:sz="0" w:space="0" w:color="auto" w:frame="1"/>
            <w:lang w:eastAsia="ru-RU"/>
          </w:rPr>
          <w:t>Устройства пополнения ЭПД</w:t>
        </w:r>
      </w:hyperlink>
    </w:p>
    <w:p w:rsidR="00173F58" w:rsidRPr="00173F58" w:rsidRDefault="00173F58" w:rsidP="00173F5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</w:pPr>
      <w:hyperlink r:id="rId11" w:history="1">
        <w:r w:rsidRPr="00173F58">
          <w:rPr>
            <w:rFonts w:ascii="Corbel-Regular" w:eastAsia="Times New Roman" w:hAnsi="Corbel-Regular" w:cs="Times New Roman"/>
            <w:color w:val="0066B3"/>
            <w:sz w:val="27"/>
            <w:szCs w:val="27"/>
            <w:bdr w:val="none" w:sz="0" w:space="0" w:color="auto" w:frame="1"/>
            <w:lang w:eastAsia="ru-RU"/>
          </w:rPr>
          <w:t>Автоматизированная система диспетчерского управления пассажирским транспортом IBA AVM</w:t>
        </w:r>
      </w:hyperlink>
    </w:p>
    <w:p w:rsidR="00173F58" w:rsidRPr="00173F58" w:rsidRDefault="00173F58" w:rsidP="00173F5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</w:pPr>
      <w:hyperlink r:id="rId12" w:tgtFrame="_blank" w:history="1">
        <w:r w:rsidRPr="00173F58">
          <w:rPr>
            <w:rFonts w:ascii="Corbel-Regular" w:eastAsia="Times New Roman" w:hAnsi="Corbel-Regular" w:cs="Times New Roman"/>
            <w:color w:val="0066B3"/>
            <w:sz w:val="27"/>
            <w:szCs w:val="27"/>
            <w:bdr w:val="none" w:sz="0" w:space="0" w:color="auto" w:frame="1"/>
            <w:lang w:eastAsia="ru-RU"/>
          </w:rPr>
          <w:t>Подсистема анализа и обработки информации</w:t>
        </w:r>
      </w:hyperlink>
      <w:r w:rsidRPr="00173F58"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  <w:t>.</w:t>
      </w:r>
    </w:p>
    <w:p w:rsidR="00173F58" w:rsidRPr="00173F58" w:rsidRDefault="00173F58" w:rsidP="00173F58">
      <w:pPr>
        <w:shd w:val="clear" w:color="auto" w:fill="FFFFFF"/>
        <w:spacing w:before="150" w:after="150" w:line="315" w:lineRule="atLeast"/>
        <w:textAlignment w:val="baseline"/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</w:pPr>
      <w:r w:rsidRPr="00173F58"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  <w:t> </w:t>
      </w:r>
    </w:p>
    <w:p w:rsidR="00173F58" w:rsidRPr="00173F58" w:rsidRDefault="00173F58" w:rsidP="00173F58">
      <w:pPr>
        <w:shd w:val="clear" w:color="auto" w:fill="FFFFFF"/>
        <w:spacing w:after="0" w:line="315" w:lineRule="atLeast"/>
        <w:textAlignment w:val="baseline"/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</w:pPr>
      <w:r w:rsidRPr="00173F58">
        <w:rPr>
          <w:rFonts w:ascii="Corbel-Regular" w:eastAsia="Times New Roman" w:hAnsi="Corbel-Regular" w:cs="Times New Roman"/>
          <w:b/>
          <w:bCs/>
          <w:color w:val="474747"/>
          <w:sz w:val="27"/>
          <w:szCs w:val="27"/>
          <w:bdr w:val="none" w:sz="0" w:space="0" w:color="auto" w:frame="1"/>
          <w:lang w:eastAsia="ru-RU"/>
        </w:rPr>
        <w:t>Принцип работы системы:</w:t>
      </w:r>
    </w:p>
    <w:p w:rsidR="00173F58" w:rsidRPr="00173F58" w:rsidRDefault="00173F58" w:rsidP="00173F58">
      <w:pPr>
        <w:numPr>
          <w:ilvl w:val="0"/>
          <w:numId w:val="2"/>
        </w:numPr>
        <w:shd w:val="clear" w:color="auto" w:fill="FFFFFF"/>
        <w:spacing w:after="195" w:line="240" w:lineRule="auto"/>
        <w:ind w:left="0"/>
        <w:textAlignment w:val="baseline"/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</w:pPr>
      <w:r w:rsidRPr="00173F58"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  <w:t xml:space="preserve">Наземный транспорт и турникеты метрополитена оснащаются </w:t>
      </w:r>
      <w:proofErr w:type="spellStart"/>
      <w:r w:rsidRPr="00173F58"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  <w:t>валидаторами</w:t>
      </w:r>
      <w:proofErr w:type="spellEnd"/>
      <w:r w:rsidRPr="00173F58"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  <w:t xml:space="preserve"> (считывателями информации) бесконтактных смарт-карт</w:t>
      </w:r>
    </w:p>
    <w:p w:rsidR="00173F58" w:rsidRPr="00173F58" w:rsidRDefault="00173F58" w:rsidP="00173F58">
      <w:pPr>
        <w:numPr>
          <w:ilvl w:val="0"/>
          <w:numId w:val="2"/>
        </w:numPr>
        <w:shd w:val="clear" w:color="auto" w:fill="FFFFFF"/>
        <w:spacing w:after="195" w:line="240" w:lineRule="auto"/>
        <w:ind w:left="0"/>
        <w:textAlignment w:val="baseline"/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</w:pPr>
      <w:r w:rsidRPr="00173F58"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  <w:t xml:space="preserve">Карты выпускаются в обращение эмиссионным центром </w:t>
      </w:r>
      <w:proofErr w:type="spellStart"/>
      <w:r w:rsidRPr="00173F58"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  <w:t>Минсктранса</w:t>
      </w:r>
      <w:proofErr w:type="spellEnd"/>
    </w:p>
    <w:p w:rsidR="00173F58" w:rsidRPr="00173F58" w:rsidRDefault="00173F58" w:rsidP="00173F5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</w:pPr>
      <w:r w:rsidRPr="00173F58"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  <w:t>При продаже на карту заносится необходимый тариф, в дальнейшем карты могут многократно пополняться, в том числе и с помощью </w:t>
      </w:r>
      <w:hyperlink r:id="rId13" w:history="1">
        <w:r w:rsidRPr="00173F58">
          <w:rPr>
            <w:rFonts w:ascii="Corbel-Regular" w:eastAsia="Times New Roman" w:hAnsi="Corbel-Regular" w:cs="Times New Roman"/>
            <w:color w:val="0066B3"/>
            <w:sz w:val="27"/>
            <w:szCs w:val="27"/>
            <w:bdr w:val="none" w:sz="0" w:space="0" w:color="auto" w:frame="1"/>
            <w:lang w:eastAsia="ru-RU"/>
          </w:rPr>
          <w:t>устройств самообслуживания</w:t>
        </w:r>
      </w:hyperlink>
    </w:p>
    <w:p w:rsidR="00173F58" w:rsidRPr="00173F58" w:rsidRDefault="00173F58" w:rsidP="00173F58">
      <w:pPr>
        <w:numPr>
          <w:ilvl w:val="0"/>
          <w:numId w:val="2"/>
        </w:numPr>
        <w:shd w:val="clear" w:color="auto" w:fill="FFFFFF"/>
        <w:spacing w:after="195" w:line="240" w:lineRule="auto"/>
        <w:ind w:left="0"/>
        <w:textAlignment w:val="baseline"/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</w:pPr>
      <w:r w:rsidRPr="00173F58"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  <w:t xml:space="preserve">В транспорте пассажир подносит карту к </w:t>
      </w:r>
      <w:proofErr w:type="spellStart"/>
      <w:r w:rsidRPr="00173F58"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  <w:t>валидатору</w:t>
      </w:r>
      <w:proofErr w:type="spellEnd"/>
      <w:r w:rsidRPr="00173F58"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  <w:t>, с неё списывается стоимость услуги по проезду, информация об оплате заносится на карту и передается в процессинговый центр</w:t>
      </w:r>
    </w:p>
    <w:p w:rsidR="00173F58" w:rsidRPr="00173F58" w:rsidRDefault="00173F58" w:rsidP="00173F58">
      <w:pPr>
        <w:numPr>
          <w:ilvl w:val="0"/>
          <w:numId w:val="2"/>
        </w:numPr>
        <w:shd w:val="clear" w:color="auto" w:fill="FFFFFF"/>
        <w:spacing w:after="195" w:line="240" w:lineRule="auto"/>
        <w:ind w:left="0"/>
        <w:textAlignment w:val="baseline"/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</w:pPr>
      <w:r w:rsidRPr="00173F58"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  <w:lastRenderedPageBreak/>
        <w:t>Контролер проверяет оплату на карте с помощью ручного считывателя бесконтактных смарт-карт</w:t>
      </w:r>
    </w:p>
    <w:p w:rsidR="00173F58" w:rsidRPr="00173F58" w:rsidRDefault="00173F58" w:rsidP="00173F58">
      <w:pPr>
        <w:numPr>
          <w:ilvl w:val="0"/>
          <w:numId w:val="2"/>
        </w:numPr>
        <w:shd w:val="clear" w:color="auto" w:fill="FFFFFF"/>
        <w:spacing w:after="195" w:line="240" w:lineRule="auto"/>
        <w:ind w:left="0"/>
        <w:textAlignment w:val="baseline"/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</w:pPr>
      <w:r w:rsidRPr="00173F58"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  <w:t>Вся информация о статистике продаж и использования карт собирается в автоматическом режиме в процессинговом центре и отображается в системе аналитики.</w:t>
      </w:r>
    </w:p>
    <w:p w:rsidR="00173F58" w:rsidRPr="00173F58" w:rsidRDefault="00173F58" w:rsidP="00173F58">
      <w:pPr>
        <w:shd w:val="clear" w:color="auto" w:fill="FFFFFF"/>
        <w:spacing w:after="0" w:line="315" w:lineRule="atLeast"/>
        <w:textAlignment w:val="baseline"/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</w:pPr>
      <w:r w:rsidRPr="00173F58"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  <w:t xml:space="preserve">АСОКП </w:t>
      </w:r>
      <w:proofErr w:type="gramStart"/>
      <w:r w:rsidRPr="00173F58"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  <w:t>интегрирована</w:t>
      </w:r>
      <w:proofErr w:type="gramEnd"/>
      <w:r w:rsidRPr="00173F58"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  <w:t xml:space="preserve"> с </w:t>
      </w:r>
      <w:hyperlink r:id="rId14" w:history="1">
        <w:r w:rsidRPr="00173F58">
          <w:rPr>
            <w:rFonts w:ascii="Corbel-Regular" w:eastAsia="Times New Roman" w:hAnsi="Corbel-Regular" w:cs="Times New Roman"/>
            <w:color w:val="0066B3"/>
            <w:sz w:val="27"/>
            <w:szCs w:val="27"/>
            <w:bdr w:val="none" w:sz="0" w:space="0" w:color="auto" w:frame="1"/>
            <w:lang w:eastAsia="ru-RU"/>
          </w:rPr>
          <w:t>системой диспетчерского управления пассажирским транспортом IBA AVM</w:t>
        </w:r>
      </w:hyperlink>
      <w:r w:rsidRPr="00173F58"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  <w:t>, что позволяет создать разнообразные тарифы для различных видов городского транспорта, а также реализовать оплату проезда по расстоянию для пригородного транспорта.</w:t>
      </w:r>
    </w:p>
    <w:p w:rsidR="00173F58" w:rsidRPr="00173F58" w:rsidRDefault="00173F58" w:rsidP="00173F58">
      <w:pPr>
        <w:shd w:val="clear" w:color="auto" w:fill="FFFFFF"/>
        <w:spacing w:before="150" w:after="150" w:line="315" w:lineRule="atLeast"/>
        <w:textAlignment w:val="baseline"/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</w:pPr>
      <w:r w:rsidRPr="00173F58"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  <w:t> </w:t>
      </w:r>
    </w:p>
    <w:p w:rsidR="00173F58" w:rsidRPr="00173F58" w:rsidRDefault="00173F58" w:rsidP="00173F58">
      <w:pPr>
        <w:shd w:val="clear" w:color="auto" w:fill="FFFFFF"/>
        <w:spacing w:after="0" w:line="315" w:lineRule="atLeast"/>
        <w:textAlignment w:val="baseline"/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</w:pPr>
      <w:r w:rsidRPr="00173F58">
        <w:rPr>
          <w:rFonts w:ascii="Corbel-Regular" w:eastAsia="Times New Roman" w:hAnsi="Corbel-Regular" w:cs="Times New Roman"/>
          <w:b/>
          <w:bCs/>
          <w:color w:val="474747"/>
          <w:sz w:val="27"/>
          <w:szCs w:val="27"/>
          <w:bdr w:val="none" w:sz="0" w:space="0" w:color="auto" w:frame="1"/>
          <w:lang w:eastAsia="ru-RU"/>
        </w:rPr>
        <w:t>Архитектура системы</w:t>
      </w:r>
    </w:p>
    <w:p w:rsidR="00173F58" w:rsidRPr="00173F58" w:rsidRDefault="00173F58" w:rsidP="00173F58">
      <w:pPr>
        <w:shd w:val="clear" w:color="auto" w:fill="FFFFFF"/>
        <w:spacing w:before="150" w:after="150" w:line="315" w:lineRule="atLeast"/>
        <w:textAlignment w:val="baseline"/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</w:pPr>
      <w:r>
        <w:rPr>
          <w:rFonts w:ascii="Corbel-Regular" w:eastAsia="Times New Roman" w:hAnsi="Corbel-Regular" w:cs="Times New Roman"/>
          <w:noProof/>
          <w:color w:val="474747"/>
          <w:sz w:val="27"/>
          <w:szCs w:val="27"/>
          <w:lang w:eastAsia="ru-RU"/>
        </w:rPr>
        <w:drawing>
          <wp:inline distT="0" distB="0" distL="0" distR="0">
            <wp:extent cx="4867891" cy="4663440"/>
            <wp:effectExtent l="0" t="0" r="9525" b="3810"/>
            <wp:docPr id="1" name="Рисунок 1" descr="http://iba.by/kcfinder/upload/images/scheme_ASOKP-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ba.by/kcfinder/upload/images/scheme_ASOKP-s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891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F58" w:rsidRPr="00173F58" w:rsidRDefault="00173F58" w:rsidP="00173F58">
      <w:pPr>
        <w:shd w:val="clear" w:color="auto" w:fill="FFFFFF"/>
        <w:spacing w:before="150" w:after="150" w:line="315" w:lineRule="atLeast"/>
        <w:textAlignment w:val="baseline"/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</w:pPr>
      <w:r w:rsidRPr="00173F58"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  <w:t> </w:t>
      </w:r>
    </w:p>
    <w:p w:rsidR="00173F58" w:rsidRPr="00173F58" w:rsidRDefault="00173F58" w:rsidP="00173F58">
      <w:pPr>
        <w:shd w:val="clear" w:color="auto" w:fill="FFFFFF"/>
        <w:spacing w:after="0" w:line="315" w:lineRule="atLeast"/>
        <w:textAlignment w:val="baseline"/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</w:pPr>
      <w:r w:rsidRPr="00173F58">
        <w:rPr>
          <w:rFonts w:ascii="Corbel-Regular" w:eastAsia="Times New Roman" w:hAnsi="Corbel-Regular" w:cs="Times New Roman"/>
          <w:b/>
          <w:bCs/>
          <w:color w:val="474747"/>
          <w:sz w:val="27"/>
          <w:szCs w:val="27"/>
          <w:bdr w:val="none" w:sz="0" w:space="0" w:color="auto" w:frame="1"/>
          <w:lang w:eastAsia="ru-RU"/>
        </w:rPr>
        <w:t>Прямой экономический эффект:</w:t>
      </w:r>
    </w:p>
    <w:p w:rsidR="00173F58" w:rsidRPr="00173F58" w:rsidRDefault="00173F58" w:rsidP="00173F58">
      <w:pPr>
        <w:numPr>
          <w:ilvl w:val="0"/>
          <w:numId w:val="3"/>
        </w:numPr>
        <w:shd w:val="clear" w:color="auto" w:fill="FFFFFF"/>
        <w:spacing w:after="195" w:line="240" w:lineRule="auto"/>
        <w:ind w:left="0"/>
        <w:textAlignment w:val="baseline"/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</w:pPr>
      <w:r w:rsidRPr="00173F58"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  <w:t>Исключение штата кондукторов и билетных кассиров</w:t>
      </w:r>
    </w:p>
    <w:p w:rsidR="00173F58" w:rsidRPr="00173F58" w:rsidRDefault="00173F58" w:rsidP="00173F58">
      <w:pPr>
        <w:numPr>
          <w:ilvl w:val="0"/>
          <w:numId w:val="3"/>
        </w:numPr>
        <w:shd w:val="clear" w:color="auto" w:fill="FFFFFF"/>
        <w:spacing w:after="195" w:line="240" w:lineRule="auto"/>
        <w:ind w:left="0"/>
        <w:textAlignment w:val="baseline"/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</w:pPr>
      <w:r w:rsidRPr="00173F58"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  <w:t>Сокращение расходов на изготовление и реализацию билетной продукции</w:t>
      </w:r>
    </w:p>
    <w:p w:rsidR="00173F58" w:rsidRPr="00173F58" w:rsidRDefault="00173F58" w:rsidP="00173F58">
      <w:pPr>
        <w:numPr>
          <w:ilvl w:val="0"/>
          <w:numId w:val="3"/>
        </w:numPr>
        <w:shd w:val="clear" w:color="auto" w:fill="FFFFFF"/>
        <w:spacing w:after="195" w:line="240" w:lineRule="auto"/>
        <w:ind w:left="0"/>
        <w:textAlignment w:val="baseline"/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</w:pPr>
      <w:r w:rsidRPr="00173F58"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  <w:t>Исключение присвоения оплаты проезда работниками транспортных предприятий</w:t>
      </w:r>
    </w:p>
    <w:p w:rsidR="00173F58" w:rsidRPr="00173F58" w:rsidRDefault="00173F58" w:rsidP="00173F58">
      <w:pPr>
        <w:numPr>
          <w:ilvl w:val="0"/>
          <w:numId w:val="3"/>
        </w:numPr>
        <w:shd w:val="clear" w:color="auto" w:fill="FFFFFF"/>
        <w:spacing w:after="195" w:line="240" w:lineRule="auto"/>
        <w:ind w:left="0"/>
        <w:textAlignment w:val="baseline"/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</w:pPr>
      <w:r w:rsidRPr="00173F58"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  <w:lastRenderedPageBreak/>
        <w:t>Оптимизация льготных (дотируемых) тарифов.</w:t>
      </w:r>
    </w:p>
    <w:p w:rsidR="00173F58" w:rsidRPr="00173F58" w:rsidRDefault="00173F58" w:rsidP="00173F58">
      <w:pPr>
        <w:shd w:val="clear" w:color="auto" w:fill="FFFFFF"/>
        <w:spacing w:before="150" w:after="150" w:line="315" w:lineRule="atLeast"/>
        <w:textAlignment w:val="baseline"/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</w:pPr>
      <w:r w:rsidRPr="00173F58"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  <w:t> </w:t>
      </w:r>
    </w:p>
    <w:p w:rsidR="00173F58" w:rsidRPr="00173F58" w:rsidRDefault="00173F58" w:rsidP="00173F58">
      <w:pPr>
        <w:shd w:val="clear" w:color="auto" w:fill="FFFFFF"/>
        <w:spacing w:after="0" w:line="315" w:lineRule="atLeast"/>
        <w:textAlignment w:val="baseline"/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</w:pPr>
      <w:r w:rsidRPr="00173F58">
        <w:rPr>
          <w:rFonts w:ascii="Corbel-Regular" w:eastAsia="Times New Roman" w:hAnsi="Corbel-Regular" w:cs="Times New Roman"/>
          <w:b/>
          <w:bCs/>
          <w:color w:val="474747"/>
          <w:sz w:val="27"/>
          <w:szCs w:val="27"/>
          <w:bdr w:val="none" w:sz="0" w:space="0" w:color="auto" w:frame="1"/>
          <w:lang w:eastAsia="ru-RU"/>
        </w:rPr>
        <w:t>Косвенный экономический эффект:</w:t>
      </w:r>
    </w:p>
    <w:p w:rsidR="00173F58" w:rsidRPr="00173F58" w:rsidRDefault="00173F58" w:rsidP="00173F58">
      <w:pPr>
        <w:numPr>
          <w:ilvl w:val="0"/>
          <w:numId w:val="4"/>
        </w:numPr>
        <w:shd w:val="clear" w:color="auto" w:fill="FFFFFF"/>
        <w:spacing w:after="195" w:line="240" w:lineRule="auto"/>
        <w:ind w:left="0"/>
        <w:textAlignment w:val="baseline"/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</w:pPr>
      <w:r w:rsidRPr="00173F58"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  <w:t>Формирование экономически обоснованных тарифов</w:t>
      </w:r>
    </w:p>
    <w:p w:rsidR="00173F58" w:rsidRPr="00173F58" w:rsidRDefault="00173F58" w:rsidP="00173F58">
      <w:pPr>
        <w:numPr>
          <w:ilvl w:val="0"/>
          <w:numId w:val="4"/>
        </w:numPr>
        <w:shd w:val="clear" w:color="auto" w:fill="FFFFFF"/>
        <w:spacing w:after="195" w:line="240" w:lineRule="auto"/>
        <w:ind w:left="0"/>
        <w:textAlignment w:val="baseline"/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</w:pPr>
      <w:r w:rsidRPr="00173F58"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  <w:t>Мотивация к оплате путем расширения перечня тарифов</w:t>
      </w:r>
    </w:p>
    <w:p w:rsidR="00173F58" w:rsidRPr="00173F58" w:rsidRDefault="00173F58" w:rsidP="00173F58">
      <w:pPr>
        <w:numPr>
          <w:ilvl w:val="0"/>
          <w:numId w:val="4"/>
        </w:numPr>
        <w:shd w:val="clear" w:color="auto" w:fill="FFFFFF"/>
        <w:spacing w:after="195" w:line="240" w:lineRule="auto"/>
        <w:ind w:left="0"/>
        <w:textAlignment w:val="baseline"/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</w:pPr>
      <w:r w:rsidRPr="00173F58"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  <w:t>Оптимизация маршрутной сети</w:t>
      </w:r>
    </w:p>
    <w:p w:rsidR="00173F58" w:rsidRPr="00173F58" w:rsidRDefault="00173F58" w:rsidP="00173F58">
      <w:pPr>
        <w:numPr>
          <w:ilvl w:val="0"/>
          <w:numId w:val="4"/>
        </w:numPr>
        <w:shd w:val="clear" w:color="auto" w:fill="FFFFFF"/>
        <w:spacing w:after="195" w:line="240" w:lineRule="auto"/>
        <w:ind w:left="0"/>
        <w:textAlignment w:val="baseline"/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</w:pPr>
      <w:r w:rsidRPr="00173F58"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  <w:t>Увеличение доли авансированных поездок</w:t>
      </w:r>
    </w:p>
    <w:p w:rsidR="00173F58" w:rsidRPr="00173F58" w:rsidRDefault="00173F58" w:rsidP="00173F58">
      <w:pPr>
        <w:numPr>
          <w:ilvl w:val="0"/>
          <w:numId w:val="4"/>
        </w:numPr>
        <w:shd w:val="clear" w:color="auto" w:fill="FFFFFF"/>
        <w:spacing w:after="195" w:line="240" w:lineRule="auto"/>
        <w:ind w:left="0"/>
        <w:textAlignment w:val="baseline"/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</w:pPr>
      <w:r w:rsidRPr="00173F58"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  <w:t>Повышение доли безналичных платежей.</w:t>
      </w:r>
    </w:p>
    <w:p w:rsidR="00173F58" w:rsidRPr="00173F58" w:rsidRDefault="00173F58" w:rsidP="00173F58">
      <w:pPr>
        <w:shd w:val="clear" w:color="auto" w:fill="FFFFFF"/>
        <w:spacing w:before="150" w:after="150" w:line="315" w:lineRule="atLeast"/>
        <w:textAlignment w:val="baseline"/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</w:pPr>
      <w:r w:rsidRPr="00173F58"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  <w:t> </w:t>
      </w:r>
    </w:p>
    <w:p w:rsidR="00173F58" w:rsidRPr="00173F58" w:rsidRDefault="00173F58" w:rsidP="00173F58">
      <w:pPr>
        <w:shd w:val="clear" w:color="auto" w:fill="FFFFFF"/>
        <w:spacing w:after="0" w:line="315" w:lineRule="atLeast"/>
        <w:textAlignment w:val="baseline"/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</w:pPr>
      <w:r w:rsidRPr="00173F58">
        <w:rPr>
          <w:rFonts w:ascii="Corbel-Regular" w:eastAsia="Times New Roman" w:hAnsi="Corbel-Regular" w:cs="Times New Roman"/>
          <w:b/>
          <w:bCs/>
          <w:color w:val="474747"/>
          <w:sz w:val="27"/>
          <w:szCs w:val="27"/>
          <w:bdr w:val="none" w:sz="0" w:space="0" w:color="auto" w:frame="1"/>
          <w:lang w:eastAsia="ru-RU"/>
        </w:rPr>
        <w:t>Масштаб АСОКП г. Минска:</w:t>
      </w:r>
    </w:p>
    <w:p w:rsidR="00173F58" w:rsidRPr="00173F58" w:rsidRDefault="00173F58" w:rsidP="00173F58">
      <w:pPr>
        <w:numPr>
          <w:ilvl w:val="0"/>
          <w:numId w:val="5"/>
        </w:numPr>
        <w:shd w:val="clear" w:color="auto" w:fill="FFFFFF"/>
        <w:spacing w:after="195" w:line="240" w:lineRule="auto"/>
        <w:ind w:left="0"/>
        <w:textAlignment w:val="baseline"/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</w:pPr>
      <w:r w:rsidRPr="00173F58"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  <w:t>3 000 транспортных средств г. Минска (автобусы, троллейбусы и трамваи)</w:t>
      </w:r>
    </w:p>
    <w:p w:rsidR="00173F58" w:rsidRPr="00173F58" w:rsidRDefault="00173F58" w:rsidP="00173F58">
      <w:pPr>
        <w:numPr>
          <w:ilvl w:val="0"/>
          <w:numId w:val="5"/>
        </w:numPr>
        <w:shd w:val="clear" w:color="auto" w:fill="FFFFFF"/>
        <w:spacing w:after="195" w:line="240" w:lineRule="auto"/>
        <w:ind w:left="0"/>
        <w:textAlignment w:val="baseline"/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</w:pPr>
      <w:r w:rsidRPr="00173F58"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  <w:t>2 линии метрополитена</w:t>
      </w:r>
    </w:p>
    <w:p w:rsidR="00173F58" w:rsidRPr="00173F58" w:rsidRDefault="00173F58" w:rsidP="00173F58">
      <w:pPr>
        <w:numPr>
          <w:ilvl w:val="0"/>
          <w:numId w:val="5"/>
        </w:numPr>
        <w:shd w:val="clear" w:color="auto" w:fill="FFFFFF"/>
        <w:spacing w:after="195" w:line="240" w:lineRule="auto"/>
        <w:ind w:left="0"/>
        <w:textAlignment w:val="baseline"/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</w:pPr>
      <w:r w:rsidRPr="00173F58"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  <w:t>6 поездов городских линий Белорусской железной дороги</w:t>
      </w:r>
    </w:p>
    <w:p w:rsidR="00173F58" w:rsidRPr="00173F58" w:rsidRDefault="00173F58" w:rsidP="00173F58">
      <w:pPr>
        <w:numPr>
          <w:ilvl w:val="0"/>
          <w:numId w:val="5"/>
        </w:numPr>
        <w:shd w:val="clear" w:color="auto" w:fill="FFFFFF"/>
        <w:spacing w:after="195" w:line="240" w:lineRule="auto"/>
        <w:ind w:left="0"/>
        <w:textAlignment w:val="baseline"/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</w:pPr>
      <w:r w:rsidRPr="00173F58"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  <w:t>500 автобусов пригородных маршрутов</w:t>
      </w:r>
    </w:p>
    <w:p w:rsidR="00173F58" w:rsidRPr="00173F58" w:rsidRDefault="00173F58" w:rsidP="00173F58">
      <w:pPr>
        <w:numPr>
          <w:ilvl w:val="0"/>
          <w:numId w:val="5"/>
        </w:numPr>
        <w:shd w:val="clear" w:color="auto" w:fill="FFFFFF"/>
        <w:spacing w:after="195" w:line="240" w:lineRule="auto"/>
        <w:ind w:left="0"/>
        <w:textAlignment w:val="baseline"/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</w:pPr>
      <w:r w:rsidRPr="00173F58"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  <w:t xml:space="preserve">15 500 </w:t>
      </w:r>
      <w:proofErr w:type="spellStart"/>
      <w:r w:rsidRPr="00173F58"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  <w:t>валидаторов</w:t>
      </w:r>
      <w:proofErr w:type="spellEnd"/>
    </w:p>
    <w:p w:rsidR="00173F58" w:rsidRPr="00173F58" w:rsidRDefault="00173F58" w:rsidP="00173F58">
      <w:pPr>
        <w:numPr>
          <w:ilvl w:val="0"/>
          <w:numId w:val="5"/>
        </w:numPr>
        <w:shd w:val="clear" w:color="auto" w:fill="FFFFFF"/>
        <w:spacing w:after="195" w:line="240" w:lineRule="auto"/>
        <w:ind w:left="0"/>
        <w:textAlignment w:val="baseline"/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</w:pPr>
      <w:r w:rsidRPr="00173F58"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  <w:t>8 400 компостеров</w:t>
      </w:r>
    </w:p>
    <w:p w:rsidR="00173F58" w:rsidRPr="00173F58" w:rsidRDefault="00173F58" w:rsidP="00173F58">
      <w:pPr>
        <w:numPr>
          <w:ilvl w:val="0"/>
          <w:numId w:val="5"/>
        </w:numPr>
        <w:shd w:val="clear" w:color="auto" w:fill="FFFFFF"/>
        <w:spacing w:after="195" w:line="240" w:lineRule="auto"/>
        <w:ind w:left="0"/>
        <w:textAlignment w:val="baseline"/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</w:pPr>
      <w:r w:rsidRPr="00173F58"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  <w:t>500 устройств контроля</w:t>
      </w:r>
    </w:p>
    <w:p w:rsidR="00173F58" w:rsidRPr="00173F58" w:rsidRDefault="00173F58" w:rsidP="00173F58">
      <w:pPr>
        <w:numPr>
          <w:ilvl w:val="0"/>
          <w:numId w:val="5"/>
        </w:numPr>
        <w:shd w:val="clear" w:color="auto" w:fill="FFFFFF"/>
        <w:spacing w:after="195" w:line="240" w:lineRule="auto"/>
        <w:ind w:left="0"/>
        <w:textAlignment w:val="baseline"/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</w:pPr>
      <w:r w:rsidRPr="00173F58"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  <w:t>700 точек пополнения</w:t>
      </w:r>
    </w:p>
    <w:p w:rsidR="00173F58" w:rsidRPr="00173F58" w:rsidRDefault="00173F58" w:rsidP="00173F58">
      <w:pPr>
        <w:numPr>
          <w:ilvl w:val="0"/>
          <w:numId w:val="5"/>
        </w:numPr>
        <w:shd w:val="clear" w:color="auto" w:fill="FFFFFF"/>
        <w:spacing w:after="195" w:line="240" w:lineRule="auto"/>
        <w:ind w:left="0"/>
        <w:textAlignment w:val="baseline"/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</w:pPr>
      <w:r w:rsidRPr="00173F58">
        <w:rPr>
          <w:rFonts w:ascii="Corbel-Regular" w:eastAsia="Times New Roman" w:hAnsi="Corbel-Regular" w:cs="Times New Roman"/>
          <w:color w:val="474747"/>
          <w:sz w:val="27"/>
          <w:szCs w:val="27"/>
          <w:lang w:eastAsia="ru-RU"/>
        </w:rPr>
        <w:t>Автоматизация 400 турникетов в метро.</w:t>
      </w:r>
    </w:p>
    <w:p w:rsidR="00510F46" w:rsidRDefault="00510F46"/>
    <w:sectPr w:rsidR="00510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ebServeroff-Regular">
    <w:altName w:val="Times New Roman"/>
    <w:panose1 w:val="00000000000000000000"/>
    <w:charset w:val="00"/>
    <w:family w:val="roman"/>
    <w:notTrueType/>
    <w:pitch w:val="default"/>
  </w:font>
  <w:font w:name="Corbel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85724"/>
    <w:multiLevelType w:val="multilevel"/>
    <w:tmpl w:val="7CBE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6A4D4D"/>
    <w:multiLevelType w:val="multilevel"/>
    <w:tmpl w:val="A250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D52E6A"/>
    <w:multiLevelType w:val="multilevel"/>
    <w:tmpl w:val="885A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A0210E"/>
    <w:multiLevelType w:val="multilevel"/>
    <w:tmpl w:val="C248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AE1721"/>
    <w:multiLevelType w:val="multilevel"/>
    <w:tmpl w:val="2570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F58"/>
    <w:rsid w:val="00173F58"/>
    <w:rsid w:val="0051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73F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3F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173F5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73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73F5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173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73F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73F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3F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173F5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73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73F5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173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73F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2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lcard.by/smart-systems/asokp/komposter/" TargetMode="External"/><Relationship Id="rId13" Type="http://schemas.openxmlformats.org/officeDocument/2006/relationships/hyperlink" Target="http://iba.by/products/banksystems/transport-info-terminal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belcard.by/smart-systems/asokp/validator/" TargetMode="External"/><Relationship Id="rId12" Type="http://schemas.openxmlformats.org/officeDocument/2006/relationships/hyperlink" Target="http://www.belcard.by/smart-systems/asokp/statistika-i-analiz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belcard.by/smart-systems/asokp/epd/" TargetMode="External"/><Relationship Id="rId11" Type="http://schemas.openxmlformats.org/officeDocument/2006/relationships/hyperlink" Target="http://iba.by/products/av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://www.belcard.by/smart-systems/asokp/charge-epd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elcard.by/smart-systems/asokp/turniket/" TargetMode="External"/><Relationship Id="rId14" Type="http://schemas.openxmlformats.org/officeDocument/2006/relationships/hyperlink" Target="http://iba.by/products/av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Minchukov</dc:creator>
  <cp:lastModifiedBy>Artur Minchukov</cp:lastModifiedBy>
  <cp:revision>1</cp:revision>
  <dcterms:created xsi:type="dcterms:W3CDTF">2018-03-18T17:33:00Z</dcterms:created>
  <dcterms:modified xsi:type="dcterms:W3CDTF">2018-03-18T17:34:00Z</dcterms:modified>
</cp:coreProperties>
</file>