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Supplemental Materials — Leps-P: Probabilistic Strength Envelopes with Stress-Decaying Curvature for Rockfill and Mine Waste Rock</w:t>
      </w:r>
    </w:p>
    <w:p>
      <w:r>
        <w:drawing>
          <wp:inline xmlns:a="http://schemas.openxmlformats.org/drawingml/2006/main" xmlns:pic="http://schemas.openxmlformats.org/drawingml/2006/picture">
            <wp:extent cx="5486400" cy="28513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stress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S1. Distribution of effective normal stress on the failure plane in the calibration database.</w:t>
      </w:r>
    </w:p>
    <w:p>
      <w:r>
        <w:drawing>
          <wp:inline xmlns:a="http://schemas.openxmlformats.org/drawingml/2006/main" xmlns:pic="http://schemas.openxmlformats.org/drawingml/2006/picture">
            <wp:extent cx="5486400" cy="2508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volumetric_break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S2. Net volumetric strain at the maximum deviator (negative: contraction) and breakage index of Marsal (1973) versus σ′n in the calibration database; shaded: σ′n &gt; 2.75 MPa. Reported breakage indices above 100%, which are impossible by definition, were excluded (4 tests). Above 2.75 MPa the residuals of Leps-P were unrelated to the breakage index (Spearman ρ = −0.00, n = 91).</w:t>
      </w:r>
    </w:p>
    <w:p>
      <w:r>
        <w:drawing>
          <wp:inline xmlns:a="http://schemas.openxmlformats.org/drawingml/2006/main" xmlns:pic="http://schemas.openxmlformats.org/drawingml/2006/picture">
            <wp:extent cx="3200400" cy="3065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vari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6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S3. Shares of the variance of the mean-envelope ln τ for an untested material of low rock quality placed at e = 0.65, scaled from 0.18 m to 1 m maximum particle size.</w:t>
      </w:r>
    </w:p>
    <w:p>
      <w:r>
        <w:drawing>
          <wp:inline xmlns:a="http://schemas.openxmlformats.org/drawingml/2006/main" xmlns:pic="http://schemas.openxmlformats.org/drawingml/2006/picture">
            <wp:extent cx="5120640" cy="3280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4_size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8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S4. Within-material specimen-size coefficient βD (bars: 95% confidence intervals; set intercepts adjusted for void ratio). Hatched band: Knapp–Hartung 95% confidence interval of the random-effects mean across 12 publications with size ratio ≥ 2 (+0.041; −0.001 to +0.084). One value outside the axis is annotated.</w:t>
      </w:r>
    </w:p>
    <w:p>
      <w:r>
        <w:rPr>
          <w:b/>
        </w:rPr>
        <w:t>Table S1. Mode B: every procedure evaluated (held-out tests at σ′n ≥ 2 MPa predicted from tests at σ′n ≤ 1.5 MPa of the same set)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18"/>
              </w:rPr>
              <w:t>Procedure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80% coverage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Below P10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SD of 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CRPS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Δ vs level update (95% CI)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Holm-adjusted p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Prior, no site tests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+0.0115 (+0.0043 to +0.0179)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Least-squares fit of φ′1, m = 0.90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0.0407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+0.0098 (−0.0011 to +0.0165)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Least-squares fit of φ′1, m = median within-set slope of training 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+0.0061 (−0.0021 to +0.0207)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Joint update of both random effects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+0.0022 (−0.0056 to +0.0200)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Level update of each set (Eq. 8)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Level update after discarding flagged sets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+0.0036 (−0.0041 to +0.0106)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Recommended procedure: discard flagged sets, joint update with shared laboratory effect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0.0344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+0.0036 (−0.0044 to +0.0104)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1.00</w:t>
            </w:r>
          </w:p>
        </w:tc>
      </w:tr>
    </w:tbl>
    <w:p>
      <w:r>
        <w:t>Note: 64 tests, 46 sets, 13 publications. The procedures were developed while examining earlier versions of the model on the same held-out sets; the comparisons are exploratory. p-values from exact sign-flip tests on publication means, Holm-adjusted within Mode B. CRPS in units of ln 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Leps-P supplemental materials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