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Supplemental Materials — Leps-P: Probabilistic Strength Envelopes with Stress-Decaying Curvature for Rockfill and Mine Waste Rock</w:t>
      </w:r>
    </w:p>
    <w:p>
      <w:r>
        <w:drawing>
          <wp:inline xmlns:a="http://schemas.openxmlformats.org/drawingml/2006/main" xmlns:pic="http://schemas.openxmlformats.org/drawingml/2006/picture">
            <wp:extent cx="5486400" cy="284598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S1_stress_cover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459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Fig. S1. Distribution of effective normal stress on the failure plane in the calibration database.</w:t>
      </w:r>
    </w:p>
    <w:p>
      <w:r>
        <w:drawing>
          <wp:inline xmlns:a="http://schemas.openxmlformats.org/drawingml/2006/main" xmlns:pic="http://schemas.openxmlformats.org/drawingml/2006/picture">
            <wp:extent cx="5486400" cy="250582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S2_volumetric_break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058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Fig. S2. Net volumetric strain at the maximum deviator (negative: contraction) and breakage index of Marsal (1973) versus σ′n in the calibration database; shaded: σ′n &gt; 2.75 MPa. Reported breakage indices above 100%, which are impossible by definition, were excluded (4 tests). Above 2.75 MPa the residuals of Leps-P were unrelated to the breakage index (Spearman ρ = 0.00, n = 91).</w:t>
      </w:r>
    </w:p>
    <w:p>
      <w:r>
        <w:drawing>
          <wp:inline xmlns:a="http://schemas.openxmlformats.org/drawingml/2006/main" xmlns:pic="http://schemas.openxmlformats.org/drawingml/2006/picture">
            <wp:extent cx="3657600" cy="279432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S3_profile_likelihoo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7943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Fig. S3. Profile log-likelihood of the asymptotic angle φ′∞ relative to its maximum (1685.51); at each angle the population decay rate ζ0 and the variance parameters were re-estimated by maximum likelihood. φ′∞ = 0 corresponds to the form without an asymptote. Dashed: 3 log-likelihood units below the maximum.</w:t>
      </w:r>
    </w:p>
    <w:p>
      <w:r>
        <w:drawing>
          <wp:inline xmlns:a="http://schemas.openxmlformats.org/drawingml/2006/main" xmlns:pic="http://schemas.openxmlformats.org/drawingml/2006/picture">
            <wp:extent cx="5120640" cy="327750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S4_size_effec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2775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Fig. S4. Within-material specimen-size coefficient β_D (bars: 95% confidence intervals; set intercepts adjusted for void ratio). Hatched band: Knapp–Hartung 95% confidence interval of the random-effects mean across 12 publications with size ratio ≥ 2 (+0.041; −0.001 to +0.084). One value outside the axis is annotated.</w:t>
      </w:r>
    </w:p>
    <w:p>
      <w:r>
        <w:drawing>
          <wp:inline xmlns:a="http://schemas.openxmlformats.org/drawingml/2006/main" xmlns:pic="http://schemas.openxmlformats.org/drawingml/2006/picture">
            <wp:extent cx="3200400" cy="306297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S5_varianc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30629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Fig. S5. Shares of the variance of the mean-envelope ln τ for an untested material of low rock quality placed at e = 0.65, scaled from 0.18 m to 1 m maximum particle size.</w:t>
      </w:r>
    </w:p>
    <w:p>
      <w:r>
        <w:rPr>
          <w:b/>
        </w:rPr>
        <w:t>Table S1. Mode B: every procedure evaluated (held-out tests at σ′n ≥ 2 MPa predicted from tests at σ′n ≤ 1.5 MPa of the same set)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sz w:val="18"/>
              </w:rPr>
              <w:t>Procedure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80% coverage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Below P10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SD of z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CRPS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Δ vs level update (95% CI)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Holm-adjusted p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Prior, no site tests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95%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3%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0.76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0.0424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+0.0115 (+0.0043 to +0.0179)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0.48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Least-squares fit of φ′1, m = 0.90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81%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17%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0.86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0.0407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+0.0098 (−0.0011 to +0.0165)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1.00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Least-squares fit of φ′1, m = median within-set slope of training data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81%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2%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1.00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0.0369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+0.0061 (−0.0021 to +0.0207)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0.74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Joint update of both random effects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80%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12%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1.34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0.0330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+0.0022 (−0.0056 to +0.0200)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1.00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Level update of each set (Eq. 8)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83%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9%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0.91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0.0308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Level update after discarding flagged sets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83%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12%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0.97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0.0345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+0.0036 (−0.0041 to +0.0106)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1.00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Recommended procedure: discard flagged sets, joint update with shared laboratory effect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83%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12%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0.98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0.0344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+0.0036 (−0.0044 to +0.0104)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1.00</w:t>
            </w:r>
          </w:p>
        </w:tc>
      </w:tr>
    </w:tbl>
    <w:p>
      <w:r>
        <w:t>Note: 64 tests, 46 sets, 13 publications. The procedures were developed while examining earlier versions of the model on the same held-out sets; the comparisons are exploratory. p-values from exact sign-flip tests on publication means, Holm-adjusted within Mode B. CRPS in units of ln τ.</w:t>
      </w:r>
    </w:p>
    <w:p>
      <w:r>
        <w:rPr>
          <w:b/>
        </w:rPr>
        <w:t>Table S2. Secant friction angle φ′s (°) of the waste rock of the example, median / 5th percentile of the mean envelope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sz w:val="18"/>
              </w:rPr>
              <w:t>Material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Laboratory, 1 MPa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Placed, 1 MPa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Placed, 2 MPa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Rock type 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40.5 / 39.1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35.3 / 30.3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33.4 / 28.6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Rock type B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43.1 / 38.6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38.2 / 31.5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35.9 / 29.8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Rock type C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41.7 / 40.3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37.2 / 32.0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35.2 / 30.2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Rock type D (untested)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40.9 / 36.6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36.1 / 29.5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34.2 / 28.0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Rock type E (untested)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40.9 / 36.5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33.9 / 27.4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32.3 / 26.3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Dump average, model correlation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41.5 / 39.7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36.4 / 31.1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34.4 / 29.4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Dump average, full correlation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41.5 / 38.7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36.4 / 30.6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34.4 / 29.0</w:t>
            </w:r>
          </w:p>
        </w:tc>
      </w:tr>
    </w:tbl>
    <w:p>
      <w:r>
        <w:t>Note: Laboratory: specimen void ratio and size. Placed: void ratio 0.65 (rock type E, 0.80), maximum particle size 1 m, size effect with zero mean. The full-correlation case sorts the samples of each rock type at every stress, an upper bound on dependence. No site tests above σ′n ≈ 4.6 MPa. The critical surfaces of Table 4 of the paper mobilize σ′n of up to about 2 MPa.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Leps-P supplemental materials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