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HiBER: Hierarchical Bounded Strength Envelopes for Rockfill and Mine Waste Rock</w:t>
      </w:r>
    </w:p>
    <w:p>
      <w:pPr>
        <w:jc w:val="center"/>
      </w:pPr>
      <w:r>
        <w:t>Wilson A. Anticona</w:t>
      </w:r>
    </w:p>
    <w:p>
      <w:pPr>
        <w:jc w:val="center"/>
      </w:pPr>
      <w:r>
        <w:rPr>
          <w:highlight w:val="yellow"/>
        </w:rPr>
        <w:t>ASCE grade, affiliation, and corresponding author e-mail to be completed; add any coauthors.</w:t>
      </w:r>
    </w:p>
    <w:p>
      <w:pPr>
        <w:keepNext/>
      </w:pPr>
      <w:r>
        <w:rPr>
          <w:b/>
          <w:i w:val="0"/>
        </w:rPr>
        <w:t>Abstract</w:t>
      </w:r>
    </w:p>
    <w:p>
      <w:r>
        <w:t>Reliability-based design of high waste dumps needs the drained strength of rockfill and mine waste rock as a distribution that combines published experience with site tests. HiBER (hierarchical bounded envelopes for rockfill), an extension of the Leps charts, is a three-level hierarchical model of the secant friction angle, calibrated on 741 large-scale triaxial tests from 23 laboratories, with rock quality, void ratio, and particle size as covariates, censoring of tests stopped at large strain, and truncation of the database. The dilatant part of strength decays with stress toward an asymptote of about 28 degrees, which bounds extrapolation; the likelihood strongly preferred this form to a power law but only weakly to an equally flexible quadratic form. Leaving out one laboratory at a time, the bounded, quadratic, power, and Leps 2.0 envelopes predicted new materials with indistinguishable accuracy; the hierarchical intervals had nominal coverage at low stress, and at high stress the bounded median was nearly unbiased but its lower tail slightly optimistic. Updating with site tests at low stress was optimistic above the tested stress unless the prior governed there. At field scale, the between-laboratory heterogeneity of the particle-size effect contributed about three quarters of the variance of untested waste rock. In 700 m dumps, also on weak foundation layers, the waste rock along critical surfaces mobilized at most about 3 MPa, where the envelope forms agreed within 0.04 in factor of safety: weak layers and the cautious strength, not the envelope form, controlled stability.</w:t>
      </w:r>
    </w:p>
    <w:p>
      <w:pPr>
        <w:keepNext/>
      </w:pPr>
      <w:r>
        <w:rPr>
          <w:b/>
          <w:i w:val="0"/>
        </w:rPr>
        <w:t>Practical Applications</w:t>
      </w:r>
    </w:p>
    <w:p>
      <w:r>
        <w:t>Designers of high waste dumps often have few large-scale shear tests and rely on published charts of rockfill strength. HiBER gives a best estimate and a cautious design value of strength for any rock quality, density, and particle size, up to 8 MPa on the failure plane. Site tests sharpen the estimate within their range of pressure, with a warning when they disagree with published experience. For untested waste rock most of the uncertainty comes from the effect of particle size, so large-scale tests at two particle sizes are the most valuable investigation. Even for 700 m dumps on weak foundation layers the waste rock along failure surfaces stayed below about 3 MPa, so the strength of the weak layer and the cautious strength of the waste rock, not the shape of the envelope, govern design.</w:t>
      </w:r>
    </w:p>
    <w:p>
      <w:r>
        <w:rPr>
          <w:i/>
        </w:rPr>
        <w:t>Author keywords:</w:t>
      </w:r>
      <w:r>
        <w:t xml:space="preserve"> Rockfill; Mine waste rock; Shear strength; Nonlinear failure envelope; Dilatancy; Hierarchical model; Reliability-based design; High waste dumps.</w:t>
      </w:r>
    </w:p>
    <w:p>
      <w:pPr>
        <w:keepNext/>
      </w:pPr>
      <w:r>
        <w:rPr>
          <w:b/>
          <w:i w:val="0"/>
        </w:rPr>
        <w:t>Introduction</w:t>
      </w:r>
    </w:p>
    <w:p>
      <w:pPr>
        <w:ind w:firstLine="720"/>
      </w:pPr>
      <w:r>
        <w:t xml:space="preserve">Leps (1970) compiled 109 large-scale triaxial tests and proposed nonlinear envelopes for rockfill that have been used whenever site-specific tests were unavailable. Cylwik et al. (2025) updated them with a public database of 938 tests (Arrieta 2025), adopting the power criterion of De Mello (1977) and Charles and Watts (1980) with the secant friction angle at </w:t>
      </w:r>
      <m:oMath>
        <m:sSubSup>
          <m:e>
            <m:r>
              <m:t>σ</m:t>
            </m:r>
          </m:e>
          <m:sub>
            <m:r>
              <m:t>n</m:t>
            </m:r>
          </m:sub>
          <m:sup>
            <m:r>
              <m:t>′</m:t>
            </m:r>
          </m:sup>
        </m:sSubSup>
      </m:oMath>
      <w:r>
        <w:t xml:space="preserve"> = 10</w:t>
      </w:r>
      <m:oMath>
        <m:sSub>
          <m:e>
            <m:r>
              <m:t>p</m:t>
            </m:r>
          </m:e>
          <m:sub>
            <m:r>
              <m:t>a</m:t>
            </m:r>
          </m:sub>
        </m:sSub>
      </m:oMath>
      <w:r>
        <w:t xml:space="preserve"> related to rock quality and void ratio (Leps 2.0).</w:t>
      </w:r>
    </w:p>
    <w:p>
      <w:pPr>
        <w:ind w:firstLine="720"/>
      </w:pPr>
      <w:r>
        <w:t>Reliability-based design (Read and Stacey 2009; Hawley and Cunning 2017) requires a strength distribution and a rule to combine published experience with site tests. Waste dumps now reach 500–700 m (Valenzuela et al. 2008; Bard et al. 2011), and at high normal stress waste rock crushes and loses dilatancy (Marsal 1973; Hardin 1985; Indraratna et al. 1993; Linero et al. 2007; Xiao et al. 2014a, 2014b; Ovalle et al. 2020; Ventini et al. 2021). Beyond the data a power law keeps curving downward, whereas the contribution of dilatancy is suppressed by confinement (Bolton 1986; Jefferies and Been 2016).</w:t>
      </w:r>
    </w:p>
    <w:p>
      <w:pPr>
        <w:ind w:firstLine="720"/>
      </w:pPr>
      <w:r>
        <w:t>Hierarchical models that borrow strength from generic databases exist for soil and rock properties (Ching and Phoon 2019, 2020; Bozorgzadeh et al. 2019; Ching et al. 2021), and a hierarchical Bayesian analysis of the Barton and Kjærnsli (1981) parameters has been applied to the rockfill of one project (Contreras et al. 2022; Contreras and Linero-Molina 2025). HiBER (hierarchical bounded envelopes for rockfill) extends the Leps charts: it pools 23 laboratories, bounds extrapolation with an asymptote, accounts for tests stopped before failure, and is evaluated out of sample by laboratory; it also gives a design procedure with a prior–data conflict check, a decomposition of the uncertainty of untested waste rock, and the mechanisms for which the envelope form matters.</w:t>
      </w:r>
    </w:p>
    <w:p>
      <w:pPr>
        <w:keepNext/>
      </w:pPr>
      <w:r>
        <w:rPr>
          <w:b/>
          <w:i w:val="0"/>
        </w:rPr>
        <w:t>Database and Model Formulation</w:t>
      </w:r>
    </w:p>
    <w:p>
      <w:pPr>
        <w:keepNext/>
      </w:pPr>
      <w:r>
        <w:rPr>
          <w:b w:val="0"/>
          <w:i/>
        </w:rPr>
        <w:t>Calibration Database</w:t>
      </w:r>
    </w:p>
    <w:p>
      <w:pPr>
        <w:ind w:firstLine="720"/>
      </w:pPr>
      <w:r>
        <w:t xml:space="preserve">The public database (Arrieta 2025) was filtered to tests with reported </w:t>
      </w:r>
      <m:oMath>
        <m:sSubSup>
          <m:e>
            <m:r>
              <m:t>σ</m:t>
            </m:r>
          </m:e>
          <m:sub>
            <m:r>
              <m:t>3</m:t>
            </m:r>
          </m:sub>
          <m:sup>
            <m:r>
              <m:t>′</m:t>
            </m:r>
          </m:sup>
        </m:sSubSup>
      </m:oMath>
      <w:r>
        <w:t xml:space="preserve"> ≥ 60 kPa and initial void ratio and at least two tests per set; points digitized from published curves without a reported confining stress and tests duplicated between publications were removed. This gave 741 tests on 220 sets from 36 publications and 23 laboratories (publications of one testing program form one laboratory; Fig. S1). A set is a material with a given gradation, density, and rock type tested in one program; failure is the maximum deviator stress, and rock quality classes follow Table 5 of Cylwik et al. (2025). Tests with </w:t>
      </w:r>
      <m:oMath>
        <m:sSubSup>
          <m:e>
            <m:r>
              <m:t>σ</m:t>
            </m:r>
          </m:e>
          <m:sub>
            <m:r>
              <m:t>n</m:t>
            </m:r>
          </m:sub>
          <m:sup>
            <m:r>
              <m:t>′</m:t>
            </m:r>
          </m:sup>
        </m:sSubSup>
      </m:oMath>
      <w:r>
        <w:t xml:space="preserve"> &gt; 3 MPa (90) come from five laboratories, mostly from 1963–1983 (e.g., Marachi et al. 1972; Marsal 1973), and sets with </w:t>
      </w:r>
      <m:oMath>
        <m:sSubSup>
          <m:e>
            <m:r>
              <m:t>ϕ</m:t>
            </m:r>
          </m:e>
          <m:sub>
            <m:r>
              <m:t>1</m:t>
            </m:r>
          </m:sub>
          <m:sup>
            <m:r>
              <m:t>′</m:t>
            </m:r>
          </m:sup>
        </m:sSubSup>
      </m:oMath>
      <w:r>
        <w:t xml:space="preserve"> &lt; 31° were excluded by Cylwik et al. (2025), which truncates the population. In 55 tests the maximum deviator was reached at an axial strain </w:t>
      </w:r>
      <m:oMath>
        <m:sSub>
          <m:e>
            <m:r>
              <m:t>ε</m:t>
            </m:r>
          </m:e>
          <m:sub>
            <m:r>
              <m:t>a</m:t>
            </m:r>
          </m:sub>
        </m:sSub>
      </m:oMath>
      <w:r>
        <w:t xml:space="preserve"> ≥ 19%, near the stroke limit of large cells, while the specimens were still compressing, so it is a lower bound of strength. The volumetric strain at the maximum deviator was compressive, with a median of -6.9% and a median breakage index of 36% above 3 MPa (Fig. S2), and above 1.5 MPa the residuals of the model increased with it (Spearman ρ = 0.38). The void ratio ranges from 0.15 to 0.89, and most tests above 3 MPa have </w:t>
      </w:r>
      <w:r>
        <w:rPr>
          <w:i/>
        </w:rPr>
        <w:t>e</w:t>
      </w:r>
      <w:r>
        <w:t xml:space="preserve"> ≤ 0.55.</w:t>
      </w:r>
    </w:p>
    <w:p>
      <w:pPr>
        <w:keepNext/>
      </w:pPr>
      <w:r>
        <w:rPr>
          <w:b w:val="0"/>
          <w:i/>
        </w:rPr>
        <w:t>Envelope</w:t>
      </w:r>
    </w:p>
    <w:p>
      <w:pPr>
        <w:ind w:firstLine="720"/>
      </w:pPr>
      <w:r>
        <w:t>The Leps 2.0 criterion is the power law</w:t>
      </w:r>
    </w:p>
    <w:p>
      <w:pPr>
        <w:tabs>
          <w:tab w:pos="4680" w:val="center"/>
          <w:tab w:pos="9360" w:val="right"/>
        </w:tabs>
      </w:pPr>
      <w:r>
        <w:tab/>
      </w:r>
      <m:oMath>
        <m:r>
          <m:t>τ=</m:t>
        </m:r>
        <m:r>
          <m:rPr>
            <m:sty m:val="p"/>
          </m:rPr>
          <m:t>tan</m:t>
        </m:r>
        <m:sSubSup>
          <m:e>
            <m:r>
              <m:t>ϕ</m:t>
            </m:r>
          </m:e>
          <m:sub>
            <m:r>
              <m:t>1</m:t>
            </m:r>
          </m:sub>
          <m:sup>
            <m:r>
              <m:t>′</m:t>
            </m:r>
          </m:sup>
        </m:sSubSup>
        <m:sSubSup>
          <m:e>
            <m:r>
              <m:t>σ</m:t>
            </m:r>
          </m:e>
          <m:sub>
            <m:r>
              <m:t>0</m:t>
            </m:r>
          </m:sub>
          <m:sup>
            <m:r>
              <m:t>1−m</m:t>
            </m:r>
          </m:sup>
        </m:sSubSup>
        <m:sSup>
          <m:e>
            <m:sSubSup>
              <m:e>
                <m:r>
                  <m:t>σ</m:t>
                </m:r>
              </m:e>
              <m:sub>
                <m:r>
                  <m:t>n</m:t>
                </m:r>
              </m:sub>
              <m:sup>
                <m:r>
                  <m:t>′</m:t>
                </m:r>
              </m:sup>
            </m:sSubSup>
          </m:e>
          <m:sup>
            <m:r>
              <m:t>m</m:t>
            </m:r>
          </m:sup>
        </m:sSup>
      </m:oMath>
      <w:r>
        <w:tab/>
        <w:t>(1)</w:t>
      </w:r>
    </w:p>
    <w:p>
      <w:r>
        <w:t xml:space="preserve">where </w:t>
      </w:r>
      <m:oMath>
        <m:sSub>
          <m:e>
            <m:r>
              <m:t>σ</m:t>
            </m:r>
          </m:e>
          <m:sub>
            <m:r>
              <m:t>0</m:t>
            </m:r>
          </m:sub>
        </m:sSub>
      </m:oMath>
      <w:r>
        <w:t xml:space="preserve"> = 10</w:t>
      </w:r>
      <m:oMath>
        <m:sSub>
          <m:e>
            <m:r>
              <m:t>p</m:t>
            </m:r>
          </m:e>
          <m:sub>
            <m:r>
              <m:t>a</m:t>
            </m:r>
          </m:sub>
        </m:sSub>
      </m:oMath>
      <w:r>
        <w:t xml:space="preserve">, </w:t>
      </w:r>
      <m:oMath>
        <m:sSub>
          <m:e>
            <m:r>
              <m:t>p</m:t>
            </m:r>
          </m:e>
          <m:sub>
            <m:r>
              <m:t>a</m:t>
            </m:r>
          </m:sub>
        </m:sSub>
      </m:oMath>
      <w:r>
        <w:t xml:space="preserve"> = 0.1013 MPa, </w:t>
      </w:r>
      <m:oMath>
        <m:sSubSup>
          <m:e>
            <m:r>
              <m:t>ϕ</m:t>
            </m:r>
          </m:e>
          <m:sub>
            <m:r>
              <m:t>1</m:t>
            </m:r>
          </m:sub>
          <m:sup>
            <m:r>
              <m:t>′</m:t>
            </m:r>
          </m:sup>
        </m:sSubSup>
      </m:oMath>
      <w:r>
        <w:t xml:space="preserve"> is the secant friction angle at </w:t>
      </w:r>
      <m:oMath>
        <m:sSubSup>
          <m:e>
            <m:r>
              <m:t>σ</m:t>
            </m:r>
          </m:e>
          <m:sub>
            <m:r>
              <m:t>n</m:t>
            </m:r>
          </m:sub>
          <m:sup>
            <m:r>
              <m:t>′</m:t>
            </m:r>
          </m:sup>
        </m:sSubSup>
      </m:oMath>
      <w:r>
        <w:t xml:space="preserve"> = </w:t>
      </w:r>
      <m:oMath>
        <m:sSub>
          <m:e>
            <m:r>
              <m:t>σ</m:t>
            </m:r>
          </m:e>
          <m:sub>
            <m:r>
              <m:t>0</m:t>
            </m:r>
          </m:sub>
        </m:sSub>
      </m:oMath>
      <w:r>
        <w:t xml:space="preserve">, and </w:t>
      </w:r>
      <w:r>
        <w:rPr>
          <w:i/>
        </w:rPr>
        <w:t>m</w:t>
      </w:r>
      <w:r>
        <w:t xml:space="preserve"> is a constant exponent; the secant friction angle is </w:t>
      </w:r>
      <m:oMath>
        <m:sSubSup>
          <m:e>
            <m:r>
              <m:t>ϕ</m:t>
            </m:r>
          </m:e>
          <m:sub>
            <m:r>
              <m:t>s</m:t>
            </m:r>
          </m:sub>
          <m:sup>
            <m:r>
              <m:t>′</m:t>
            </m:r>
          </m:sup>
        </m:sSubSup>
      </m:oMath>
      <w:r>
        <w:t xml:space="preserve"> = arctan(τ/</w:t>
      </w:r>
      <m:oMath>
        <m:sSubSup>
          <m:e>
            <m:r>
              <m:t>σ</m:t>
            </m:r>
          </m:e>
          <m:sub>
            <m:r>
              <m:t>n</m:t>
            </m:r>
          </m:sub>
          <m:sup>
            <m:r>
              <m:t>′</m:t>
            </m:r>
          </m:sup>
        </m:sSubSup>
      </m:oMath>
      <w:r>
        <w:t>). In granular materials the excess of strength over the critical state is governed by dilatancy, which is suppressed by confinement (Bolton 1986; Jefferies and Been 2016, p. 43); particle crushing reinforces this trend (Hardin 1985; Einav 2007). A minimal form with this property is</w:t>
      </w:r>
    </w:p>
    <w:p>
      <w:pPr>
        <w:tabs>
          <w:tab w:pos="4680" w:val="center"/>
          <w:tab w:pos="9360" w:val="right"/>
        </w:tabs>
      </w:pPr>
      <w:r>
        <w:tab/>
      </w:r>
      <m:oMath>
        <m:r>
          <m:rPr>
            <m:sty m:val="p"/>
          </m:rPr>
          <m:t>tan</m:t>
        </m:r>
        <m:sSubSup>
          <m:e>
            <m:r>
              <m:t>ϕ</m:t>
            </m:r>
          </m:e>
          <m:sub>
            <m:r>
              <m:t>s</m:t>
            </m:r>
          </m:sub>
          <m:sup>
            <m:r>
              <m:t>′</m:t>
            </m:r>
          </m:sup>
        </m:sSubSup>
        <m:r>
          <m:t>=</m:t>
        </m:r>
        <m:sSub>
          <m:e>
            <m:r>
              <m:t>t</m:t>
            </m:r>
          </m:e>
          <m:sub>
            <m:r>
              <m:t>∞</m:t>
            </m:r>
          </m:sub>
        </m:sSub>
        <m:r>
          <m:t>+</m:t>
        </m:r>
        <m:d>
          <m:dPr>
            <m:sepChr m:val="−"/>
          </m:dPr>
          <m:e>
            <m:r>
              <m:rPr>
                <m:sty m:val="p"/>
              </m:rPr>
              <m:t>tan</m:t>
            </m:r>
            <m:sSubSup>
              <m:e>
                <m:r>
                  <m:t>ϕ</m:t>
                </m:r>
              </m:e>
              <m:sub>
                <m:r>
                  <m:t>1</m:t>
                </m:r>
              </m:sub>
              <m:sup>
                <m:r>
                  <m:t>′</m:t>
                </m:r>
              </m:sup>
            </m:sSubSup>
          </m:e>
          <m:e>
            <m:sSub>
              <m:e>
                <m:r>
                  <m:t>t</m:t>
                </m:r>
              </m:e>
              <m:sub>
                <m:r>
                  <m:t>∞</m:t>
                </m:r>
              </m:sub>
            </m:sSub>
          </m:e>
        </m:d>
        <m:r>
          <m:rPr>
            <m:sty m:val="p"/>
          </m:rPr>
          <m:t>exp</m:t>
        </m:r>
        <m:r>
          <m:t>(−ζx),</m:t>
        </m:r>
        <m:r>
          <m:t>x=</m:t>
        </m:r>
        <m:r>
          <m:rPr>
            <m:sty m:val="p"/>
          </m:rPr>
          <m:t>ln</m:t>
        </m:r>
        <m:r>
          <m:t>(</m:t>
        </m:r>
        <m:sSubSup>
          <m:e>
            <m:r>
              <m:t>σ</m:t>
            </m:r>
          </m:e>
          <m:sub>
            <m:r>
              <m:t>n</m:t>
            </m:r>
          </m:sub>
          <m:sup>
            <m:r>
              <m:t>′</m:t>
            </m:r>
          </m:sup>
        </m:sSubSup>
        <m:r>
          <m:t>/</m:t>
        </m:r>
        <m:sSub>
          <m:e>
            <m:r>
              <m:t>σ</m:t>
            </m:r>
          </m:e>
          <m:sub>
            <m:r>
              <m:t>0</m:t>
            </m:r>
          </m:sub>
        </m:sSub>
        <m:r>
          <m:t>),</m:t>
        </m:r>
        <m:sSub>
          <m:e>
            <m:r>
              <m:t>t</m:t>
            </m:r>
          </m:e>
          <m:sub>
            <m:r>
              <m:t>∞</m:t>
            </m:r>
          </m:sub>
        </m:sSub>
        <m:r>
          <m:t>=</m:t>
        </m:r>
        <m:r>
          <m:rPr>
            <m:sty m:val="p"/>
          </m:rPr>
          <m:t>tan</m:t>
        </m:r>
        <m:sSubSup>
          <m:e>
            <m:r>
              <m:t>ϕ</m:t>
            </m:r>
          </m:e>
          <m:sub>
            <m:r>
              <m:t>∞</m:t>
            </m:r>
          </m:sub>
          <m:sup>
            <m:r>
              <m:t>′</m:t>
            </m:r>
          </m:sup>
        </m:sSubSup>
      </m:oMath>
      <w:r>
        <w:tab/>
        <w:t>(2)</w:t>
      </w:r>
    </w:p>
    <w:p>
      <w:r>
        <w:t xml:space="preserve">in which the dilatant part decays at rate ζ toward the asymptotic angle </w:t>
      </w:r>
      <m:oMath>
        <m:sSubSup>
          <m:e>
            <m:r>
              <m:t>ϕ</m:t>
            </m:r>
          </m:e>
          <m:sub>
            <m:r>
              <m:t>∞</m:t>
            </m:r>
          </m:sub>
          <m:sup>
            <m:r>
              <m:t>′</m:t>
            </m:r>
          </m:sup>
        </m:sSubSup>
      </m:oMath>
      <w:r>
        <w:t xml:space="preserve">. For </w:t>
      </w:r>
      <m:oMath>
        <m:sSubSup>
          <m:e>
            <m:r>
              <m:t>ϕ</m:t>
            </m:r>
          </m:e>
          <m:sub>
            <m:r>
              <m:t>∞</m:t>
            </m:r>
          </m:sub>
          <m:sup>
            <m:r>
              <m:t>′</m:t>
            </m:r>
          </m:sup>
        </m:sSubSup>
      </m:oMath>
      <w:r>
        <w:t xml:space="preserve"> = 0 it reduces to a power law with </w:t>
      </w:r>
      <w:r>
        <w:rPr>
          <w:i/>
        </w:rPr>
        <w:t>m</w:t>
      </w:r>
      <w:r>
        <w:t xml:space="preserve"> = 1 − ζ. Because many specimens at high stress were still compressing at the maximum deviator, </w:t>
      </w:r>
      <m:oMath>
        <m:sSubSup>
          <m:e>
            <m:r>
              <m:t>ϕ</m:t>
            </m:r>
          </m:e>
          <m:sub>
            <m:r>
              <m:t>∞</m:t>
            </m:r>
          </m:sub>
          <m:sup>
            <m:r>
              <m:t>′</m:t>
            </m:r>
          </m:sup>
        </m:sSubSup>
      </m:oMath>
      <w:r>
        <w:t xml:space="preserve"> is a population decay parameter of the maximum-deviator envelope and not a critical-state angle (Been and Jefferies 1985).</w:t>
      </w:r>
    </w:p>
    <w:p>
      <w:pPr>
        <w:keepNext/>
      </w:pPr>
      <w:r>
        <w:rPr>
          <w:b w:val="0"/>
          <w:i/>
        </w:rPr>
        <w:t>Hierarchical Model</w:t>
      </w:r>
    </w:p>
    <w:p>
      <w:pPr>
        <w:ind w:firstLine="720"/>
      </w:pPr>
      <w:r>
        <w:t xml:space="preserve">With </w:t>
      </w:r>
      <w:r>
        <w:rPr>
          <w:i/>
        </w:rPr>
        <w:t>y</w:t>
      </w:r>
      <w:r>
        <w:t xml:space="preserve"> = ln(τ/</w:t>
      </w:r>
      <m:oMath>
        <m:sSub>
          <m:e>
            <m:r>
              <m:t>σ</m:t>
            </m:r>
          </m:e>
          <m:sub>
            <m:r>
              <m:t>0</m:t>
            </m:r>
          </m:sub>
        </m:sSub>
      </m:oMath>
      <w:r>
        <w:t xml:space="preserve">), the strength of test </w:t>
      </w:r>
      <w:r>
        <w:rPr>
          <w:i/>
        </w:rPr>
        <w:t>i</w:t>
      </w:r>
      <w:r>
        <w:t xml:space="preserve"> of set </w:t>
      </w:r>
      <w:r>
        <w:rPr>
          <w:i/>
        </w:rPr>
        <w:t>j</w:t>
      </w:r>
      <w:r>
        <w:t xml:space="preserve"> of laboratory </w:t>
      </w:r>
      <w:r>
        <w:rPr>
          <w:i/>
        </w:rPr>
        <w:t>k</w:t>
      </w:r>
      <w:r>
        <w:t xml:space="preserve"> is</w:t>
      </w:r>
    </w:p>
    <w:p>
      <w:pPr>
        <w:tabs>
          <w:tab w:pos="4680" w:val="center"/>
          <w:tab w:pos="9360" w:val="right"/>
        </w:tabs>
      </w:pPr>
      <w:r>
        <w:tab/>
      </w:r>
      <m:oMath>
        <m:sSub>
          <m:e>
            <m:r>
              <m:t>y</m:t>
            </m:r>
          </m:e>
          <m:sub>
            <m:r>
              <m:t>ijk</m:t>
            </m:r>
          </m:sub>
        </m:sSub>
        <m:r>
          <m:t>=</m:t>
        </m:r>
        <m:sSub>
          <m:e>
            <m:r>
              <m:t>x</m:t>
            </m:r>
          </m:e>
          <m:sub>
            <m:r>
              <m:t>ijk</m:t>
            </m:r>
          </m:sub>
        </m:sSub>
        <m:r>
          <m:t>+</m:t>
        </m:r>
        <m:r>
          <m:rPr>
            <m:sty m:val="p"/>
          </m:rPr>
          <m:t>ln</m:t>
        </m:r>
        <m:d>
          <m:dPr>
            <m:begChr m:val="["/>
            <m:sepChr m:val="+"/>
            <m:endChr m:val="]"/>
          </m:dPr>
          <m:e>
            <m:sSub>
              <m:e>
                <m:r>
                  <m:t>t</m:t>
                </m:r>
              </m:e>
              <m:sub>
                <m:r>
                  <m:t>∞</m:t>
                </m:r>
              </m:sub>
            </m:sSub>
          </m:e>
          <m:e>
            <m:d>
              <m:dPr>
                <m:sepChr m:val="−"/>
              </m:dPr>
              <m:e>
                <m:r>
                  <m:rPr>
                    <m:sty m:val="p"/>
                  </m:rPr>
                  <m:t>exp</m:t>
                </m:r>
                <m:sSub>
                  <m:e>
                    <m:r>
                      <m:t>η</m:t>
                    </m:r>
                  </m:e>
                  <m:sub>
                    <m:r>
                      <m:t>jk</m:t>
                    </m:r>
                  </m:sub>
                </m:sSub>
              </m:e>
              <m:e>
                <m:sSub>
                  <m:e>
                    <m:r>
                      <m:t>t</m:t>
                    </m:r>
                  </m:e>
                  <m:sub>
                    <m:r>
                      <m:t>∞</m:t>
                    </m:r>
                  </m:sub>
                </m:sSub>
              </m:e>
            </m:d>
            <m:r>
              <m:rPr>
                <m:sty m:val="p"/>
              </m:rPr>
              <m:t>exp</m:t>
            </m:r>
            <m:d>
              <m:dPr>
                <m:sepChr m:val="−"/>
              </m:dPr>
              <m:e/>
              <m:e>
                <m:sSub>
                  <m:e>
                    <m:r>
                      <m:t>ζ</m:t>
                    </m:r>
                  </m:e>
                  <m:sub>
                    <m:r>
                      <m:t>jk</m:t>
                    </m:r>
                  </m:sub>
                </m:sSub>
                <m:sSub>
                  <m:e>
                    <m:r>
                      <m:t>x</m:t>
                    </m:r>
                  </m:e>
                  <m:sub>
                    <m:r>
                      <m:t>ijk</m:t>
                    </m:r>
                  </m:sub>
                </m:sSub>
              </m:e>
            </m:d>
          </m:e>
        </m:d>
        <m:r>
          <m:t>+</m:t>
        </m:r>
        <m:sSub>
          <m:e>
            <m:r>
              <m:t>ε</m:t>
            </m:r>
          </m:e>
          <m:sub>
            <m:r>
              <m:t>ijk</m:t>
            </m:r>
          </m:sub>
        </m:sSub>
      </m:oMath>
      <w:r>
        <w:tab/>
        <w:t>(3)</w:t>
      </w:r>
    </w:p>
    <w:p>
      <w:pPr>
        <w:tabs>
          <w:tab w:pos="4680" w:val="center"/>
          <w:tab w:pos="9360" w:val="right"/>
        </w:tabs>
      </w:pPr>
      <w:r>
        <w:tab/>
      </w:r>
      <m:oMath>
        <m:sSub>
          <m:e>
            <m:r>
              <m:t>η</m:t>
            </m:r>
          </m:e>
          <m:sub>
            <m:r>
              <m:t>jk</m:t>
            </m:r>
          </m:sub>
        </m:sSub>
        <m:r>
          <m:t>=</m:t>
        </m:r>
        <m:sSub>
          <m:e>
            <m:r>
              <m:t>β</m:t>
            </m:r>
          </m:e>
          <m:sub>
            <m:r>
              <m:t>c</m:t>
            </m:r>
          </m:sub>
        </m:sSub>
        <m:r>
          <m:t>+</m:t>
        </m:r>
        <m:sSub>
          <m:e>
            <m:r>
              <m:t>β</m:t>
            </m:r>
          </m:e>
          <m:sub>
            <m:r>
              <m:t>e</m:t>
            </m:r>
          </m:sub>
        </m:sSub>
        <m:sSub>
          <m:e>
            <m:r>
              <m:t>e</m:t>
            </m:r>
          </m:e>
          <m:sub>
            <m:r>
              <m:t>jk</m:t>
            </m:r>
          </m:sub>
        </m:sSub>
        <m:r>
          <m:t>+κ</m:t>
        </m:r>
        <m:r>
          <m:rPr>
            <m:sty m:val="p"/>
          </m:rPr>
          <m:t>ln</m:t>
        </m:r>
        <m:d>
          <m:dPr>
            <m:sepChr m:val="/"/>
          </m:dPr>
          <m:e>
            <m:sSub>
              <m:e>
                <m:r>
                  <m:t>D</m:t>
                </m:r>
              </m:e>
              <m:sub>
                <m:r>
                  <m:t>max,jk</m:t>
                </m:r>
              </m:sub>
            </m:sSub>
          </m:e>
          <m:e>
            <m:sSub>
              <m:e>
                <m:r>
                  <m:t>D</m:t>
                </m:r>
              </m:e>
              <m:sub>
                <m:r>
                  <m:t>r</m:t>
                </m:r>
              </m:sub>
            </m:sSub>
          </m:e>
        </m:d>
        <m:r>
          <m:t>+</m:t>
        </m:r>
        <m:sSub>
          <m:e>
            <m:r>
              <m:t>u</m:t>
            </m:r>
          </m:e>
          <m:sub>
            <m:r>
              <m:t>η,jk</m:t>
            </m:r>
          </m:sub>
        </m:sSub>
        <m:r>
          <m:t>,</m:t>
        </m:r>
        <m:sSub>
          <m:e>
            <m:r>
              <m:t>ζ</m:t>
            </m:r>
          </m:e>
          <m:sub>
            <m:r>
              <m:t>jk</m:t>
            </m:r>
          </m:sub>
        </m:sSub>
        <m:r>
          <m:t>=</m:t>
        </m:r>
        <m:sSub>
          <m:e>
            <m:r>
              <m:t>ζ</m:t>
            </m:r>
          </m:e>
          <m:sub>
            <m:r>
              <m:t>0</m:t>
            </m:r>
          </m:sub>
        </m:sSub>
        <m:r>
          <m:t>+</m:t>
        </m:r>
        <m:sSub>
          <m:e>
            <m:r>
              <m:t>δ</m:t>
            </m:r>
          </m:e>
          <m:sub>
            <m:r>
              <m:t>c</m:t>
            </m:r>
          </m:sub>
        </m:sSub>
        <m:r>
          <m:t>+</m:t>
        </m:r>
        <m:sSub>
          <m:e>
            <m:r>
              <m:t>u</m:t>
            </m:r>
          </m:e>
          <m:sub>
            <m:r>
              <m:t>ζ,jk</m:t>
            </m:r>
          </m:sub>
        </m:sSub>
        <m:r>
          <m:t>,</m:t>
        </m:r>
        <m:sSub>
          <m:e>
            <m:r>
              <m:t>𝐮</m:t>
            </m:r>
          </m:e>
          <m:sub>
            <m:r>
              <m:t>jk</m:t>
            </m:r>
          </m:sub>
        </m:sSub>
        <m:r>
          <m:t>=</m:t>
        </m:r>
        <m:sSubSup>
          <m:e>
            <m:r>
              <m:t>𝐮</m:t>
            </m:r>
          </m:e>
          <m:sub>
            <m:r>
              <m:t>k</m:t>
            </m:r>
          </m:sub>
          <m:sup>
            <m:d>
              <m:dPr>
                <m:sepChr m:val=""/>
              </m:dPr>
              <m:e>
                <m:r>
                  <m:t>p</m:t>
                </m:r>
              </m:e>
            </m:d>
          </m:sup>
        </m:sSubSup>
        <m:r>
          <m:t>+</m:t>
        </m:r>
        <m:sSubSup>
          <m:e>
            <m:r>
              <m:t>𝐮</m:t>
            </m:r>
          </m:e>
          <m:sub>
            <m:r>
              <m:t>jk</m:t>
            </m:r>
          </m:sub>
          <m:sup>
            <m:d>
              <m:dPr>
                <m:sepChr m:val=""/>
              </m:dPr>
              <m:e>
                <m:r>
                  <m:t>s</m:t>
                </m:r>
              </m:e>
            </m:d>
          </m:sup>
        </m:sSubSup>
      </m:oMath>
      <w:r>
        <w:tab/>
        <w:t>(4)</w:t>
      </w:r>
    </w:p>
    <w:p>
      <w:pPr>
        <w:tabs>
          <w:tab w:pos="4680" w:val="center"/>
          <w:tab w:pos="9360" w:val="right"/>
        </w:tabs>
      </w:pPr>
      <w:r>
        <w:tab/>
      </w:r>
      <m:oMath>
        <m:sSup>
          <m:e>
            <m:r>
              <m:t>𝐮</m:t>
            </m:r>
          </m:e>
          <m:sup>
            <m:d>
              <m:dPr>
                <m:sepChr m:val=""/>
              </m:dPr>
              <m:e>
                <m:r>
                  <m:t>p</m:t>
                </m:r>
              </m:e>
            </m:d>
          </m:sup>
        </m:sSup>
        <m:r>
          <m:t>~N(</m:t>
        </m:r>
        <m:r>
          <m:rPr>
            <m:sty m:val="b"/>
          </m:rPr>
          <m:t>0</m:t>
        </m:r>
        <m:r>
          <m:t>,</m:t>
        </m:r>
        <m:sSub>
          <m:e>
            <m:r>
              <m:t>𝐆</m:t>
            </m:r>
          </m:e>
          <m:sub>
            <m:r>
              <m:t>p</m:t>
            </m:r>
          </m:sub>
        </m:sSub>
        <m:r>
          <m:t>),</m:t>
        </m:r>
        <m:sSup>
          <m:e>
            <m:r>
              <m:t>𝐮</m:t>
            </m:r>
          </m:e>
          <m:sup>
            <m:d>
              <m:dPr>
                <m:sepChr m:val=""/>
              </m:dPr>
              <m:e>
                <m:r>
                  <m:t>s</m:t>
                </m:r>
              </m:e>
            </m:d>
          </m:sup>
        </m:sSup>
        <m:r>
          <m:t>~N(</m:t>
        </m:r>
        <m:r>
          <m:rPr>
            <m:sty m:val="b"/>
          </m:rPr>
          <m:t>0</m:t>
        </m:r>
        <m:r>
          <m:t>,</m:t>
        </m:r>
        <m:sSub>
          <m:e>
            <m:r>
              <m:t>𝐆</m:t>
            </m:r>
          </m:e>
          <m:sub>
            <m:r>
              <m:t>s</m:t>
            </m:r>
          </m:sub>
        </m:sSub>
        <m:r>
          <m:t>),</m:t>
        </m:r>
        <m:r>
          <m:rPr>
            <m:sty m:val="p"/>
          </m:rPr>
          <m:t>ln</m:t>
        </m:r>
        <m:sSub>
          <m:e>
            <m:r>
              <m:t>σ</m:t>
            </m:r>
          </m:e>
          <m:sub>
            <m:r>
              <m:t>ε</m:t>
            </m:r>
          </m:sub>
        </m:sSub>
        <m:r>
          <m:t>(x)=</m:t>
        </m:r>
        <m:sSub>
          <m:e>
            <m:r>
              <m:t>a</m:t>
            </m:r>
          </m:e>
          <m:sub>
            <m:r>
              <m:t>0</m:t>
            </m:r>
          </m:sub>
        </m:sSub>
        <m:r>
          <m:t>+</m:t>
        </m:r>
        <m:sSub>
          <m:e>
            <m:r>
              <m:t>a</m:t>
            </m:r>
          </m:e>
          <m:sub>
            <m:r>
              <m:t>1</m:t>
            </m:r>
          </m:sub>
        </m:sSub>
        <m:r>
          <m:t>x</m:t>
        </m:r>
      </m:oMath>
      <w:r>
        <w:tab/>
        <w:t>(5)</w:t>
      </w:r>
    </w:p>
    <w:p>
      <w:r>
        <w:t xml:space="preserve">where η = ln tan </w:t>
      </w:r>
      <m:oMath>
        <m:sSubSup>
          <m:e>
            <m:r>
              <m:t>ϕ</m:t>
            </m:r>
          </m:e>
          <m:sub>
            <m:r>
              <m:t>1</m:t>
            </m:r>
          </m:sub>
          <m:sup>
            <m:r>
              <m:t>′</m:t>
            </m:r>
          </m:sup>
        </m:sSubSup>
      </m:oMath>
      <w:r>
        <w:t xml:space="preserve"> is the dilatant level of the material, </w:t>
      </w:r>
      <m:oMath>
        <m:sSub>
          <m:e>
            <m:r>
              <m:t>β</m:t>
            </m:r>
          </m:e>
          <m:sub>
            <m:r>
              <m:t>c</m:t>
            </m:r>
          </m:sub>
        </m:sSub>
      </m:oMath>
      <w:r>
        <w:t xml:space="preserve"> the coefficient of its rock quality class </w:t>
      </w:r>
      <w:r>
        <w:rPr>
          <w:i/>
        </w:rPr>
        <w:t>c</w:t>
      </w:r>
      <w:r>
        <w:t xml:space="preserve">, </w:t>
      </w:r>
      <m:oMath>
        <m:sSub>
          <m:e>
            <m:r>
              <m:t>β</m:t>
            </m:r>
          </m:e>
          <m:sub>
            <m:r>
              <m:t>e</m:t>
            </m:r>
          </m:sub>
        </m:sSub>
      </m:oMath>
      <w:r>
        <w:t xml:space="preserve"> the effect of the initial void ratio </w:t>
      </w:r>
      <w:r>
        <w:rPr>
          <w:i/>
        </w:rPr>
        <w:t>e</w:t>
      </w:r>
      <w:r>
        <w:t xml:space="preserve">, κ the between-set effect of the maximum particle size </w:t>
      </w:r>
      <m:oMath>
        <m:sSub>
          <m:e>
            <m:r>
              <m:t>D</m:t>
            </m:r>
          </m:e>
          <m:sub>
            <m:r>
              <m:t>max</m:t>
            </m:r>
          </m:sub>
        </m:sSub>
      </m:oMath>
      <w:r>
        <w:t xml:space="preserve"> relative to </w:t>
      </w:r>
      <m:oMath>
        <m:sSub>
          <m:e>
            <m:r>
              <m:t>D</m:t>
            </m:r>
          </m:e>
          <m:sub>
            <m:r>
              <m:t>r</m:t>
            </m:r>
          </m:sub>
        </m:sSub>
      </m:oMath>
      <w:r>
        <w:t xml:space="preserve"> = 100 mm, </w:t>
      </w:r>
      <m:oMath>
        <m:sSub>
          <m:e>
            <m:r>
              <m:t>ζ</m:t>
            </m:r>
          </m:e>
          <m:sub>
            <m:r>
              <m:t>0</m:t>
            </m:r>
          </m:sub>
        </m:sSub>
      </m:oMath>
      <w:r>
        <w:t xml:space="preserve"> the decay rate of the good class and </w:t>
      </w:r>
      <m:oMath>
        <m:sSub>
          <m:e>
            <m:r>
              <m:t>δ</m:t>
            </m:r>
          </m:e>
          <m:sub>
            <m:r>
              <m:t>c</m:t>
            </m:r>
          </m:sub>
        </m:sSub>
      </m:oMath>
      <w:r>
        <w:t xml:space="preserve"> the offset of class </w:t>
      </w:r>
      <w:r>
        <w:rPr>
          <w:i/>
        </w:rPr>
        <w:t>c</w:t>
      </w:r>
      <w:r>
        <w:t xml:space="preserve">, </w:t>
      </w:r>
      <m:oMath>
        <m:r>
          <m:t>𝐮</m:t>
        </m:r>
      </m:oMath>
      <w:r>
        <w:t xml:space="preserve"> = (</w:t>
      </w:r>
      <m:oMath>
        <m:sSub>
          <m:e>
            <m:r>
              <m:t>u</m:t>
            </m:r>
          </m:e>
          <m:sub>
            <m:r>
              <m:t>η</m:t>
            </m:r>
          </m:sub>
        </m:sSub>
      </m:oMath>
      <w:r>
        <w:t xml:space="preserve">, </w:t>
      </w:r>
      <m:oMath>
        <m:sSub>
          <m:e>
            <m:r>
              <m:t>u</m:t>
            </m:r>
          </m:e>
          <m:sub>
            <m:r>
              <m:t>ζ</m:t>
            </m:r>
          </m:sub>
        </m:sSub>
      </m:oMath>
      <w:r>
        <w:t xml:space="preserve">) the laboratory and set random effects with covariance matrices </w:t>
      </w:r>
      <m:oMath>
        <m:sSub>
          <m:e>
            <m:r>
              <m:t>𝐆</m:t>
            </m:r>
          </m:e>
          <m:sub>
            <m:r>
              <m:t>p</m:t>
            </m:r>
          </m:sub>
        </m:sSub>
      </m:oMath>
      <w:r>
        <w:t xml:space="preserve"> and </w:t>
      </w:r>
      <m:oMath>
        <m:sSub>
          <m:e>
            <m:r>
              <m:t>𝐆</m:t>
            </m:r>
          </m:e>
          <m:sub>
            <m:r>
              <m:t>s</m:t>
            </m:r>
          </m:sub>
        </m:sSub>
      </m:oMath>
      <w:r>
        <w:t xml:space="preserve">, and ε the test-to-test deviation with standard deviation </w:t>
      </w:r>
      <m:oMath>
        <m:sSub>
          <m:e>
            <m:r>
              <m:t>σ</m:t>
            </m:r>
          </m:e>
          <m:sub>
            <m:r>
              <m:t>ε</m:t>
            </m:r>
          </m:sub>
        </m:sSub>
      </m:oMath>
      <w:r>
        <w:t xml:space="preserve">; </w:t>
      </w:r>
      <m:oMath>
        <m:sSub>
          <m:e>
            <m:r>
              <m:t>D</m:t>
            </m:r>
          </m:e>
          <m:sub>
            <m:r>
              <m:t>max</m:t>
            </m:r>
          </m:sub>
        </m:sSub>
      </m:oMath>
      <w:r>
        <w:t xml:space="preserve">, missing for 49 sets, was imputed from the gradation or the median. The common asymptote makes between-material differences shrink with stress; the between-set standard deviation of the mean residual of ln τ fell from 0.127 below 1 MPa to 0.096 above 3 MPa. The laboratory effect (equipment, procedure, era, and material selection) is treated as uncertainty of strength. A quadratic log–log form, </w:t>
      </w:r>
      <w:r>
        <w:rPr>
          <w:i/>
        </w:rPr>
        <w:t>y</w:t>
      </w:r>
      <w:r>
        <w:t xml:space="preserve"> = θ + </w:t>
      </w:r>
      <w:r>
        <w:rPr>
          <w:i/>
        </w:rPr>
        <w:t>m</w:t>
      </w:r>
      <w:r>
        <w:t>·</w:t>
      </w:r>
      <w:r>
        <w:rPr>
          <w:i/>
        </w:rPr>
        <w:t>x</w:t>
      </w:r>
      <w:r>
        <w:t xml:space="preserve"> + </w:t>
      </w:r>
      <w:r>
        <w:rPr>
          <w:i/>
        </w:rPr>
        <w:t>c</w:t>
      </w:r>
      <w:r>
        <w:t>₂</w:t>
      </w:r>
      <w:r>
        <w:rPr>
          <w:i/>
        </w:rPr>
        <w:t>x</w:t>
      </w:r>
      <w:r>
        <w:t>², and a power form (</w:t>
      </w:r>
      <w:r>
        <w:rPr>
          <w:i/>
        </w:rPr>
        <w:t>c</w:t>
      </w:r>
      <w:r>
        <w:t xml:space="preserve">₂ = 0), with the same covariates and random effects on θ and </w:t>
      </w:r>
      <w:r>
        <w:rPr>
          <w:i/>
        </w:rPr>
        <w:t>m</w:t>
      </w:r>
      <w:r>
        <w:t>, were fitted for comparison.</w:t>
      </w:r>
    </w:p>
    <w:p>
      <w:pPr>
        <w:ind w:firstLine="720"/>
      </w:pPr>
      <w:r>
        <w:t xml:space="preserve">A test with </w:t>
      </w:r>
      <m:oMath>
        <m:sSub>
          <m:e>
            <m:r>
              <m:t>ε</m:t>
            </m:r>
          </m:e>
          <m:sub>
            <m:r>
              <m:t>a</m:t>
            </m:r>
          </m:sub>
        </m:sSub>
      </m:oMath>
      <w:r>
        <w:t xml:space="preserve"> ≥ 19% contributes to the likelihood the probability that its strength exceeds the measured value, conditional on the uncensored tests of its block, and each set is divided by the probability that its level exceeds </w:t>
      </w:r>
      <m:oMath>
        <m:sSub>
          <m:e>
            <m:r>
              <m:t>η</m:t>
            </m:r>
          </m:e>
          <m:sub>
            <m:r>
              <m:t>t</m:t>
            </m:r>
          </m:sub>
        </m:sSub>
      </m:oMath>
      <w:r>
        <w:t xml:space="preserve"> = ln tan 31°, the truncation of the database. The asymptote is weakly identified, so its profile likelihood was computed from 0° to 36° (Fig. S3), and predictions average over the values within 6 log-likelihood units of the maximum with weights proportional to the likelihood (flat prior in degrees; uniform in tan </w:t>
      </w:r>
      <m:oMath>
        <m:sSubSup>
          <m:e>
            <m:r>
              <m:t>ϕ</m:t>
            </m:r>
          </m:e>
          <m:sub>
            <m:r>
              <m:t>∞</m:t>
            </m:r>
          </m:sub>
          <m:sup>
            <m:r>
              <m:t>′</m:t>
            </m:r>
          </m:sup>
        </m:sSubSup>
      </m:oMath>
      <w:r>
        <w:t xml:space="preserve"> as a sensitivity).</w:t>
      </w:r>
    </w:p>
    <w:p>
      <w:pPr>
        <w:keepNext/>
      </w:pPr>
      <w:r>
        <w:rPr>
          <w:b w:val="0"/>
          <w:i/>
        </w:rPr>
        <w:t>Predictive Distribution and Design Values</w:t>
      </w:r>
    </w:p>
    <w:p>
      <w:pPr>
        <w:ind w:firstLine="720"/>
      </w:pPr>
      <w:r>
        <w:t xml:space="preserve">For a new material of class </w:t>
      </w:r>
      <w:r>
        <w:rPr>
          <w:i/>
        </w:rPr>
        <w:t>c</w:t>
      </w:r>
      <w:r>
        <w:t xml:space="preserve">, void ratio </w:t>
      </w:r>
      <w:r>
        <w:rPr>
          <w:i/>
        </w:rPr>
        <w:t>e</w:t>
      </w:r>
      <w:r>
        <w:t xml:space="preserve">, and size </w:t>
      </w:r>
      <m:oMath>
        <m:sSub>
          <m:e>
            <m:r>
              <m:t>D</m:t>
            </m:r>
          </m:e>
          <m:sub>
            <m:r>
              <m:t>max</m:t>
            </m:r>
          </m:sub>
        </m:sSub>
      </m:oMath>
      <w:r>
        <w:t xml:space="preserve"> tested by a new laboratory, </w:t>
      </w:r>
      <w:r>
        <w:rPr>
          <w:i/>
        </w:rPr>
        <w:t>y</w:t>
      </w:r>
      <w:r>
        <w:t xml:space="preserve"> is approximately normal with mean </w:t>
      </w:r>
      <w:r>
        <w:rPr>
          <w:i/>
        </w:rPr>
        <w:t>f</w:t>
      </w:r>
      <w:r>
        <w:t>(</w:t>
      </w:r>
      <w:r>
        <w:rPr>
          <w:i/>
        </w:rPr>
        <w:t>x</w:t>
      </w:r>
      <w:r>
        <w:t xml:space="preserve">) given by Eq. (3) with </w:t>
      </w:r>
      <m:oMath>
        <m:r>
          <m:t>𝐮</m:t>
        </m:r>
      </m:oMath>
      <w:r>
        <w:t xml:space="preserve"> = 0 and variance</w:t>
      </w:r>
    </w:p>
    <w:p>
      <w:pPr>
        <w:tabs>
          <w:tab w:pos="4680" w:val="center"/>
          <w:tab w:pos="9360" w:val="right"/>
        </w:tabs>
      </w:pPr>
      <w:r>
        <w:tab/>
      </w:r>
      <m:oMath>
        <m:r>
          <m:rPr>
            <m:sty m:val="p"/>
          </m:rPr>
          <m:t>Var</m:t>
        </m:r>
        <m:r>
          <m:t>[y]=</m:t>
        </m:r>
        <m:sSup>
          <m:e>
            <m:r>
              <m:t>𝐳</m:t>
            </m:r>
          </m:e>
          <m:sup>
            <m:r>
              <m:t>T</m:t>
            </m:r>
          </m:sup>
        </m:sSup>
        <m:r>
          <m:t>(</m:t>
        </m:r>
        <m:sSub>
          <m:e>
            <m:r>
              <m:t>𝐆</m:t>
            </m:r>
          </m:e>
          <m:sub>
            <m:r>
              <m:t>p</m:t>
            </m:r>
          </m:sub>
        </m:sSub>
        <m:r>
          <m:t>+</m:t>
        </m:r>
        <m:sSub>
          <m:e>
            <m:r>
              <m:t>𝐆</m:t>
            </m:r>
          </m:e>
          <m:sub>
            <m:r>
              <m:t>s</m:t>
            </m:r>
          </m:sub>
        </m:sSub>
        <m:r>
          <m:t>)𝐳+</m:t>
        </m:r>
        <m:sSup>
          <m:e>
            <m:r>
              <m:t>𝐣</m:t>
            </m:r>
          </m:e>
          <m:sup>
            <m:r>
              <m:t>T</m:t>
            </m:r>
          </m:sup>
        </m:sSup>
        <m:sSub>
          <m:e>
            <m:r>
              <m:t>𝐂</m:t>
            </m:r>
          </m:e>
          <m:sub>
            <m:r>
              <m:t>β</m:t>
            </m:r>
          </m:sub>
        </m:sSub>
        <m:r>
          <m:t>𝐣+</m:t>
        </m:r>
        <m:sSubSup>
          <m:e>
            <m:r>
              <m:t>σ</m:t>
            </m:r>
          </m:e>
          <m:sub>
            <m:r>
              <m:t>ε</m:t>
            </m:r>
          </m:sub>
          <m:sup>
            <m:r>
              <m:t>2</m:t>
            </m:r>
          </m:sup>
        </m:sSubSup>
        <m:r>
          <m:t>(x)</m:t>
        </m:r>
      </m:oMath>
      <w:r>
        <w:tab/>
        <w:t>(6)</w:t>
      </w:r>
    </w:p>
    <w:p>
      <w:r>
        <w:t xml:space="preserve">where </w:t>
      </w:r>
      <m:oMath>
        <m:r>
          <m:t>𝐳</m:t>
        </m:r>
      </m:oMath>
      <w:r>
        <w:t xml:space="preserve"> and </w:t>
      </w:r>
      <m:oMath>
        <m:r>
          <m:t>𝐣</m:t>
        </m:r>
      </m:oMath>
      <w:r>
        <w:t xml:space="preserve"> are the gradients of </w:t>
      </w:r>
      <w:r>
        <w:rPr>
          <w:i/>
        </w:rPr>
        <w:t>f</w:t>
      </w:r>
      <w:r>
        <w:t xml:space="preserve"> with respect to (η, ζ) and to the fixed effects and </w:t>
      </w:r>
      <m:oMath>
        <m:sSub>
          <m:e>
            <m:r>
              <m:t>𝐂</m:t>
            </m:r>
          </m:e>
          <m:sub>
            <m:r>
              <m:t>β</m:t>
            </m:r>
          </m:sub>
        </m:sSub>
      </m:oMath>
      <w:r>
        <w:t xml:space="preserve"> is the covariance of the fixed effects, evaluated at zero random effects (first-order method; Lindstrom and Bates 1990). The first two terms describe the uncertainty of the mean envelope of the material, which does not average out along a failure surface within that material (Christian et al. 1994); the last describes test-to-test scatter, which does (Vanmarcke 1977). Design values are percentiles of the mean envelope; Fig. 1 shows the median and 5th percentile for untested materials at a specimen size of 100 mm.</w:t>
      </w:r>
    </w:p>
    <w:p>
      <w:pPr>
        <w:keepNext/>
      </w:pPr>
      <w:r>
        <w:rPr>
          <w:b w:val="0"/>
          <w:i/>
        </w:rPr>
        <w:t>Updating with Site Tests</w:t>
      </w:r>
    </w:p>
    <w:p>
      <w:pPr>
        <w:ind w:firstLine="720"/>
      </w:pPr>
      <w:r>
        <w:t>Site triaxial tests are reduced with the maximum-deviator criterion of the database and converted to (</w:t>
      </w:r>
      <m:oMath>
        <m:sSubSup>
          <m:e>
            <m:r>
              <m:t>σ</m:t>
            </m:r>
          </m:e>
          <m:sub>
            <m:r>
              <m:t>n</m:t>
            </m:r>
          </m:sub>
          <m:sup>
            <m:r>
              <m:t>′</m:t>
            </m:r>
          </m:sup>
        </m:sSubSup>
      </m:oMath>
      <w:r>
        <w:t>, τ) with Eqs. (13), (14), and (16) of Cylwik et al. (2025). Consistency with the prior is checked with the prior predictive Mahalanobis distance</w:t>
      </w:r>
    </w:p>
    <w:p>
      <w:pPr>
        <w:tabs>
          <w:tab w:pos="4680" w:val="center"/>
          <w:tab w:pos="9360" w:val="right"/>
        </w:tabs>
      </w:pPr>
      <w:r>
        <w:tab/>
      </w:r>
      <m:oMath>
        <m:sSup>
          <m:e>
            <m:r>
              <m:t>D</m:t>
            </m:r>
          </m:e>
          <m:sup>
            <m:r>
              <m:t>2</m:t>
            </m:r>
          </m:sup>
        </m:sSup>
        <m:r>
          <m:t>=</m:t>
        </m:r>
        <m:sSup>
          <m:e>
            <m:r>
              <m:t>𝐫</m:t>
            </m:r>
          </m:e>
          <m:sup>
            <m:r>
              <m:t>T</m:t>
            </m:r>
          </m:sup>
        </m:sSup>
        <m:sSup>
          <m:e>
            <m:r>
              <m:t>𝐕</m:t>
            </m:r>
          </m:e>
          <m:sup>
            <m:r>
              <m:t>−1</m:t>
            </m:r>
          </m:sup>
        </m:sSup>
        <m:r>
          <m:t>𝐫~</m:t>
        </m:r>
        <m:sSubSup>
          <m:e>
            <m:r>
              <m:t>χ</m:t>
            </m:r>
          </m:e>
          <m:sub>
            <m:r>
              <m:t>n</m:t>
            </m:r>
          </m:sub>
          <m:sup>
            <m:r>
              <m:t>2</m:t>
            </m:r>
          </m:sup>
        </m:sSubSup>
        <m:r>
          <m:t>,</m:t>
        </m:r>
        <m:r>
          <m:t>𝐕=𝐙(</m:t>
        </m:r>
        <m:sSub>
          <m:e>
            <m:r>
              <m:t>𝐆</m:t>
            </m:r>
          </m:e>
          <m:sub>
            <m:r>
              <m:t>p</m:t>
            </m:r>
          </m:sub>
        </m:sSub>
        <m:r>
          <m:t>+</m:t>
        </m:r>
        <m:sSub>
          <m:e>
            <m:r>
              <m:t>𝐆</m:t>
            </m:r>
          </m:e>
          <m:sub>
            <m:r>
              <m:t>s</m:t>
            </m:r>
          </m:sub>
        </m:sSub>
        <m:r>
          <m:t>)</m:t>
        </m:r>
        <m:sSup>
          <m:e>
            <m:r>
              <m:t>𝐙</m:t>
            </m:r>
          </m:e>
          <m:sup>
            <m:r>
              <m:t>T</m:t>
            </m:r>
          </m:sup>
        </m:sSup>
        <m:r>
          <m:t>+𝐉</m:t>
        </m:r>
        <m:sSub>
          <m:e>
            <m:r>
              <m:t>𝐂</m:t>
            </m:r>
          </m:e>
          <m:sub>
            <m:r>
              <m:t>β</m:t>
            </m:r>
          </m:sub>
        </m:sSub>
        <m:sSup>
          <m:e>
            <m:r>
              <m:t>𝐉</m:t>
            </m:r>
          </m:e>
          <m:sup>
            <m:r>
              <m:t>T</m:t>
            </m:r>
          </m:sup>
        </m:sSup>
        <m:r>
          <m:t>+𝐒</m:t>
        </m:r>
      </m:oMath>
      <w:r>
        <w:tab/>
        <w:t>(7)</w:t>
      </w:r>
    </w:p>
    <w:p>
      <w:r>
        <w:t xml:space="preserve">where </w:t>
      </w:r>
      <m:oMath>
        <m:r>
          <m:t>𝐫</m:t>
        </m:r>
      </m:oMath>
      <w:r>
        <w:t xml:space="preserve"> holds the residuals </w:t>
      </w:r>
      <m:oMath>
        <m:sSub>
          <m:e>
            <m:r>
              <m:t>r</m:t>
            </m:r>
          </m:e>
          <m:sub>
            <m:r>
              <m:t>i</m:t>
            </m:r>
          </m:sub>
        </m:sSub>
      </m:oMath>
      <w:r>
        <w:t xml:space="preserve"> of the </w:t>
      </w:r>
      <w:r>
        <w:rPr>
          <w:i/>
        </w:rPr>
        <w:t>n</w:t>
      </w:r>
      <w:r>
        <w:t xml:space="preserve"> site tests from the prior mean, </w:t>
      </w:r>
      <m:oMath>
        <m:r>
          <m:t>𝐙</m:t>
        </m:r>
      </m:oMath>
      <w:r>
        <w:t xml:space="preserve"> and </w:t>
      </w:r>
      <m:oMath>
        <m:r>
          <m:t>𝐉</m:t>
        </m:r>
      </m:oMath>
      <w:r>
        <w:t xml:space="preserve"> have rows </w:t>
      </w:r>
      <m:oMath>
        <m:sSubSup>
          <m:e>
            <m:r>
              <m:t>𝐳</m:t>
            </m:r>
          </m:e>
          <m:sub>
            <m:r>
              <m:t>i</m:t>
            </m:r>
          </m:sub>
          <m:sup>
            <m:r>
              <m:t>T</m:t>
            </m:r>
          </m:sup>
        </m:sSubSup>
      </m:oMath>
      <w:r>
        <w:t xml:space="preserve"> and </w:t>
      </w:r>
      <m:oMath>
        <m:sSubSup>
          <m:e>
            <m:r>
              <m:t>𝐣</m:t>
            </m:r>
          </m:e>
          <m:sub>
            <m:r>
              <m:t>i</m:t>
            </m:r>
          </m:sub>
          <m:sup>
            <m:r>
              <m:t>T</m:t>
            </m:r>
          </m:sup>
        </m:sSubSup>
      </m:oMath>
      <w:r>
        <w:t xml:space="preserve">, and </w:t>
      </w:r>
      <m:oMath>
        <m:r>
          <m:t>𝐒=</m:t>
        </m:r>
        <m:r>
          <m:rPr>
            <m:sty m:val="p"/>
          </m:rPr>
          <m:t>diag</m:t>
        </m:r>
        <m:sSubSup>
          <m:e>
            <m:r>
              <m:t>σ</m:t>
            </m:r>
          </m:e>
          <m:sub>
            <m:r>
              <m:t>ε</m:t>
            </m:r>
          </m:sub>
          <m:sup>
            <m:r>
              <m:t>2</m:t>
            </m:r>
          </m:sup>
        </m:sSubSup>
        <m:r>
          <m:t>(</m:t>
        </m:r>
        <m:sSub>
          <m:e>
            <m:r>
              <m:t>x</m:t>
            </m:r>
          </m:e>
          <m:sub>
            <m:r>
              <m:t>i</m:t>
            </m:r>
          </m:sub>
        </m:sSub>
        <m:r>
          <m:t>)</m:t>
        </m:r>
      </m:oMath>
      <w:r>
        <w:t xml:space="preserve">. When several sets of a site are checked, their </w:t>
      </w:r>
      <w:r>
        <w:rPr>
          <w:i/>
        </w:rPr>
        <w:t>p</w:t>
      </w:r>
      <w:r>
        <w:t xml:space="preserve">-values are adjusted with the Holm (1979) procedure. The update treats the residuals as measurements of the level of the envelope at the centroid </w:t>
      </w:r>
      <m:oMath>
        <m:bar>
          <m:barPr>
            <m:pos m:val="top"/>
          </m:barPr>
          <m:e>
            <m:r>
              <m:t>x</m:t>
            </m:r>
          </m:e>
        </m:bar>
      </m:oMath>
      <w:r>
        <w:t xml:space="preserve"> of the tests. With </w:t>
      </w:r>
      <m:oMath>
        <m:r>
          <m:t>𝐯</m:t>
        </m:r>
      </m:oMath>
      <w:r>
        <w:t xml:space="preserve"> the random effects of the material and the deviation of the fixed effects, </w:t>
      </w:r>
      <m:oMath>
        <m:r>
          <m:t>𝐏</m:t>
        </m:r>
      </m:oMath>
      <w:r>
        <w:t xml:space="preserve"> their prior covariance, </w:t>
      </w:r>
      <m:oMath>
        <m:r>
          <m:t>𝐚</m:t>
        </m:r>
      </m:oMath>
      <w:r>
        <w:t xml:space="preserve"> the gradient at </w:t>
      </w:r>
      <m:oMath>
        <m:bar>
          <m:barPr>
            <m:pos m:val="top"/>
          </m:barPr>
          <m:e>
            <m:r>
              <m:t>x</m:t>
            </m:r>
          </m:e>
        </m:bar>
      </m:oMath>
      <w:r>
        <w:t xml:space="preserve">, and </w:t>
      </w:r>
      <m:oMath>
        <m:sSub>
          <m:e>
            <m:r>
              <m:t>g</m:t>
            </m:r>
          </m:e>
          <m:sub>
            <m:r>
              <m:t>0</m:t>
            </m:r>
          </m:sub>
        </m:sSub>
      </m:oMath>
      <w:r>
        <w:t xml:space="preserve"> = </w:t>
      </w:r>
      <m:oMath>
        <m:sSup>
          <m:e>
            <m:r>
              <m:t>𝐚</m:t>
            </m:r>
          </m:e>
          <m:sup>
            <m:r>
              <m:t>T</m:t>
            </m:r>
          </m:sup>
        </m:sSup>
        <m:r>
          <m:t>𝐏𝐚</m:t>
        </m:r>
      </m:oMath>
      <w:r>
        <w:t xml:space="preserve">, the level </w:t>
      </w:r>
      <m:oMath>
        <m:sSub>
          <m:e>
            <m:r>
              <m:t>q</m:t>
            </m:r>
          </m:e>
          <m:sub>
            <m:r>
              <m:t>0</m:t>
            </m:r>
          </m:sub>
        </m:sSub>
      </m:oMath>
      <w:r>
        <w:t xml:space="preserve"> = </w:t>
      </w:r>
      <m:oMath>
        <m:sSup>
          <m:e>
            <m:r>
              <m:t>𝐚</m:t>
            </m:r>
          </m:e>
          <m:sup>
            <m:r>
              <m:t>T</m:t>
            </m:r>
          </m:sup>
        </m:sSup>
        <m:r>
          <m:t>𝐯</m:t>
        </m:r>
      </m:oMath>
      <w:r>
        <w:t xml:space="preserve"> has the posterior</w:t>
      </w:r>
    </w:p>
    <w:p>
      <w:pPr>
        <w:tabs>
          <w:tab w:pos="4680" w:val="center"/>
          <w:tab w:pos="9360" w:val="right"/>
        </w:tabs>
      </w:pPr>
      <w:r>
        <w:tab/>
      </w:r>
      <m:oMath>
        <m:sSub>
          <m:e>
            <m:acc>
              <m:accPr>
                <m:chr m:val="̂"/>
              </m:accPr>
              <m:e>
                <m:r>
                  <m:t>q</m:t>
                </m:r>
              </m:e>
            </m:acc>
          </m:e>
          <m:sub>
            <m:r>
              <m:t>0</m:t>
            </m:r>
          </m:sub>
        </m:sSub>
        <m:r>
          <m:t>=</m:t>
        </m:r>
        <m:f>
          <m:fPr>
            <m:type m:val="bar"/>
          </m:fPr>
          <m:num>
            <m:nary>
              <m:naryPr>
                <m:chr m:val="∑"/>
                <m:limLoc m:val="subSup"/>
                <m:grow m:val="1"/>
                <m:subHide m:val="off"/>
                <m:supHide m:val="on"/>
              </m:naryPr>
              <m:sub>
                <m:r>
                  <m:t>i</m:t>
                </m:r>
              </m:sub>
              <m:sup/>
              <m:e>
                <m:sSub>
                  <m:e>
                    <m:r>
                      <m:t>r</m:t>
                    </m:r>
                  </m:e>
                  <m:sub>
                    <m:r>
                      <m:t>i</m:t>
                    </m:r>
                  </m:sub>
                </m:sSub>
              </m:e>
            </m:nary>
            <m:r>
              <m:t>/</m:t>
            </m:r>
            <m:sSubSup>
              <m:e>
                <m:r>
                  <m:t>σ</m:t>
                </m:r>
              </m:e>
              <m:sub>
                <m:r>
                  <m:t>ε,i</m:t>
                </m:r>
              </m:sub>
              <m:sup>
                <m:r>
                  <m:t>2</m:t>
                </m:r>
              </m:sup>
            </m:sSubSup>
          </m:num>
          <m:den>
            <m:r>
              <m:t>1/</m:t>
            </m:r>
            <m:sSub>
              <m:e>
                <m:r>
                  <m:t>g</m:t>
                </m:r>
              </m:e>
              <m:sub>
                <m:r>
                  <m:t>0</m:t>
                </m:r>
              </m:sub>
            </m:sSub>
            <m:r>
              <m:t>+</m:t>
            </m:r>
            <m:nary>
              <m:naryPr>
                <m:chr m:val="∑"/>
                <m:limLoc m:val="subSup"/>
                <m:grow m:val="1"/>
                <m:subHide m:val="off"/>
                <m:supHide m:val="on"/>
              </m:naryPr>
              <m:sub>
                <m:r>
                  <m:t>i</m:t>
                </m:r>
              </m:sub>
              <m:sup/>
              <m:e>
                <m:r>
                  <m:t>1/</m:t>
                </m:r>
              </m:e>
            </m:nary>
            <m:sSubSup>
              <m:e>
                <m:r>
                  <m:t>σ</m:t>
                </m:r>
              </m:e>
              <m:sub>
                <m:r>
                  <m:t>ε,i</m:t>
                </m:r>
              </m:sub>
              <m:sup>
                <m:r>
                  <m:t>2</m:t>
                </m:r>
              </m:sup>
            </m:sSubSup>
          </m:den>
        </m:f>
        <m:r>
          <m:t>,</m:t>
        </m:r>
        <m:r>
          <m:rPr>
            <m:sty m:val="p"/>
          </m:rPr>
          <m:t>Var</m:t>
        </m:r>
        <m:r>
          <m:t>(</m:t>
        </m:r>
        <m:sSub>
          <m:e>
            <m:r>
              <m:t>q</m:t>
            </m:r>
          </m:e>
          <m:sub>
            <m:r>
              <m:t>0</m:t>
            </m:r>
          </m:sub>
        </m:sSub>
        <m:r>
          <m:t>)=</m:t>
        </m:r>
        <m:sSup>
          <m:e>
            <m:d>
              <m:dPr>
                <m:sepChr m:val="+"/>
              </m:dPr>
              <m:e>
                <m:f>
                  <m:fPr>
                    <m:type m:val="bar"/>
                  </m:fPr>
                  <m:num>
                    <m:r>
                      <m:t>1</m:t>
                    </m:r>
                  </m:num>
                  <m:den>
                    <m:sSub>
                      <m:e>
                        <m:r>
                          <m:t>g</m:t>
                        </m:r>
                      </m:e>
                      <m:sub>
                        <m:r>
                          <m:t>0</m:t>
                        </m:r>
                      </m:sub>
                    </m:sSub>
                  </m:den>
                </m:f>
              </m:e>
              <m:e>
                <m:nary>
                  <m:naryPr>
                    <m:chr m:val="∑"/>
                    <m:limLoc m:val="subSup"/>
                    <m:grow m:val="1"/>
                    <m:subHide m:val="off"/>
                    <m:supHide m:val="on"/>
                  </m:naryPr>
                  <m:sub>
                    <m:r>
                      <m:t>i</m:t>
                    </m:r>
                  </m:sub>
                  <m:sup/>
                  <m:e>
                    <m:f>
                      <m:fPr>
                        <m:type m:val="bar"/>
                      </m:fPr>
                      <m:num>
                        <m:r>
                          <m:t>1</m:t>
                        </m:r>
                      </m:num>
                      <m:den>
                        <m:sSubSup>
                          <m:e>
                            <m:r>
                              <m:t>σ</m:t>
                            </m:r>
                          </m:e>
                          <m:sub>
                            <m:r>
                              <m:t>ε,i</m:t>
                            </m:r>
                          </m:sub>
                          <m:sup>
                            <m:r>
                              <m:t>2</m:t>
                            </m:r>
                          </m:sup>
                        </m:sSubSup>
                      </m:den>
                    </m:f>
                  </m:e>
                </m:nary>
              </m:e>
            </m:d>
          </m:e>
          <m:sup>
            <m:r>
              <m:t>−1</m:t>
            </m:r>
          </m:sup>
        </m:sSup>
      </m:oMath>
      <w:r>
        <w:tab/>
        <w:t>(8)</w:t>
      </w:r>
    </w:p>
    <w:p>
      <w:r>
        <w:t xml:space="preserve">and </w:t>
      </w:r>
      <m:oMath>
        <m:r>
          <m:t>𝐯</m:t>
        </m:r>
      </m:oMath>
      <w:r>
        <w:t xml:space="preserve"> is shifted by </w:t>
      </w:r>
      <m:oMath>
        <m:r>
          <m:t>𝐏</m:t>
        </m:r>
        <m:r>
          <m:t>𝐚</m:t>
        </m:r>
        <m:sSub>
          <m:e>
            <m:acc>
              <m:accPr>
                <m:chr m:val="̂"/>
              </m:accPr>
              <m:e>
                <m:r>
                  <m:t>q</m:t>
                </m:r>
              </m:e>
            </m:acc>
          </m:e>
          <m:sub>
            <m:r>
              <m:t>0</m:t>
            </m:r>
          </m:sub>
        </m:sSub>
        <m:r>
          <m:t>/</m:t>
        </m:r>
        <m:sSub>
          <m:e>
            <m:r>
              <m:t>g</m:t>
            </m:r>
          </m:e>
          <m:sub>
            <m:r>
              <m:t>0</m:t>
            </m:r>
          </m:sub>
        </m:sSub>
      </m:oMath>
      <w:r>
        <w:t xml:space="preserve">. Eq. (8) is a cut update that can be applied in a spreadsheet with the published matrices (worked example in the supplemental materials). A tested sample does not represent a rock type, so a rock type is represented by a new set from the same laboratory: the updated laboratory effect is kept and the set effect is drawn again from </w:t>
      </w:r>
      <m:oMath>
        <m:sSub>
          <m:e>
            <m:r>
              <m:t>𝐆</m:t>
            </m:r>
          </m:e>
          <m:sub>
            <m:r>
              <m:t>s</m:t>
            </m:r>
          </m:sub>
        </m:sSub>
      </m:oMath>
      <w:r>
        <w:t>.</w:t>
      </w:r>
    </w:p>
    <w:p>
      <w:pPr>
        <w:keepNext/>
      </w:pPr>
      <w:r>
        <w:rPr>
          <w:b w:val="0"/>
          <w:i/>
        </w:rPr>
        <w:t>Placement Density and Specimen Size</w:t>
      </w:r>
    </w:p>
    <w:p>
      <w:pPr>
        <w:ind w:firstLine="720"/>
      </w:pPr>
      <w:r>
        <w:t>A change of void ratio Δ</w:t>
      </w:r>
      <w:r>
        <w:rPr>
          <w:i/>
        </w:rPr>
        <w:t>e</w:t>
      </w:r>
      <w:r>
        <w:t xml:space="preserve"> from the specimens to the placed material enters through η, so its effect fades with stress; because </w:t>
      </w:r>
      <m:oMath>
        <m:sSub>
          <m:e>
            <m:r>
              <m:t>β</m:t>
            </m:r>
          </m:e>
          <m:sub>
            <m:r>
              <m:t>e</m:t>
            </m:r>
          </m:sub>
        </m:sSub>
      </m:oMath>
      <w:r>
        <w:t xml:space="preserve"> was estimated between sets, applying it to a change of state of one material is an assumption. The between-set coefficient κ mixes size with gradation and source, so the change of size from the specimens to the field enters as a separate shift of level</w:t>
      </w:r>
    </w:p>
    <w:p>
      <w:pPr>
        <w:tabs>
          <w:tab w:pos="4680" w:val="center"/>
          <w:tab w:pos="9360" w:val="right"/>
        </w:tabs>
      </w:pPr>
      <w:r>
        <w:tab/>
      </w:r>
      <m:oMath>
        <m:r>
          <m:t>Δy=</m:t>
        </m:r>
        <m:sSub>
          <m:e>
            <m:r>
              <m:t>β</m:t>
            </m:r>
          </m:e>
          <m:sub>
            <m:r>
              <m:t>D</m:t>
            </m:r>
          </m:sub>
        </m:sSub>
        <m:r>
          <m:rPr>
            <m:sty m:val="p"/>
          </m:rPr>
          <m:t>ln</m:t>
        </m:r>
        <m:d>
          <m:dPr>
            <m:sepChr m:val="/"/>
          </m:dPr>
          <m:e>
            <m:sSub>
              <m:e>
                <m:r>
                  <m:t>D</m:t>
                </m:r>
              </m:e>
              <m:sub>
                <m:r>
                  <m:t>f</m:t>
                </m:r>
              </m:sub>
            </m:sSub>
          </m:e>
          <m:e>
            <m:sSub>
              <m:e>
                <m:r>
                  <m:t>D</m:t>
                </m:r>
              </m:e>
              <m:sub>
                <m:r>
                  <m:t>l</m:t>
                </m:r>
              </m:sub>
            </m:sSub>
          </m:e>
        </m:d>
      </m:oMath>
      <w:r>
        <w:tab/>
        <w:t>(9)</w:t>
      </w:r>
    </w:p>
    <w:p>
      <w:r>
        <w:t xml:space="preserve">where </w:t>
      </w:r>
      <m:oMath>
        <m:sSub>
          <m:e>
            <m:r>
              <m:t>D</m:t>
            </m:r>
          </m:e>
          <m:sub>
            <m:r>
              <m:t>f</m:t>
            </m:r>
          </m:sub>
        </m:sSub>
      </m:oMath>
      <w:r>
        <w:t xml:space="preserve"> and </w:t>
      </w:r>
      <m:oMath>
        <m:sSub>
          <m:e>
            <m:r>
              <m:t>D</m:t>
            </m:r>
          </m:e>
          <m:sub>
            <m:r>
              <m:t>l</m:t>
            </m:r>
          </m:sub>
        </m:sSub>
      </m:oMath>
      <w:r>
        <w:t xml:space="preserve"> are the maximum particle sizes in the field and in the laboratory and </w:t>
      </w:r>
      <m:oMath>
        <m:sSub>
          <m:e>
            <m:r>
              <m:t>β</m:t>
            </m:r>
          </m:e>
          <m:sub>
            <m:r>
              <m:t>D</m:t>
            </m:r>
          </m:sub>
        </m:sSub>
      </m:oMath>
      <w:r>
        <w:t xml:space="preserve"> is the within-material size coefficient estimated below; Weibull scaling of homothetic gradations predicts </w:t>
      </w:r>
      <m:oMath>
        <m:sSub>
          <m:e>
            <m:r>
              <m:t>β</m:t>
            </m:r>
          </m:e>
          <m:sub>
            <m:r>
              <m:t>D</m:t>
            </m:r>
          </m:sub>
        </m:sSub>
      </m:oMath>
      <w:r>
        <w:t xml:space="preserve"> &lt; 0 (Frossard et al. 2012; Ovalle et al. 2014; Alonso et al. 2012), and the trend depends on the scaling technique (Ovalle and Dano 2020; Girumugisha et al. 2026).</w:t>
      </w:r>
    </w:p>
    <w:p>
      <w:pPr>
        <w:keepNext/>
      </w:pPr>
      <w:r>
        <w:rPr>
          <w:b/>
          <w:i w:val="0"/>
        </w:rPr>
        <w:t>Estimation and Out-of-Sample Evaluation</w:t>
      </w:r>
    </w:p>
    <w:p>
      <w:pPr>
        <w:ind w:firstLine="720"/>
      </w:pPr>
      <w:r>
        <w:t>Fixed effects were estimated by Gauss–Newton iteration on the linearized mean, with restricted maximum likelihood for the variance parameters and expectation–maximization steps for the censored tests. Variance parameters were sampled with an adaptive Metropolis algorithm under weakly informative priors (half-normal with scale 0.25 on standard deviations), with four chains, conditionally on the fixed effects (an empirical Bayes scheme); convergence was checked as in Vehtari et al. (2021). The bounded and quadratic means were also fitted with each other's covariance structure, and the bounded model with the Laplace approximation (Pinheiro and Bates 2000), on the uncensored likelihood.</w:t>
      </w:r>
    </w:p>
    <w:p>
      <w:pPr>
        <w:ind w:firstLine="720"/>
      </w:pPr>
      <w:r>
        <w:t>Each laboratory was left out in turn (23 folds), with (</w:t>
      </w:r>
      <m:oMath>
        <m:sSubSup>
          <m:e>
            <m:r>
              <m:t>ϕ</m:t>
            </m:r>
          </m:e>
          <m:sub>
            <m:r>
              <m:t>∞</m:t>
            </m:r>
          </m:sub>
          <m:sup>
            <m:r>
              <m:t>′</m:t>
            </m:r>
          </m:sup>
        </m:sSubSup>
      </m:oMath>
      <w:r>
        <w:t xml:space="preserve">, </w:t>
      </w:r>
      <m:oMath>
        <m:sSub>
          <m:e>
            <m:r>
              <m:t>ζ</m:t>
            </m:r>
          </m:e>
          <m:sub>
            <m:r>
              <m:t>0</m:t>
            </m:r>
          </m:sub>
        </m:sSub>
      </m:oMath>
      <w:r>
        <w:t>) selected on the training data on a grid (18–32°, 0.20–0.50). In Mode A every held-out test was predicted with the bounded, quadratic, and power forms and with the Leps 2.0 envelope (</w:t>
      </w:r>
      <w:r>
        <w:rPr>
          <w:i/>
        </w:rPr>
        <w:t>m</w:t>
      </w:r>
      <w:r>
        <w:t xml:space="preserve"> = 0.9, constants fitted to the whole database, which favors it) with a constant or a hierarchical dispersion; censored tests were scored with bounds. In Mode B each held-out set with at least two tests at </w:t>
      </w:r>
      <m:oMath>
        <m:sSubSup>
          <m:e>
            <m:r>
              <m:t>σ</m:t>
            </m:r>
          </m:e>
          <m:sub>
            <m:r>
              <m:t>n</m:t>
            </m:r>
          </m:sub>
          <m:sup>
            <m:r>
              <m:t>′</m:t>
            </m:r>
          </m:sup>
        </m:sSubSup>
      </m:oMath>
      <w:r>
        <w:t xml:space="preserve"> ≤ 1.5 MPa and one at </w:t>
      </w:r>
      <m:oMath>
        <m:sSubSup>
          <m:e>
            <m:r>
              <m:t>σ</m:t>
            </m:r>
          </m:e>
          <m:sub>
            <m:r>
              <m:t>n</m:t>
            </m:r>
          </m:sub>
          <m:sup>
            <m:r>
              <m:t>′</m:t>
            </m:r>
          </m:sup>
        </m:sSubSup>
      </m:oMath>
      <w:r>
        <w:t xml:space="preserve"> ≥ 2 MPa was updated with the former to predict the latter (Table S1). Scores were the 80% coverage, the fractions below the 5th and 10th percentiles, and the continuous ranked probability score (CRPS) of ln τ (Gneiting and Raftery 2007); laboratory means were compared with exact sign-flip tests, unweighted and weighted, with Holm (1979) adjustment. The folds used plug-in predictive distributions, which differed from those of the implementation by at most 0.009 in median ln τ and 11% in standard deviation.</w:t>
      </w:r>
    </w:p>
    <w:p>
      <w:pPr>
        <w:keepNext/>
      </w:pPr>
      <w:r>
        <w:rPr>
          <w:b/>
          <w:i w:val="0"/>
        </w:rPr>
        <w:t>Results</w:t>
      </w:r>
    </w:p>
    <w:p>
      <w:pPr>
        <w:keepNext/>
      </w:pPr>
      <w:r>
        <w:rPr>
          <w:b w:val="0"/>
          <w:i/>
        </w:rPr>
        <w:t>Parameters and Evidence for Stress-Decaying Curvature</w:t>
      </w:r>
    </w:p>
    <w:p>
      <w:pPr>
        <w:ind w:firstLine="720"/>
      </w:pPr>
      <w:r>
        <w:t xml:space="preserve">Table 1 lists the parameters. The potential scale reduction factor was at most 1.009 and the effective sample sizes at least 910; the between-laboratory standard deviation of η was 0.074–0.078 for prior scales of 0.1–0.5. Laboratory effects account for 48% (90% credible interval 33%–63%) of the between-material variance of η at </w:t>
      </w:r>
      <m:oMath>
        <m:sSub>
          <m:e>
            <m:r>
              <m:t>σ</m:t>
            </m:r>
          </m:e>
          <m:sub>
            <m:r>
              <m:t>0</m:t>
            </m:r>
          </m:sub>
        </m:sSub>
      </m:oMath>
      <w:r>
        <w:t>. The size coefficient κ = 0.022 (standard error 0.009) is positive: between sets, coarser materials were slightly stronger, a mixture of size, gradation, and source. The decay rate was 0.43, 0.36, and 0.33 for good, moderate, and low rock quality, so weaker rock loses less of its dilatant strength per unit of log stress.</w:t>
      </w:r>
    </w:p>
    <w:p>
      <w:pPr>
        <w:ind w:firstLine="720"/>
      </w:pPr>
      <w:r>
        <w:t xml:space="preserve">The profile likelihood peaked at </w:t>
      </w:r>
      <m:oMath>
        <m:sSubSup>
          <m:e>
            <m:r>
              <m:t>ϕ</m:t>
            </m:r>
          </m:e>
          <m:sub>
            <m:r>
              <m:t>∞</m:t>
            </m:r>
          </m:sub>
          <m:sup>
            <m:r>
              <m:t>′</m:t>
            </m:r>
          </m:sup>
        </m:sSubSup>
      </m:oMath>
      <w:r>
        <w:t xml:space="preserve"> = 29° (likelihood-ratio 95% interval 25–31°; Fig. S3); the weighted mean over the ridge was 28.1° (28.2° with a prior uniform in tan </w:t>
      </w:r>
      <m:oMath>
        <m:sSubSup>
          <m:e>
            <m:r>
              <m:t>ϕ</m:t>
            </m:r>
          </m:e>
          <m:sub>
            <m:r>
              <m:t>∞</m:t>
            </m:r>
          </m:sub>
          <m:sup>
            <m:r>
              <m:t>′</m:t>
            </m:r>
          </m:sup>
        </m:sSubSup>
      </m:oMath>
      <w:r>
        <w:t xml:space="preserve">) with </w:t>
      </w:r>
      <m:oMath>
        <m:sSub>
          <m:e>
            <m:r>
              <m:t>ζ</m:t>
            </m:r>
          </m:e>
          <m:sub>
            <m:r>
              <m:t>0</m:t>
            </m:r>
          </m:sub>
        </m:sSub>
      </m:oMath>
      <w:r>
        <w:t xml:space="preserve"> = 0.41. The power form (</w:t>
      </w:r>
      <m:oMath>
        <m:sSubSup>
          <m:e>
            <m:r>
              <m:t>ϕ</m:t>
            </m:r>
          </m:e>
          <m:sub>
            <m:r>
              <m:t>∞</m:t>
            </m:r>
          </m:sub>
          <m:sup>
            <m:r>
              <m:t>′</m:t>
            </m:r>
          </m:sup>
        </m:sSubSup>
      </m:oMath>
      <w:r>
        <w:t xml:space="preserve"> = 0) was 17 units lower, but under the first-order approximation, which on the uncensored data overstated the likelihood of the bounded model by 1.8–3.9 units near the maximum and by 10 at 28° (Table S3); under the Laplace approximation the maximum moved to about 22°, within the ridge. With the covariance structures crossed, the bounded mean exceeded the plain quadratic mean by 13 units but a quadratic with class-specific curvature and the same number of parameters by only 3.9, and one publication contributed 7 of the 16 units separating the bounded and plain quadratic models. Out of sample by publication, the joint log score of the bounded model was 6 units higher than that of the best quadratic. The evidence for the bounded form is therefore moderate; its justification is a bounded extrapolation consistent with the suppression of dilatancy rather than a better fit.</w:t>
      </w:r>
    </w:p>
    <w:p>
      <w:pPr>
        <w:keepNext/>
      </w:pPr>
      <w:r>
        <w:rPr>
          <w:b w:val="0"/>
          <w:i/>
        </w:rPr>
        <w:t>Mode A: No Site Tests</w:t>
      </w:r>
    </w:p>
    <w:p>
      <w:pPr>
        <w:ind w:firstLine="720"/>
      </w:pPr>
      <w:r>
        <w:t>Across all 686 uncensored held-out tests (Table 2, Fig. 2a), the CRPS ranged from 0.0693 (Leps 2.0, constant dispersion) to 0.0773 (Leps 2.0, hierarchical dispersion), with 0.0731 for the bounded form, and no difference was significant after adjustment. Below 0.5 MPa the constant-dispersion interval covered 71% of tests, with the median biased low (mean standardized residual +0.61), whereas the bounded form covered 87%.</w:t>
      </w:r>
    </w:p>
    <w:p>
      <w:pPr>
        <w:ind w:firstLine="720"/>
      </w:pPr>
      <w:r>
        <w:t xml:space="preserve">At </w:t>
      </w:r>
      <m:oMath>
        <m:sSubSup>
          <m:e>
            <m:r>
              <m:t>σ</m:t>
            </m:r>
          </m:e>
          <m:sub>
            <m:r>
              <m:t>n</m:t>
            </m:r>
          </m:sub>
          <m:sup>
            <m:r>
              <m:t>′</m:t>
            </m:r>
          </m:sup>
        </m:sSubSup>
      </m:oMath>
      <w:r>
        <w:t xml:space="preserve"> ≥ 2 MPa (118 uncensored tests, 8 laboratories) the bounded form was nearly unbiased (mean standardized residual −0.05, against +0.17 for the quadratic form and −0.26 for Leps 2.0), but its intervals were too narrow (standard deviation of standardized residuals 1.14) and its CRPS higher. Including the 28 censored tests through their bounds, 6.8%–7.5% of the tests fell below the bounded 5th percentile, against 4.1% for the quadratic form (Table S4); with tests weighted, the lower quantile losses favored the hierarchical Leps 2.0 envelope (Holm-adjusted </w:t>
      </w:r>
      <w:r>
        <w:rPr>
          <w:i/>
        </w:rPr>
        <w:t>p</w:t>
      </w:r>
      <w:r>
        <w:t xml:space="preserve"> = 1.00). The lower tail of the bounded form is thus slightly optimistic above 2 MPa. At the set level, 5.5% of 217 held-out set means fell below the 5th percentile of the mean envelope. The conflict check gave </w:t>
      </w:r>
      <w:r>
        <w:rPr>
          <w:i/>
        </w:rPr>
        <w:t>p</w:t>
      </w:r>
      <w:r>
        <w:t xml:space="preserve"> &lt; 0.05 for 10.6% of the sets, more often than its nominal 5%.</w:t>
      </w:r>
    </w:p>
    <w:p>
      <w:pPr>
        <w:keepNext/>
      </w:pPr>
      <w:r>
        <w:rPr>
          <w:b w:val="0"/>
          <w:i/>
        </w:rPr>
        <w:t>Mode B: Site Tests at Low Stress</w:t>
      </w:r>
    </w:p>
    <w:p>
      <w:pPr>
        <w:ind w:firstLine="720"/>
      </w:pPr>
      <w:r>
        <w:t>Mode B comprised 50 tests on 39 sets from 6 laboratories (Table 2, Fig. 2b). With the level update of each set, 80% of the tests fell within the 80% interval, but 14% fell below the 5th percentile and the median was biased high (mean standardized residual −0.56). The bias came mostly from one laboratory (22 tests, mean standardized residual −1.04), whose materials curved more than the population between the update range and 2 MPa; without it, 7% of the remaining tests fell below the 5th percentile, against 4% with the prior alone. Using the lower of the updated and prior percentiles, as in the design procedure, gave 4% below the 5th and 12% below the 10th percentile. No difference between procedures was significant after adjustment (Table S1).</w:t>
      </w:r>
    </w:p>
    <w:p>
      <w:pPr>
        <w:keepNext/>
      </w:pPr>
      <w:r>
        <w:rPr>
          <w:b w:val="0"/>
          <w:i/>
        </w:rPr>
        <w:t>Specimen Size</w:t>
      </w:r>
    </w:p>
    <w:p>
      <w:pPr>
        <w:ind w:firstLine="720"/>
      </w:pPr>
      <w:r>
        <w:t xml:space="preserve">Sixteen materials from 7 laboratories were tested at maximum particle sizes differing by a factor of 2.5–13. With set intercepts adjusted for void ratio and materials combined within laboratories, the random-effects mean of </w:t>
      </w:r>
      <m:oMath>
        <m:sSub>
          <m:e>
            <m:r>
              <m:t>β</m:t>
            </m:r>
          </m:e>
          <m:sub>
            <m:r>
              <m:t>D</m:t>
            </m:r>
          </m:sub>
        </m:sSub>
      </m:oMath>
      <w:r>
        <w:t xml:space="preserve"> was +0.029 (Knapp–Hartung 95% CI −0.034 to +0.093; Knapp and Hartung 2003) with a between-laboratory standard deviation </w:t>
      </w:r>
      <m:oMath>
        <m:sSub>
          <m:e>
            <m:r>
              <m:t>τ</m:t>
            </m:r>
          </m:e>
          <m:sub>
            <m:r>
              <m:t>D</m:t>
            </m:r>
          </m:sub>
        </m:sSub>
      </m:oMath>
      <w:r>
        <w:t xml:space="preserve"> = 0.066 (Q-profile 95% CI 0.040–0.144; Viechtbauer 2007) and a 95% prediction interval for a new laboratory of −0.15 to +0.21 (Higgins et al. 2009; Fig. S4); grouped by publication the mean was +0.045 (+0.002 to +0.087), and no interaction with stress was detected. The database mixes scalped and parallel gradations and rounded and angular particles, with opposite reported trends (Varadarajan et al. 2003; Ovalle and Dano 2020). For design, HiBER uses a zero mean with </w:t>
      </w:r>
      <m:oMath>
        <m:sSub>
          <m:e>
            <m:r>
              <m:t>τ</m:t>
            </m:r>
          </m:e>
          <m:sub>
            <m:r>
              <m:t>D</m:t>
            </m:r>
          </m:sub>
        </m:sSub>
      </m:oMath>
      <w:r>
        <w:t xml:space="preserve"> and the standard error of the mean as uncertainty (effective standard deviation 0.071 per unit ln(</w:t>
      </w:r>
      <m:oMath>
        <m:sSub>
          <m:e>
            <m:r>
              <m:t>D</m:t>
            </m:r>
          </m:e>
          <m:sub>
            <m:r>
              <m:t>f</m:t>
            </m:r>
          </m:sub>
        </m:sSub>
      </m:oMath>
      <w:r>
        <w:t>/</w:t>
      </w:r>
      <m:oMath>
        <m:sSub>
          <m:e>
            <m:r>
              <m:t>D</m:t>
            </m:r>
          </m:e>
          <m:sub>
            <m:r>
              <m:t>l</m:t>
            </m:r>
          </m:sub>
        </m:sSub>
      </m:oMath>
      <w:r>
        <w:t xml:space="preserve">)); </w:t>
      </w:r>
      <m:oMath>
        <m:sSub>
          <m:e>
            <m:r>
              <m:t>β</m:t>
            </m:r>
          </m:e>
          <m:sub>
            <m:r>
              <m:t>D</m:t>
            </m:r>
          </m:sub>
        </m:sSub>
      </m:oMath>
      <w:r>
        <w:t xml:space="preserve"> = −0.05 (Weibull) is a sensitivity.</w:t>
      </w:r>
    </w:p>
    <w:p>
      <w:pPr>
        <w:keepNext/>
      </w:pPr>
      <w:r>
        <w:rPr>
          <w:b w:val="0"/>
          <w:i/>
        </w:rPr>
        <w:t>Sources of Uncertainty at Field Scale</w:t>
      </w:r>
    </w:p>
    <w:p>
      <w:pPr>
        <w:ind w:firstLine="720"/>
      </w:pPr>
      <w:r>
        <w:t xml:space="preserve">For an untested material of low rock quality placed at </w:t>
      </w:r>
      <w:r>
        <w:rPr>
          <w:i/>
        </w:rPr>
        <w:t>e</w:t>
      </w:r>
      <w:r>
        <w:t xml:space="preserve"> = 0.65 and scaled from 100 mm to 1 m particles, the standard deviation of the mean-envelope ln τ at 3 MPa corresponds to about 5.0° in </w:t>
      </w:r>
      <m:oMath>
        <m:sSubSup>
          <m:e>
            <m:r>
              <m:t>ϕ</m:t>
            </m:r>
          </m:e>
          <m:sub>
            <m:r>
              <m:t>s</m:t>
            </m:r>
          </m:sub>
          <m:sup>
            <m:r>
              <m:t>′</m:t>
            </m:r>
          </m:sup>
        </m:sSubSup>
      </m:oMath>
      <w:r>
        <w:t>. Specimen size contributed 68%, 76%, and 81% of the variance at 1, 3, and 10 MPa (63% at 3 MPa from 178 mm specimens), between-set variability 13%, laboratory 10%, and the fixed effects and the ridge of (</w:t>
      </w:r>
      <m:oMath>
        <m:sSubSup>
          <m:e>
            <m:r>
              <m:t>ϕ</m:t>
            </m:r>
          </m:e>
          <m:sub>
            <m:r>
              <m:t>∞</m:t>
            </m:r>
          </m:sub>
          <m:sup>
            <m:r>
              <m:t>′</m:t>
            </m:r>
          </m:sup>
        </m:sSubSup>
      </m:oMath>
      <w:r>
        <w:t xml:space="preserve">, </w:t>
      </w:r>
      <m:oMath>
        <m:sSub>
          <m:e>
            <m:r>
              <m:t>ζ</m:t>
            </m:r>
          </m:e>
          <m:sub>
            <m:r>
              <m:t>0</m:t>
            </m:r>
          </m:sub>
        </m:sSub>
      </m:oMath>
      <w:r>
        <w:t>) 2% (Fig. S5). Because κ now carries the between-set size effect, the between-set variance no longer absorbs it and the size term is not counted twice. The size shift is a level term, so at field scale it does not decrease with stress.</w:t>
      </w:r>
    </w:p>
    <w:p>
      <w:pPr>
        <w:keepNext/>
      </w:pPr>
      <w:r>
        <w:rPr>
          <w:b w:val="0"/>
          <w:i/>
        </w:rPr>
        <w:t>Design Values</w:t>
      </w:r>
    </w:p>
    <w:p>
      <w:pPr>
        <w:ind w:firstLine="720"/>
      </w:pPr>
      <w:r>
        <w:t xml:space="preserve">Table 3 gives the median and 5th percentile of the mean envelope of untested materials at a specimen size of 100 mm and the 5th percentile at a field size of 1 m, by rock quality and void ratio. The validity domain is drained, global mechanisms with </w:t>
      </w:r>
      <m:oMath>
        <m:sSubSup>
          <m:e>
            <m:r>
              <m:t>σ</m:t>
            </m:r>
          </m:e>
          <m:sub>
            <m:r>
              <m:t>n</m:t>
            </m:r>
          </m:sub>
          <m:sup>
            <m:r>
              <m:t>′</m:t>
            </m:r>
          </m:sup>
        </m:sSubSup>
      </m:oMath>
      <w:r>
        <w:t xml:space="preserve"> ≤ 8 MPa and, above 3 MPa, </w:t>
      </w:r>
      <w:r>
        <w:rPr>
          <w:i/>
        </w:rPr>
        <w:t>e</w:t>
      </w:r>
      <w:r>
        <w:t xml:space="preserve"> ≤ 0.55, the range of the calibration tests; the values do not represent degradable, argillaceous, or fines-rich waste, and because the database is truncated at </w:t>
      </w:r>
      <m:oMath>
        <m:sSubSup>
          <m:e>
            <m:r>
              <m:t>ϕ</m:t>
            </m:r>
          </m:e>
          <m:sub>
            <m:r>
              <m:t>1</m:t>
            </m:r>
          </m:sub>
          <m:sup>
            <m:r>
              <m:t>′</m:t>
            </m:r>
          </m:sup>
        </m:sSubSup>
      </m:oMath>
      <w:r>
        <w:t xml:space="preserve"> = 31°, 5th percentiles below about 33° rest on the model of the tail.</w:t>
      </w:r>
    </w:p>
    <w:p>
      <w:pPr>
        <w:keepNext/>
      </w:pPr>
      <w:r>
        <w:rPr>
          <w:b/>
          <w:i w:val="0"/>
        </w:rPr>
        <w:t>Application: Waste Rock from a Large Open-Pit Mine</w:t>
      </w:r>
    </w:p>
    <w:p>
      <w:pPr>
        <w:keepNext/>
      </w:pPr>
      <w:r>
        <w:rPr>
          <w:b w:val="0"/>
          <w:i/>
        </w:rPr>
        <w:t>Site Data and Conflict Check</w:t>
      </w:r>
    </w:p>
    <w:p>
      <w:pPr>
        <w:ind w:firstLine="720"/>
      </w:pPr>
      <w:r>
        <w:t xml:space="preserve">The waste rock of a large open-pit mine comprises five rock types, A to E. Drained triaxial tests on large specimens of scalped gradation by one laboratory were available for A, B, and C (5 sets of three to five tests); D and E were untested, and E is prone to degradation. Rock quality was taken as low for A, C, D, and E and moderate for B; illustrative mass fractions of 35%, 25%, 20%, 10%, and 10% were used. For rock type A the conflict check gave </w:t>
      </w:r>
      <w:r>
        <w:rPr>
          <w:i/>
        </w:rPr>
        <w:t>p</w:t>
      </w:r>
      <w:r>
        <w:t xml:space="preserve"> = 0.26 with the low class and 0.027 with the good class; the class is assigned from the rock description and only checked with the tests. After Holm adjustment over the five sets, the check flagged both sets of B (adjusted </w:t>
      </w:r>
      <w:r>
        <w:rPr>
          <w:i/>
        </w:rPr>
        <w:t>p</w:t>
      </w:r>
      <w:r>
        <w:t xml:space="preserve"> ≤ 0.0005; Fig. 3a), which were stronger than the prior (mean residuals +0.15 and +0.19 in ln τ); their secant angle increased with stress, also with the deviator taken at 10% or 15% strain. Being stronger, they were excluded; the remaining 3 sets were updated jointly with a common laboratory effect, and each rock type is represented by a new set from that laboratory.</w:t>
      </w:r>
    </w:p>
    <w:p>
      <w:pPr>
        <w:keepNext/>
      </w:pPr>
      <w:r>
        <w:rPr>
          <w:b w:val="0"/>
          <w:i/>
        </w:rPr>
        <w:t>Placement Density, Specimen Size, and Dump-Average Envelope</w:t>
      </w:r>
    </w:p>
    <w:p>
      <w:pPr>
        <w:ind w:firstLine="720"/>
      </w:pPr>
      <w:r>
        <w:t xml:space="preserve">Laboratory specimens had void ratios of 0.31–0.42 and maximum particle sizes of 102–178 mm; a placement void ratio of 0.65 and a field size of 1 m were adopted for end-dumped waste rock (0.80 for the degradable E). The dump-average envelope weights the rock types by mass, which assumes mixing along the failure surface; the weakest-rock-type case bounds segregation. At </w:t>
      </w:r>
      <m:oMath>
        <m:sSubSup>
          <m:e>
            <m:r>
              <m:t>σ</m:t>
            </m:r>
          </m:e>
          <m:sub>
            <m:r>
              <m:t>n</m:t>
            </m:r>
          </m:sub>
          <m:sup>
            <m:r>
              <m:t>′</m:t>
            </m:r>
          </m:sup>
        </m:sSubSup>
      </m:oMath>
      <w:r>
        <w:t xml:space="preserve"> = 1 MPa the median and 5th percentile of the dump-average </w:t>
      </w:r>
      <m:oMath>
        <m:sSubSup>
          <m:e>
            <m:r>
              <m:t>ϕ</m:t>
            </m:r>
          </m:e>
          <m:sub>
            <m:r>
              <m:t>s</m:t>
            </m:r>
          </m:sub>
          <m:sup>
            <m:r>
              <m:t>′</m:t>
            </m:r>
          </m:sup>
        </m:sSubSup>
      </m:oMath>
      <w:r>
        <w:t xml:space="preserve"> were 42.0° and 39.3° at laboratory density and size, 37.4° and 34.7° at placement density without size shift, and 37.4° and 31.3° with both (Table S2; Fig. 3b). The 5th percentile was 31.2° with the tested samples taken as representative, 31.5° with an independent laboratory effect for D and E, 33.7° with independent size shifts per rock type, and 29.0° with Weibull scaling; a surface confined to E lowered it by 2.9°.</w:t>
      </w:r>
    </w:p>
    <w:p>
      <w:pPr>
        <w:keepNext/>
      </w:pPr>
      <w:r>
        <w:rPr>
          <w:b w:val="0"/>
          <w:i/>
        </w:rPr>
        <w:t>Stability of a High Dump on a Competent Foundation</w:t>
      </w:r>
    </w:p>
    <w:p>
      <w:pPr>
        <w:ind w:firstLine="720"/>
      </w:pPr>
      <w:r>
        <w:t>Dumps 150–700 m high with an overall slope of 2H:1V on a competent, drained, level rock foundation (</w:t>
      </w:r>
      <w:r>
        <w:rPr>
          <w:i/>
        </w:rPr>
        <w:t>c</w:t>
      </w:r>
      <w:r>
        <w:t xml:space="preserve">′ = 1 MPa, φ′ = 40°) were analyzed in Slide2 (Rocscience </w:t>
      </w:r>
      <w:r>
        <w:rPr>
          <w:highlight w:val="yellow"/>
        </w:rPr>
        <w:t>year</w:t>
      </w:r>
      <w:r>
        <w:t xml:space="preserve">) with the Morgenstern and Price (1965) method (half-sine interslice function) and a noncircular search by simulated annealing, with the envelopes tabulated from 0.05 to 8 MPa (Table S6). The section is a uniform dry face without benches (unit weight 17.2 kN/m³ at </w:t>
      </w:r>
      <w:r>
        <w:rPr>
          <w:i/>
        </w:rPr>
        <w:t>e</w:t>
      </w:r>
      <w:r>
        <w:t xml:space="preserve"> = 0.65). The critical surfaces ran from the toe to the crest, 128 m deep at 700 m, and mobilized </w:t>
      </w:r>
      <m:oMath>
        <m:sSubSup>
          <m:e>
            <m:r>
              <m:t>σ</m:t>
            </m:r>
          </m:e>
          <m:sub>
            <m:r>
              <m:t>n</m:t>
            </m:r>
          </m:sub>
          <m:sup>
            <m:r>
              <m:t>′</m:t>
            </m:r>
          </m:sup>
        </m:sSubSup>
      </m:oMath>
      <w:r>
        <w:t xml:space="preserve"> averaging 1.3 MPa and at most 1.8 MPa (γ·h·cos²α). For 700 m, the factor of safety was 1.54 with the median and 1.22 with the 5th-percentile dump-average envelope, and 1.74 and 1.59 at laboratory density and size; the quadratic form gave 1.19 with the 5th percentile, and a circular search gave 1.226 against 1.223. Analyzing 600 envelope samples, each with its own search, the model correlation gave 0 failures (one-sided 95% upper bound of the probability of failure 0.5%; Clopper and Pearson 1934), and a surface confined to E gave 5 of 600 (lognormal reliability index 2.3). Because ln FS was linear in ln τ at σ′rep = 1.4 MPa (correlation 0.9998), the probability of failure was also computed from all envelope samples: </w:t>
      </w:r>
      <m:oMath>
        <m:r>
          <m:t>1.1×</m:t>
        </m:r>
        <m:sSup>
          <m:e>
            <m:r>
              <m:t>10</m:t>
            </m:r>
          </m:e>
          <m:sup>
            <m:r>
              <m:t>−3</m:t>
            </m:r>
          </m:sup>
        </m:sSup>
      </m:oMath>
      <w:r>
        <w:t xml:space="preserve"> (reliability index 3.1) at </w:t>
      </w:r>
      <m:oMath>
        <m:sSub>
          <m:e>
            <m:r>
              <m:t>τ</m:t>
            </m:r>
          </m:e>
          <m:sub>
            <m:r>
              <m:t>D</m:t>
            </m:r>
          </m:sub>
        </m:sSub>
      </m:oMath>
      <w:r>
        <w:t xml:space="preserve"> = 0.066, </w:t>
      </w:r>
      <m:oMath>
        <m:r>
          <m:t>4.6×</m:t>
        </m:r>
        <m:sSup>
          <m:e>
            <m:r>
              <m:t>10</m:t>
            </m:r>
          </m:e>
          <m:sup>
            <m:r>
              <m:t>−3</m:t>
            </m:r>
          </m:sup>
        </m:sSup>
      </m:oMath>
      <w:r>
        <w:t xml:space="preserve"> (index 2.6) integrated over the uncertainty of </w:t>
      </w:r>
      <m:oMath>
        <m:sSub>
          <m:e>
            <m:r>
              <m:t>τ</m:t>
            </m:r>
          </m:e>
          <m:sub>
            <m:r>
              <m:t>D</m:t>
            </m:r>
          </m:sub>
        </m:sSub>
      </m:oMath>
      <w:r>
        <w:t xml:space="preserve">, and </w:t>
      </w:r>
      <m:oMath>
        <m:r>
          <m:t>4.7×</m:t>
        </m:r>
        <m:sSup>
          <m:e>
            <m:r>
              <m:t>10</m:t>
            </m:r>
          </m:e>
          <m:sup>
            <m:r>
              <m:t>−3</m:t>
            </m:r>
          </m:sup>
        </m:sSup>
      </m:oMath>
      <w:r>
        <w:t xml:space="preserve"> with Student </w:t>
      </w:r>
      <w:r>
        <w:rPr>
          <w:i/>
        </w:rPr>
        <w:t>t</w:t>
      </w:r>
      <w:r>
        <w:t xml:space="preserve"> tails on the size shift. The 5th percentile of the factor of safety equals the factor of safety of the 5th-percentile envelope only because of this monotone relation for a single governing material.</w:t>
      </w:r>
    </w:p>
    <w:p>
      <w:pPr>
        <w:keepNext/>
      </w:pPr>
      <w:r>
        <w:rPr>
          <w:b w:val="0"/>
          <w:i/>
        </w:rPr>
        <w:t>Foundation and Seepage Mechanisms</w:t>
      </w:r>
    </w:p>
    <w:p>
      <w:pPr>
        <w:ind w:firstLine="720"/>
      </w:pPr>
      <w:r>
        <w:t>The 700 m dump was also analyzed on a 10 m weak foundation layer (</w:t>
      </w:r>
      <w:r>
        <w:rPr>
          <w:i/>
        </w:rPr>
        <w:t>c</w:t>
      </w:r>
      <w:r>
        <w:t xml:space="preserve">′ = 0), horizontal or under a foundation inclined 10°, on competent foundations inclined 10° or 20°, and with a basal water table 100 m above the toe (Hu = 1), with the bounded, quadratic, and published Leps 2.0 envelopes and the bounded 5th percentile at the ends of the asymptote ridge (24° and 31°) (Table 4); weak layers were searched by annealing and by blocks along the layer. With a 25° or 30° layer or a competent foundation the critical surfaces stayed in the waste rock, at </w:t>
      </w:r>
      <m:oMath>
        <m:sSubSup>
          <m:e>
            <m:r>
              <m:t>σ</m:t>
            </m:r>
          </m:e>
          <m:sub>
            <m:r>
              <m:t>n</m:t>
            </m:r>
          </m:sub>
          <m:sup>
            <m:r>
              <m:t>′</m:t>
            </m:r>
          </m:sup>
        </m:sSubSup>
      </m:oMath>
      <w:r>
        <w:t xml:space="preserve"> ≤ 2.0 MPa, and the 5th-percentile factor of safety changed by at most 0.02. Horizontal or inclined layers of 15° and 20° carried 19–47% of the critical surface and lowered it to 1.05–1.15, while the waste rock along these surfaces reached 3.3 MPa. In all dry cases the bounded and quadratic 5th percentiles differed by at most 0.04, the ends of the asymptote ridge by at most 0.03, and the published Leps 2.0 envelope gave factors of safety between the HiBER median and 5th percentile. With the basal water table, seepage exiting the face caused a shallow failure at the toe (factor of safety 0.65 with the median envelope), which calls for a toe drain. Stability was thus controlled by the strength of weak layers and the cautious strength of the waste rock at 1–3 MPa, not by the envelope form.</w:t>
      </w:r>
    </w:p>
    <w:p>
      <w:pPr>
        <w:keepNext/>
      </w:pPr>
      <w:r>
        <w:rPr>
          <w:b/>
          <w:i w:val="0"/>
        </w:rPr>
        <w:t>Discussion</w:t>
      </w:r>
    </w:p>
    <w:p>
      <w:pPr>
        <w:keepNext/>
      </w:pPr>
      <w:r>
        <w:rPr>
          <w:b w:val="0"/>
          <w:i/>
        </w:rPr>
        <w:t>What HiBER Adds</w:t>
      </w:r>
    </w:p>
    <w:p>
      <w:pPr>
        <w:ind w:firstLine="720"/>
      </w:pPr>
      <w:r>
        <w:t>HiBER does not predict the central strength of an untested material better than Leps 2.0. Its contributions are a bounded extrapolation consistent with the suppression of dilatancy; intervals with nominal coverage at low stress; a likelihood that uses tests stopped at large strain and corrects the truncation of the database; a design procedure whose lower tail was checked out of sample; and the finding that particle size and laboratory dominate the uncertainty of an untested waste rock. The envelope form matters only above about 3 MPa, which the waste rock barely reached in the mechanisms analyzed; there the asymptote is the least constrained parameter.</w:t>
      </w:r>
    </w:p>
    <w:p>
      <w:pPr>
        <w:keepNext/>
      </w:pPr>
      <w:r>
        <w:rPr>
          <w:b w:val="0"/>
          <w:i/>
        </w:rPr>
        <w:t>Design Procedure</w:t>
      </w:r>
    </w:p>
    <w:p>
      <w:pPr>
        <w:ind w:firstLine="720"/>
      </w:pPr>
      <w:r>
        <w:t xml:space="preserve">The procedure is: (1) assign rock quality from the rock description, placement void ratio, and field particle size (the maximum size of 90–95% of the mass) to each rock type, and reduce any site tests with the maximum-deviator criterion; (2) check each set with Eq. (7) and Holm adjustment, review flagged sets, and exclude them only if they are stronger than the prior; (3) update the laboratory and set effects (Eq. 8), jointly when one laboratory tested several materials, and represent each rock type by a new set from that laboratory; (4) above the largest </w:t>
      </w:r>
      <m:oMath>
        <m:sSubSup>
          <m:e>
            <m:r>
              <m:t>σ</m:t>
            </m:r>
          </m:e>
          <m:sub>
            <m:r>
              <m:t>n</m:t>
            </m:r>
          </m:sub>
          <m:sup>
            <m:r>
              <m:t>′</m:t>
            </m:r>
          </m:sup>
        </m:sSubSup>
      </m:oMath>
      <w:r>
        <w:t xml:space="preserve"> of the site tests, use the lower of the updated and prior percentiles; (5) shift the envelopes to placement density and field size; (6) adopt as characteristic value for a global mechanism the 5th percentile of the mean envelope, a Bayesian cautious estimate of the mean (Prästings et al. 2019) in the spirit of Eurocode 7 (CEN 2024); and (7) check the probability of failure by sampling the envelopes with stated correlations between rock types, including the weakest-rock-type case. The validity domain is drained, global mechanisms with </w:t>
      </w:r>
      <m:oMath>
        <m:sSubSup>
          <m:e>
            <m:r>
              <m:t>σ</m:t>
            </m:r>
          </m:e>
          <m:sub>
            <m:r>
              <m:t>n</m:t>
            </m:r>
          </m:sub>
          <m:sup>
            <m:r>
              <m:t>′</m:t>
            </m:r>
          </m:sup>
        </m:sSubSup>
      </m:oMath>
      <w:r>
        <w:t xml:space="preserve"> ≤ 8 MPa and, above 3 MPa, </w:t>
      </w:r>
      <w:r>
        <w:rPr>
          <w:i/>
        </w:rPr>
        <w:t>e</w:t>
      </w:r>
      <w:r>
        <w:t xml:space="preserve"> ≤ 0.55, the range of the calibration tests. The open implementation enforces this order and domain.</w:t>
      </w:r>
    </w:p>
    <w:p>
      <w:pPr>
        <w:ind w:firstLine="720"/>
      </w:pPr>
      <w:r>
        <w:t xml:space="preserve">The factor of safety computed with the characteristic envelope already contains the strength uncertainty, so mining acceptance criteria calibrated for best-estimate strength (Read and Stacey 2009; Hawley and Cunning 2017) double count it unless recalibrated. The example gives a lognormal reliability index of about 3.2, or 2.6 with the uncertainty of </w:t>
      </w:r>
      <m:oMath>
        <m:sSub>
          <m:e>
            <m:r>
              <m:t>τ</m:t>
            </m:r>
          </m:e>
          <m:sub>
            <m:r>
              <m:t>D</m:t>
            </m:r>
          </m:sub>
        </m:sSub>
      </m:oMath>
      <w:r>
        <w:t xml:space="preserve"> integrated, against 3.8 targeted by EN 1990 (CEN 2002) for 50 years in its medium consequence class; yet with a partial factor of 1.25 on tan φ′ (Eurocode 7) the characteristic factor of safety of 1.22 would fail. No target values are proposed here.</w:t>
      </w:r>
    </w:p>
    <w:p>
      <w:pPr>
        <w:keepNext/>
      </w:pPr>
      <w:r>
        <w:rPr>
          <w:b w:val="0"/>
          <w:i/>
        </w:rPr>
        <w:t>Limitations and Testing Needs</w:t>
      </w:r>
    </w:p>
    <w:p>
      <w:pPr>
        <w:ind w:firstLine="720"/>
      </w:pPr>
      <w:r>
        <w:t xml:space="preserve">Tests above 3 MPa come from five laboratories, mostly from 1963–1983; the asymptote is weakly identified; class labels may carry information from measured strength; the within-material residual is laboratory scatter, not spatial variability; and the size-effect heterogeneity rests on 7 laboratories. Pore pressure in saturated basal layers, wetting collapse (Oldecop and Alonso 2001), seismic loading, three-dimensional geometry, and static liquefaction are outside the scope. The most useful new data are drained tests at </w:t>
      </w:r>
      <m:oMath>
        <m:sSubSup>
          <m:e>
            <m:r>
              <m:t>σ</m:t>
            </m:r>
          </m:e>
          <m:sub>
            <m:r>
              <m:t>3</m:t>
            </m:r>
          </m:sub>
          <m:sup>
            <m:r>
              <m:t>′</m:t>
            </m:r>
          </m:sup>
        </m:sSubSup>
      </m:oMath>
      <w:r>
        <w:t xml:space="preserve"> of 5–10 MPa on loose specimens carried to 25% axial strain, tests of one material at two sizes with parallel gradation, in situ density of dumped waste rock, durability tests of degradable rock types, and programs published after the database for external validation.</w:t>
      </w:r>
    </w:p>
    <w:p>
      <w:pPr>
        <w:keepNext/>
      </w:pPr>
      <w:r>
        <w:rPr>
          <w:b/>
          <w:i w:val="0"/>
        </w:rPr>
        <w:t>Conclusions</w:t>
      </w:r>
    </w:p>
    <w:p>
      <w:pPr>
        <w:pStyle w:val="ListNumber"/>
      </w:pPr>
      <w:r>
        <w:t xml:space="preserve">A dilatant part of tan </w:t>
      </w:r>
      <m:oMath>
        <m:sSubSup>
          <m:e>
            <m:r>
              <m:t>ϕ</m:t>
            </m:r>
          </m:e>
          <m:sub>
            <m:r>
              <m:t>s</m:t>
            </m:r>
          </m:sub>
          <m:sup>
            <m:r>
              <m:t>′</m:t>
            </m:r>
          </m:sup>
        </m:sSubSup>
      </m:oMath>
      <w:r>
        <w:t xml:space="preserve"> that decays with stress toward an asymptote of about 28° bounds extrapolation consistently with the suppression of dilatancy; its in-sample advantage over an equally flexible quadratic form is small.</w:t>
      </w:r>
    </w:p>
    <w:p>
      <w:pPr>
        <w:pStyle w:val="ListNumber"/>
      </w:pPr>
      <w:r>
        <w:t>Out of sample by laboratory, the bounded, quadratic, power, and Leps 2.0 envelopes are equally accurate; the hierarchical intervals have nominal coverage at low stress, and above 2 MPa the bounded 5th percentile is exceeded downward by about 7% of tests.</w:t>
      </w:r>
    </w:p>
    <w:p>
      <w:pPr>
        <w:pStyle w:val="ListNumber"/>
      </w:pPr>
      <w:r>
        <w:t>Site tests at low stress should update the envelope only within their stress range; above it the prior governs if lower.</w:t>
      </w:r>
    </w:p>
    <w:p>
      <w:pPr>
        <w:pStyle w:val="ListNumber"/>
      </w:pPr>
      <w:r>
        <w:t>The between-laboratory heterogeneity of the size effect contributes about three quarters of the variance of an untested waste rock at field scale.</w:t>
      </w:r>
    </w:p>
    <w:p>
      <w:pPr>
        <w:pStyle w:val="ListNumber"/>
      </w:pPr>
      <w:r>
        <w:t>In 2H:1V dumps up to 700 m high the waste rock along critical surfaces, also through weak foundation layers, mobilizes about 3 MPa or less, where the envelope forms agree; weak layers and the cautious strength, not the envelope form, control stability.</w:t>
      </w:r>
    </w:p>
    <w:p>
      <w:pPr>
        <w:keepNext/>
      </w:pPr>
      <w:r>
        <w:rPr>
          <w:b/>
          <w:i w:val="0"/>
        </w:rPr>
        <w:t>Data Availability Statement</w:t>
      </w:r>
    </w:p>
    <w:p>
      <w:r>
        <w:t xml:space="preserve">Some or all data, models, or code generated or used during the study are available in a repository or online in accordance with funder data retention policies (HiBER code, parameters, covariance matrices, and evaluation scripts: </w:t>
      </w:r>
      <w:r>
        <w:rPr>
          <w:highlight w:val="yellow"/>
        </w:rPr>
        <w:t>repository DOI</w:t>
      </w:r>
      <w:r>
        <w:t>; calibration database: Arrieta 2025). Some or all data, models, or code generated or used during the study are proprietary or confidential in nature and may only be provided with restrictions (the site test results, which may be provided in anonymized form with the permission of their owner).</w:t>
      </w:r>
    </w:p>
    <w:p>
      <w:pPr>
        <w:keepNext/>
      </w:pPr>
      <w:r>
        <w:rPr>
          <w:b/>
          <w:i w:val="0"/>
        </w:rPr>
        <w:t>Acknowledgments</w:t>
      </w:r>
    </w:p>
    <w:p>
      <w:r>
        <w:rPr>
          <w:highlight w:val="yellow"/>
        </w:rPr>
        <w:t>Acknowledgments, funding, and the permission of the owner of the site test data to be completed.</w:t>
      </w:r>
      <w:r>
        <w:t xml:space="preserve"> </w:t>
      </w:r>
      <w:r>
        <w:rPr>
          <w:highlight w:val="yellow"/>
        </w:rPr>
        <w:t>Declaration of the use of AI tools, as required by ASCE policy: tool, purpose, and confirmation that the authors reviewed and take responsibility for the content.</w:t>
      </w:r>
    </w:p>
    <w:p>
      <w:pPr>
        <w:keepNext/>
      </w:pPr>
      <w:r>
        <w:rPr>
          <w:b/>
          <w:i w:val="0"/>
        </w:rPr>
        <w:t>Notation</w:t>
      </w:r>
    </w:p>
    <w:p>
      <w:r>
        <w:rPr>
          <w:i/>
        </w:rPr>
        <w:t>The following symbols are used in this paper:</w:t>
      </w:r>
    </w:p>
    <w:p>
      <m:oMath>
        <m:r>
          <m:t>𝐚</m:t>
        </m:r>
      </m:oMath>
      <w:r>
        <w:t xml:space="preserve"> = gradient of the envelope at </w:t>
      </w:r>
      <m:oMath>
        <m:bar>
          <m:barPr>
            <m:pos m:val="top"/>
          </m:barPr>
          <m:e>
            <m:r>
              <m:t>x</m:t>
            </m:r>
          </m:e>
        </m:bar>
      </m:oMath>
      <w:r>
        <w:t>;</w:t>
      </w:r>
    </w:p>
    <w:p>
      <m:oMath>
        <m:sSub>
          <m:e>
            <m:r>
              <m:t>a</m:t>
            </m:r>
          </m:e>
          <m:sub>
            <m:r>
              <m:t>0</m:t>
            </m:r>
          </m:sub>
        </m:sSub>
      </m:oMath>
      <w:r>
        <w:t xml:space="preserve">, </w:t>
      </w:r>
      <m:oMath>
        <m:sSub>
          <m:e>
            <m:r>
              <m:t>a</m:t>
            </m:r>
          </m:e>
          <m:sub>
            <m:r>
              <m:t>1</m:t>
            </m:r>
          </m:sub>
        </m:sSub>
      </m:oMath>
      <w:r>
        <w:t xml:space="preserve"> = parameters of the test-to-test dispersion;</w:t>
      </w:r>
    </w:p>
    <w:p>
      <m:oMath>
        <m:sSub>
          <m:e>
            <m:r>
              <m:t>𝐂</m:t>
            </m:r>
          </m:e>
          <m:sub>
            <m:r>
              <m:t>β</m:t>
            </m:r>
          </m:sub>
        </m:sSub>
      </m:oMath>
      <w:r>
        <w:t xml:space="preserve"> = covariance matrix of the fixed effects;</w:t>
      </w:r>
    </w:p>
    <w:p>
      <w:r>
        <w:rPr>
          <w:i/>
        </w:rPr>
        <w:t>c</w:t>
      </w:r>
      <w:r>
        <w:t xml:space="preserve">, </w:t>
      </w:r>
      <w:r>
        <w:rPr>
          <w:i/>
        </w:rPr>
        <w:t>c</w:t>
      </w:r>
      <w:r>
        <w:t>₂ = rock quality class; quadratic coefficient;</w:t>
      </w:r>
    </w:p>
    <w:p>
      <m:oMath>
        <m:sSup>
          <m:e>
            <m:r>
              <m:t>D</m:t>
            </m:r>
          </m:e>
          <m:sup>
            <m:r>
              <m:t>2</m:t>
            </m:r>
          </m:sup>
        </m:sSup>
      </m:oMath>
      <w:r>
        <w:t xml:space="preserve"> = prior predictive Mahalanobis distance of the site tests;</w:t>
      </w:r>
    </w:p>
    <w:p>
      <m:oMath>
        <m:sSub>
          <m:e>
            <m:r>
              <m:t>D</m:t>
            </m:r>
          </m:e>
          <m:sub>
            <m:r>
              <m:t>f</m:t>
            </m:r>
          </m:sub>
        </m:sSub>
      </m:oMath>
      <w:r>
        <w:t xml:space="preserve">, </w:t>
      </w:r>
      <m:oMath>
        <m:sSub>
          <m:e>
            <m:r>
              <m:t>D</m:t>
            </m:r>
          </m:e>
          <m:sub>
            <m:r>
              <m:t>l</m:t>
            </m:r>
          </m:sub>
        </m:sSub>
      </m:oMath>
      <w:r>
        <w:t xml:space="preserve"> = maximum particle size in the field and in the laboratory;</w:t>
      </w:r>
    </w:p>
    <w:p>
      <m:oMath>
        <m:sSub>
          <m:e>
            <m:r>
              <m:t>D</m:t>
            </m:r>
          </m:e>
          <m:sub>
            <m:r>
              <m:t>max</m:t>
            </m:r>
          </m:sub>
        </m:sSub>
      </m:oMath>
      <w:r>
        <w:t xml:space="preserve">, </w:t>
      </w:r>
      <m:oMath>
        <m:sSub>
          <m:e>
            <m:r>
              <m:t>D</m:t>
            </m:r>
          </m:e>
          <m:sub>
            <m:r>
              <m:t>r</m:t>
            </m:r>
          </m:sub>
        </m:sSub>
      </m:oMath>
      <w:r>
        <w:t xml:space="preserve"> = maximum particle size; reference size, 100 mm;</w:t>
      </w:r>
    </w:p>
    <w:p>
      <w:r>
        <w:rPr>
          <w:i/>
        </w:rPr>
        <w:t>e</w:t>
      </w:r>
      <w:r>
        <w:t xml:space="preserve"> = initial void ratio;</w:t>
      </w:r>
    </w:p>
    <w:p>
      <w:r>
        <w:rPr>
          <w:i/>
        </w:rPr>
        <w:t>f</w:t>
      </w:r>
      <w:r>
        <w:t xml:space="preserve"> = mean envelope of a new material in terms of </w:t>
      </w:r>
      <w:r>
        <w:rPr>
          <w:i/>
        </w:rPr>
        <w:t>y</w:t>
      </w:r>
      <w:r>
        <w:t>;</w:t>
      </w:r>
    </w:p>
    <w:p>
      <m:oMath>
        <m:sSub>
          <m:e>
            <m:r>
              <m:t>𝐆</m:t>
            </m:r>
          </m:e>
          <m:sub>
            <m:r>
              <m:t>p</m:t>
            </m:r>
          </m:sub>
        </m:sSub>
      </m:oMath>
      <w:r>
        <w:t xml:space="preserve">, </w:t>
      </w:r>
      <m:oMath>
        <m:sSub>
          <m:e>
            <m:r>
              <m:t>𝐆</m:t>
            </m:r>
          </m:e>
          <m:sub>
            <m:r>
              <m:t>s</m:t>
            </m:r>
          </m:sub>
        </m:sSub>
      </m:oMath>
      <w:r>
        <w:t xml:space="preserve"> = covariances of laboratory and set effects;</w:t>
      </w:r>
    </w:p>
    <w:p>
      <m:oMath>
        <m:sSub>
          <m:e>
            <m:r>
              <m:t>g</m:t>
            </m:r>
          </m:e>
          <m:sub>
            <m:r>
              <m:t>0</m:t>
            </m:r>
          </m:sub>
        </m:sSub>
      </m:oMath>
      <w:r>
        <w:t xml:space="preserve"> = prior variance of </w:t>
      </w:r>
      <m:oMath>
        <m:sSub>
          <m:e>
            <m:r>
              <m:t>q</m:t>
            </m:r>
          </m:e>
          <m:sub>
            <m:r>
              <m:t>0</m:t>
            </m:r>
          </m:sub>
        </m:sSub>
      </m:oMath>
      <w:r>
        <w:t>;</w:t>
      </w:r>
    </w:p>
    <w:p>
      <m:oMath>
        <m:r>
          <m:t>𝐉</m:t>
        </m:r>
      </m:oMath>
      <w:r>
        <w:t xml:space="preserve">, </w:t>
      </w:r>
      <m:oMath>
        <m:r>
          <m:t>𝐙</m:t>
        </m:r>
      </m:oMath>
      <w:r>
        <w:t xml:space="preserve"> = gradients of the envelope with respect to fixed and random effects;</w:t>
      </w:r>
    </w:p>
    <w:p>
      <m:oMath>
        <m:r>
          <m:t>𝐣</m:t>
        </m:r>
      </m:oMath>
      <w:r>
        <w:t xml:space="preserve">, </w:t>
      </w:r>
      <m:oMath>
        <m:r>
          <m:t>𝐳</m:t>
        </m:r>
      </m:oMath>
      <w:r>
        <w:t xml:space="preserve"> = gradients of </w:t>
      </w:r>
      <w:r>
        <w:rPr>
          <w:i/>
        </w:rPr>
        <w:t>f</w:t>
      </w:r>
      <w:r>
        <w:t xml:space="preserve"> (fixed and random effects);</w:t>
      </w:r>
    </w:p>
    <w:p>
      <w:r>
        <w:rPr>
          <w:i/>
        </w:rPr>
        <w:t>m</w:t>
      </w:r>
      <w:r>
        <w:t xml:space="preserve"> = exponent of the power envelope;</w:t>
      </w:r>
    </w:p>
    <w:p>
      <w:r>
        <w:rPr>
          <w:i/>
        </w:rPr>
        <w:t>n</w:t>
      </w:r>
      <w:r>
        <w:t xml:space="preserve"> = number of site tests;</w:t>
      </w:r>
    </w:p>
    <w:p>
      <m:oMath>
        <m:r>
          <m:t>𝐏</m:t>
        </m:r>
      </m:oMath>
      <w:r>
        <w:t xml:space="preserve"> = prior covariance of </w:t>
      </w:r>
      <m:oMath>
        <m:r>
          <m:t>𝐯</m:t>
        </m:r>
      </m:oMath>
      <w:r>
        <w:t>;</w:t>
      </w:r>
    </w:p>
    <w:p>
      <m:oMath>
        <m:sSub>
          <m:e>
            <m:r>
              <m:t>p</m:t>
            </m:r>
          </m:e>
          <m:sub>
            <m:r>
              <m:t>a</m:t>
            </m:r>
          </m:sub>
        </m:sSub>
      </m:oMath>
      <w:r>
        <w:t xml:space="preserve"> = atmospheric pressure (0.1013 MPa);</w:t>
      </w:r>
    </w:p>
    <w:p>
      <m:oMath>
        <m:sSub>
          <m:e>
            <m:r>
              <m:t>q</m:t>
            </m:r>
          </m:e>
          <m:sub>
            <m:r>
              <m:t>0</m:t>
            </m:r>
          </m:sub>
        </m:sSub>
      </m:oMath>
      <w:r>
        <w:t xml:space="preserve"> = level of the envelope at </w:t>
      </w:r>
      <m:oMath>
        <m:bar>
          <m:barPr>
            <m:pos m:val="top"/>
          </m:barPr>
          <m:e>
            <m:r>
              <m:t>x</m:t>
            </m:r>
          </m:e>
        </m:bar>
      </m:oMath>
      <w:r>
        <w:t>;</w:t>
      </w:r>
    </w:p>
    <w:p>
      <m:oMath>
        <m:r>
          <m:t>𝐫</m:t>
        </m:r>
      </m:oMath>
      <w:r>
        <w:t xml:space="preserve">, </w:t>
      </w:r>
      <m:oMath>
        <m:sSub>
          <m:e>
            <m:r>
              <m:t>r</m:t>
            </m:r>
          </m:e>
          <m:sub>
            <m:r>
              <m:t>i</m:t>
            </m:r>
          </m:sub>
        </m:sSub>
      </m:oMath>
      <w:r>
        <w:t xml:space="preserve"> = residuals of the site tests from the prior mean;</w:t>
      </w:r>
    </w:p>
    <w:p>
      <m:oMath>
        <m:r>
          <m:t>𝐒</m:t>
        </m:r>
      </m:oMath>
      <w:r>
        <w:t xml:space="preserve"> = diagonal matrix of test-to-test variances;</w:t>
      </w:r>
    </w:p>
    <w:p>
      <m:oMath>
        <m:sSub>
          <m:e>
            <m:r>
              <m:t>t</m:t>
            </m:r>
          </m:e>
          <m:sub>
            <m:r>
              <m:t>∞</m:t>
            </m:r>
          </m:sub>
        </m:sSub>
      </m:oMath>
      <w:r>
        <w:t xml:space="preserve"> = tan </w:t>
      </w:r>
      <m:oMath>
        <m:sSubSup>
          <m:e>
            <m:r>
              <m:t>ϕ</m:t>
            </m:r>
          </m:e>
          <m:sub>
            <m:r>
              <m:t>∞</m:t>
            </m:r>
          </m:sub>
          <m:sup>
            <m:r>
              <m:t>′</m:t>
            </m:r>
          </m:sup>
        </m:sSubSup>
      </m:oMath>
      <w:r>
        <w:t>;</w:t>
      </w:r>
    </w:p>
    <w:p>
      <m:oMath>
        <m:r>
          <m:t>𝐮</m:t>
        </m:r>
      </m:oMath>
      <w:r>
        <w:t xml:space="preserve">, </w:t>
      </w:r>
      <m:oMath>
        <m:sSup>
          <m:e>
            <m:r>
              <m:t>𝐮</m:t>
            </m:r>
          </m:e>
          <m:sup>
            <m:d>
              <m:dPr>
                <m:sepChr m:val=""/>
              </m:dPr>
              <m:e>
                <m:r>
                  <m:t>p</m:t>
                </m:r>
              </m:e>
            </m:d>
          </m:sup>
        </m:sSup>
      </m:oMath>
      <w:r>
        <w:t xml:space="preserve">, </w:t>
      </w:r>
      <m:oMath>
        <m:sSup>
          <m:e>
            <m:r>
              <m:t>𝐮</m:t>
            </m:r>
          </m:e>
          <m:sup>
            <m:d>
              <m:dPr>
                <m:sepChr m:val=""/>
              </m:dPr>
              <m:e>
                <m:r>
                  <m:t>s</m:t>
                </m:r>
              </m:e>
            </m:d>
          </m:sup>
        </m:sSup>
      </m:oMath>
      <w:r>
        <w:t xml:space="preserve"> = random effects on (η, ζ): total, laboratory, set;</w:t>
      </w:r>
    </w:p>
    <w:p>
      <m:oMath>
        <m:r>
          <m:t>𝐕</m:t>
        </m:r>
      </m:oMath>
      <w:r>
        <w:t xml:space="preserve"> = prior predictive covariance of the site tests;</w:t>
      </w:r>
    </w:p>
    <w:p>
      <m:oMath>
        <m:r>
          <m:t>𝐯</m:t>
        </m:r>
      </m:oMath>
      <w:r>
        <w:t xml:space="preserve"> = random effects and fixed-effect deviations of a material;</w:t>
      </w:r>
    </w:p>
    <w:p>
      <w:r>
        <w:rPr>
          <w:i/>
        </w:rPr>
        <w:t>x</w:t>
      </w:r>
      <w:r>
        <w:t xml:space="preserve"> = ln(</w:t>
      </w:r>
      <m:oMath>
        <m:sSubSup>
          <m:e>
            <m:r>
              <m:t>σ</m:t>
            </m:r>
          </m:e>
          <m:sub>
            <m:r>
              <m:t>n</m:t>
            </m:r>
          </m:sub>
          <m:sup>
            <m:r>
              <m:t>′</m:t>
            </m:r>
          </m:sup>
        </m:sSubSup>
      </m:oMath>
      <w:r>
        <w:t>/</w:t>
      </w:r>
      <m:oMath>
        <m:sSub>
          <m:e>
            <m:r>
              <m:t>σ</m:t>
            </m:r>
          </m:e>
          <m:sub>
            <m:r>
              <m:t>0</m:t>
            </m:r>
          </m:sub>
        </m:sSub>
      </m:oMath>
      <w:r>
        <w:t>);</w:t>
      </w:r>
    </w:p>
    <w:p>
      <m:oMath>
        <m:bar>
          <m:barPr>
            <m:pos m:val="top"/>
          </m:barPr>
          <m:e>
            <m:r>
              <m:t>x</m:t>
            </m:r>
          </m:e>
        </m:bar>
      </m:oMath>
      <w:r>
        <w:t xml:space="preserve"> = mean of </w:t>
      </w:r>
      <w:r>
        <w:rPr>
          <w:i/>
        </w:rPr>
        <w:t>x</w:t>
      </w:r>
      <w:r>
        <w:t xml:space="preserve"> over the site tests of a set;</w:t>
      </w:r>
    </w:p>
    <w:p>
      <w:r>
        <w:rPr>
          <w:i/>
        </w:rPr>
        <w:t>y</w:t>
      </w:r>
      <w:r>
        <w:t xml:space="preserve"> = ln(τ/</w:t>
      </w:r>
      <m:oMath>
        <m:sSub>
          <m:e>
            <m:r>
              <m:t>σ</m:t>
            </m:r>
          </m:e>
          <m:sub>
            <m:r>
              <m:t>0</m:t>
            </m:r>
          </m:sub>
        </m:sSub>
      </m:oMath>
      <w:r>
        <w:t>);</w:t>
      </w:r>
    </w:p>
    <w:p>
      <m:oMath>
        <m:sSub>
          <m:e>
            <m:r>
              <m:t>β</m:t>
            </m:r>
          </m:e>
          <m:sub>
            <m:r>
              <m:t>D</m:t>
            </m:r>
          </m:sub>
        </m:sSub>
      </m:oMath>
      <w:r>
        <w:t xml:space="preserve"> = within-material specimen-size coefficient;</w:t>
      </w:r>
    </w:p>
    <w:p>
      <m:oMath>
        <m:sSub>
          <m:e>
            <m:r>
              <m:t>β</m:t>
            </m:r>
          </m:e>
          <m:sub>
            <m:r>
              <m:t>c</m:t>
            </m:r>
          </m:sub>
        </m:sSub>
      </m:oMath>
      <w:r>
        <w:t xml:space="preserve"> = coefficient of rock quality class </w:t>
      </w:r>
      <w:r>
        <w:rPr>
          <w:i/>
        </w:rPr>
        <w:t>c</w:t>
      </w:r>
      <w:r>
        <w:t>;</w:t>
      </w:r>
    </w:p>
    <w:p>
      <m:oMath>
        <m:sSub>
          <m:e>
            <m:r>
              <m:t>β</m:t>
            </m:r>
          </m:e>
          <m:sub>
            <m:r>
              <m:t>e</m:t>
            </m:r>
          </m:sub>
        </m:sSub>
      </m:oMath>
      <w:r>
        <w:t xml:space="preserve"> = effect of void ratio on η;</w:t>
      </w:r>
    </w:p>
    <w:p>
      <w:r>
        <w:t>Δ</w:t>
      </w:r>
      <w:r>
        <w:rPr>
          <w:i/>
        </w:rPr>
        <w:t>e</w:t>
      </w:r>
      <w:r>
        <w:t>, Δ</w:t>
      </w:r>
      <w:r>
        <w:rPr>
          <w:i/>
        </w:rPr>
        <w:t>y</w:t>
      </w:r>
      <w:r>
        <w:t xml:space="preserve"> = change of void ratio; shift of </w:t>
      </w:r>
      <w:r>
        <w:rPr>
          <w:i/>
        </w:rPr>
        <w:t>y</w:t>
      </w:r>
      <w:r>
        <w:t xml:space="preserve"> for specimen size;</w:t>
      </w:r>
    </w:p>
    <w:p>
      <m:oMath>
        <m:sSub>
          <m:e>
            <m:r>
              <m:t>δ</m:t>
            </m:r>
          </m:e>
          <m:sub>
            <m:r>
              <m:t>c</m:t>
            </m:r>
          </m:sub>
        </m:sSub>
      </m:oMath>
      <w:r>
        <w:t xml:space="preserve"> = offset of the decay rate of class </w:t>
      </w:r>
      <w:r>
        <w:rPr>
          <w:i/>
        </w:rPr>
        <w:t>c</w:t>
      </w:r>
      <w:r>
        <w:t>;</w:t>
      </w:r>
    </w:p>
    <w:p>
      <w:r>
        <w:t>ε = test-to-test deviation;</w:t>
      </w:r>
    </w:p>
    <w:p>
      <m:oMath>
        <m:sSub>
          <m:e>
            <m:r>
              <m:t>ε</m:t>
            </m:r>
          </m:e>
          <m:sub>
            <m:r>
              <m:t>a</m:t>
            </m:r>
          </m:sub>
        </m:sSub>
      </m:oMath>
      <w:r>
        <w:t xml:space="preserve"> = axial strain at the maximum deviator stress;</w:t>
      </w:r>
    </w:p>
    <w:p>
      <w:r>
        <w:t xml:space="preserve">ζ, </w:t>
      </w:r>
      <m:oMath>
        <m:sSub>
          <m:e>
            <m:r>
              <m:t>ζ</m:t>
            </m:r>
          </m:e>
          <m:sub>
            <m:r>
              <m:t>0</m:t>
            </m:r>
          </m:sub>
        </m:sSub>
      </m:oMath>
      <w:r>
        <w:t xml:space="preserve"> = decay rate of a material and of the good class;</w:t>
      </w:r>
    </w:p>
    <w:p>
      <w:r>
        <w:t xml:space="preserve">η, </w:t>
      </w:r>
      <m:oMath>
        <m:sSub>
          <m:e>
            <m:r>
              <m:t>η</m:t>
            </m:r>
          </m:e>
          <m:sub>
            <m:r>
              <m:t>t</m:t>
            </m:r>
          </m:sub>
        </m:sSub>
      </m:oMath>
      <w:r>
        <w:t xml:space="preserve"> = dilatant level, ln tan </w:t>
      </w:r>
      <m:oMath>
        <m:sSubSup>
          <m:e>
            <m:r>
              <m:t>ϕ</m:t>
            </m:r>
          </m:e>
          <m:sub>
            <m:r>
              <m:t>1</m:t>
            </m:r>
          </m:sub>
          <m:sup>
            <m:r>
              <m:t>′</m:t>
            </m:r>
          </m:sup>
        </m:sSubSup>
      </m:oMath>
      <w:r>
        <w:t>; truncation level;</w:t>
      </w:r>
    </w:p>
    <w:p>
      <w:r>
        <w:t>θ = level of the comparison forms;</w:t>
      </w:r>
    </w:p>
    <w:p>
      <w:r>
        <w:t>κ = between-set coefficient of ln(</w:t>
      </w:r>
      <m:oMath>
        <m:sSub>
          <m:e>
            <m:r>
              <m:t>D</m:t>
            </m:r>
          </m:e>
          <m:sub>
            <m:r>
              <m:t>max</m:t>
            </m:r>
          </m:sub>
        </m:sSub>
      </m:oMath>
      <w:r>
        <w:t>/</w:t>
      </w:r>
      <m:oMath>
        <m:sSub>
          <m:e>
            <m:r>
              <m:t>D</m:t>
            </m:r>
          </m:e>
          <m:sub>
            <m:r>
              <m:t>r</m:t>
            </m:r>
          </m:sub>
        </m:sSub>
      </m:oMath>
      <w:r>
        <w:t>);</w:t>
      </w:r>
    </w:p>
    <w:p>
      <m:oMath>
        <m:sSub>
          <m:e>
            <m:r>
              <m:t>σ</m:t>
            </m:r>
          </m:e>
          <m:sub>
            <m:r>
              <m:t>0</m:t>
            </m:r>
          </m:sub>
        </m:sSub>
      </m:oMath>
      <w:r>
        <w:t xml:space="preserve"> = reference stress, 10</w:t>
      </w:r>
      <m:oMath>
        <m:sSub>
          <m:e>
            <m:r>
              <m:t>p</m:t>
            </m:r>
          </m:e>
          <m:sub>
            <m:r>
              <m:t>a</m:t>
            </m:r>
          </m:sub>
        </m:sSub>
      </m:oMath>
      <w:r>
        <w:t>;</w:t>
      </w:r>
    </w:p>
    <w:p>
      <m:oMath>
        <m:sSub>
          <m:e>
            <m:r>
              <m:t>σ</m:t>
            </m:r>
          </m:e>
          <m:sub>
            <m:r>
              <m:t>ε</m:t>
            </m:r>
          </m:sub>
        </m:sSub>
      </m:oMath>
      <w:r>
        <w:t xml:space="preserve"> = standard deviation of test-to-test scatter;</w:t>
      </w:r>
    </w:p>
    <w:p>
      <m:oMath>
        <m:sSubSup>
          <m:e>
            <m:r>
              <m:t>σ</m:t>
            </m:r>
          </m:e>
          <m:sub>
            <m:r>
              <m:t>3</m:t>
            </m:r>
          </m:sub>
          <m:sup>
            <m:r>
              <m:t>′</m:t>
            </m:r>
          </m:sup>
        </m:sSubSup>
      </m:oMath>
      <w:r>
        <w:t xml:space="preserve"> = effective confining stress;</w:t>
      </w:r>
    </w:p>
    <w:p>
      <m:oMath>
        <m:sSubSup>
          <m:e>
            <m:r>
              <m:t>σ</m:t>
            </m:r>
          </m:e>
          <m:sub>
            <m:r>
              <m:t>n</m:t>
            </m:r>
          </m:sub>
          <m:sup>
            <m:r>
              <m:t>′</m:t>
            </m:r>
          </m:sup>
        </m:sSubSup>
      </m:oMath>
      <w:r>
        <w:t xml:space="preserve"> = effective normal stress on the failure plane;</w:t>
      </w:r>
    </w:p>
    <w:p>
      <w:r>
        <w:t>τ = shear strength;</w:t>
      </w:r>
    </w:p>
    <w:p>
      <m:oMath>
        <m:sSub>
          <m:e>
            <m:r>
              <m:t>τ</m:t>
            </m:r>
          </m:e>
          <m:sub>
            <m:r>
              <m:t>D</m:t>
            </m:r>
          </m:sub>
        </m:sSub>
      </m:oMath>
      <w:r>
        <w:t xml:space="preserve"> = between-laboratory standard deviation of </w:t>
      </w:r>
      <m:oMath>
        <m:sSub>
          <m:e>
            <m:r>
              <m:t>β</m:t>
            </m:r>
          </m:e>
          <m:sub>
            <m:r>
              <m:t>D</m:t>
            </m:r>
          </m:sub>
        </m:sSub>
      </m:oMath>
      <w:r>
        <w:t>;</w:t>
      </w:r>
    </w:p>
    <w:p>
      <m:oMath>
        <m:sSubSup>
          <m:e>
            <m:r>
              <m:t>ϕ</m:t>
            </m:r>
          </m:e>
          <m:sub>
            <m:r>
              <m:t>1</m:t>
            </m:r>
          </m:sub>
          <m:sup>
            <m:r>
              <m:t>′</m:t>
            </m:r>
          </m:sup>
        </m:sSubSup>
      </m:oMath>
      <w:r>
        <w:t xml:space="preserve"> = secant friction angle at </w:t>
      </w:r>
      <m:oMath>
        <m:sSubSup>
          <m:e>
            <m:r>
              <m:t>σ</m:t>
            </m:r>
          </m:e>
          <m:sub>
            <m:r>
              <m:t>n</m:t>
            </m:r>
          </m:sub>
          <m:sup>
            <m:r>
              <m:t>′</m:t>
            </m:r>
          </m:sup>
        </m:sSubSup>
      </m:oMath>
      <w:r>
        <w:t xml:space="preserve"> = </w:t>
      </w:r>
      <m:oMath>
        <m:sSub>
          <m:e>
            <m:r>
              <m:t>σ</m:t>
            </m:r>
          </m:e>
          <m:sub>
            <m:r>
              <m:t>0</m:t>
            </m:r>
          </m:sub>
        </m:sSub>
      </m:oMath>
      <w:r>
        <w:t>;</w:t>
      </w:r>
    </w:p>
    <w:p>
      <m:oMath>
        <m:sSubSup>
          <m:e>
            <m:r>
              <m:t>ϕ</m:t>
            </m:r>
          </m:e>
          <m:sub>
            <m:r>
              <m:t>e=0</m:t>
            </m:r>
          </m:sub>
          <m:sup>
            <m:r>
              <m:t>′</m:t>
            </m:r>
          </m:sup>
        </m:sSubSup>
      </m:oMath>
      <w:r>
        <w:t xml:space="preserve"> = </w:t>
      </w:r>
      <m:oMath>
        <m:sSubSup>
          <m:e>
            <m:r>
              <m:t>ϕ</m:t>
            </m:r>
          </m:e>
          <m:sub>
            <m:r>
              <m:t>1</m:t>
            </m:r>
          </m:sub>
          <m:sup>
            <m:r>
              <m:t>′</m:t>
            </m:r>
          </m:sup>
        </m:sSubSup>
      </m:oMath>
      <w:r>
        <w:t xml:space="preserve"> extrapolated to </w:t>
      </w:r>
      <w:r>
        <w:rPr>
          <w:i/>
        </w:rPr>
        <w:t>e</w:t>
      </w:r>
      <w:r>
        <w:t xml:space="preserve"> = 0 in Leps 2.0;</w:t>
      </w:r>
    </w:p>
    <w:p>
      <m:oMath>
        <m:sSubSup>
          <m:e>
            <m:r>
              <m:t>ϕ</m:t>
            </m:r>
          </m:e>
          <m:sub>
            <m:r>
              <m:t>s</m:t>
            </m:r>
          </m:sub>
          <m:sup>
            <m:r>
              <m:t>′</m:t>
            </m:r>
          </m:sup>
        </m:sSubSup>
      </m:oMath>
      <w:r>
        <w:t xml:space="preserve"> = secant friction angle; and</w:t>
      </w:r>
    </w:p>
    <w:p>
      <m:oMath>
        <m:sSubSup>
          <m:e>
            <m:r>
              <m:t>ϕ</m:t>
            </m:r>
          </m:e>
          <m:sub>
            <m:r>
              <m:t>∞</m:t>
            </m:r>
          </m:sub>
          <m:sup>
            <m:r>
              <m:t>′</m:t>
            </m:r>
          </m:sup>
        </m:sSubSup>
      </m:oMath>
      <w:r>
        <w:t xml:space="preserve"> = asymptotic secant friction angle.</w:t>
      </w:r>
    </w:p>
    <w:p>
      <w:pPr>
        <w:keepNext/>
      </w:pPr>
      <w:r>
        <w:rPr>
          <w:b/>
          <w:i w:val="0"/>
        </w:rPr>
        <w:t>Supplemental Materials</w:t>
      </w:r>
    </w:p>
    <w:p>
      <w:r>
        <w:t>Figs. S1–S5 and Tables S1–S6, including a worked example of the update with the published matrices, are available online in the ASCE Library (www.ascelibrary.org).</w:t>
      </w:r>
    </w:p>
    <w:p>
      <w:pPr>
        <w:keepNext/>
      </w:pPr>
      <w:r>
        <w:rPr>
          <w:b/>
          <w:i w:val="0"/>
        </w:rPr>
        <w:t>References</w:t>
      </w:r>
    </w:p>
    <w:p>
      <w:pPr>
        <w:ind w:left="720" w:hanging="720"/>
      </w:pPr>
      <w:r>
        <w:t xml:space="preserve">Alonso, E. E., M. Tapias, and J. Gili. 2012. "Scale effects in rockfill behaviour." </w:t>
      </w:r>
      <w:r>
        <w:rPr>
          <w:i/>
        </w:rPr>
        <w:t>Géotech. Lett.</w:t>
      </w:r>
      <w:r>
        <w:t xml:space="preserve"> 2 (3): 155–160. https://doi.org/10.1680/geolett.12.00025.</w:t>
      </w:r>
    </w:p>
    <w:p>
      <w:pPr>
        <w:ind w:left="720" w:hanging="720"/>
      </w:pPr>
      <w:r>
        <w:t>Arrieta, M. 2025. "Rockfill test database. Version 1." Zenodo. Accessed October 6, 2026. https://doi.org/10.5281/zenodo.14665504.</w:t>
      </w:r>
    </w:p>
    <w:p>
      <w:pPr>
        <w:keepNext/>
      </w:pPr>
      <w:r>
        <w:rPr>
          <w:b/>
          <w:i w:val="0"/>
        </w:rPr>
        <w:t>Figure Captions List</w:t>
      </w:r>
    </w:p>
    <w:p>
      <w:r>
        <w:t>Fig. 1. Design envelopes of HiBER for a new material tested by a new laboratory, at a specimen size of 100 mm, by rock quality and void ratio: median (thick lines) and 5th percentile (thin lines) of the mean envelope, up to the limit of use (8 MPa).</w:t>
      </w:r>
    </w:p>
    <w:p>
      <w:r>
        <w:t xml:space="preserve">Fig. 2. Out-of-sample evaluation, leaving out each laboratory: (a) coverage of the 80% interval by range of normal stress without site tests; and (b) mean CRPS of ln τ for held-out tests at </w:t>
      </w:r>
      <m:oMath>
        <m:sSubSup>
          <m:e>
            <m:r>
              <m:t>σ</m:t>
            </m:r>
          </m:e>
          <m:sub>
            <m:r>
              <m:t>n</m:t>
            </m:r>
          </m:sub>
          <m:sup>
            <m:r>
              <m:t>′</m:t>
            </m:r>
          </m:sup>
        </m:sSubSup>
      </m:oMath>
      <w:r>
        <w:t xml:space="preserve"> ≥ 2 MPa with site tests at </w:t>
      </w:r>
      <m:oMath>
        <m:sSubSup>
          <m:e>
            <m:r>
              <m:t>σ</m:t>
            </m:r>
          </m:e>
          <m:sub>
            <m:r>
              <m:t>n</m:t>
            </m:r>
          </m:sub>
          <m:sup>
            <m:r>
              <m:t>′</m:t>
            </m:r>
          </m:sup>
        </m:sSubSup>
      </m:oMath>
      <w:r>
        <w:t xml:space="preserve"> ≤ 1.5 MPa (bars: 95% bootstrap intervals over laboratories; filled: level update of the design procedure).</w:t>
      </w:r>
    </w:p>
    <w:p>
      <w:r>
        <w:t>Fig. 3. Waste rock of the example: (a) laboratory-scale envelopes by rock type with the site tests (open symbols: sets flagged by the conflict check and excluded); and (b) envelopes of placed waste rock (void ratio 0.65, rock type E 0.80; maximum particle size 1 m) by rock type and dump-average envelope. Dotted vertical lines mark the largest normal stress of the site tests.</w:t>
      </w:r>
    </w:p>
    <w:p>
      <w:r>
        <w:br w:type="page"/>
      </w:r>
    </w:p>
    <w:p>
      <w:pPr>
        <w:keepNext/>
      </w:pPr>
      <w:r>
        <w:rPr>
          <w:b/>
        </w:rPr>
        <w:t xml:space="preserve">Table 1. </w:t>
      </w:r>
      <w:r>
        <w:t>Parameters of HiBER</w:t>
      </w:r>
    </w:p>
    <w:tbl>
      <w:tblPr>
        <w:tblW w:type="auto" w:w="0"/>
        <w:tblLook w:firstColumn="1" w:firstRow="1" w:lastColumn="0" w:lastRow="0" w:noHBand="0" w:noVBand="1" w:val="04A0"/>
        <w:tblBorders>
          <w:top w:val="single" w:sz="6"/>
          <w:bottom w:val="single" w:sz="6"/>
        </w:tblBorders>
      </w:tblPr>
      <w:tblGrid>
        <w:gridCol w:w="3120"/>
        <w:gridCol w:w="3120"/>
        <w:gridCol w:w="3120"/>
      </w:tblGrid>
      <w:tr>
        <w:tc>
          <w:tcPr>
            <w:tcW w:type="dxa" w:w="3120"/>
            <w:tcBorders>
              <w:bottom w:val="single" w:sz="4"/>
            </w:tcBorders>
          </w:tcPr>
          <w:p>
            <w:pPr>
              <w:spacing w:line="240" w:lineRule="auto"/>
            </w:pPr>
            <w:r>
              <w:rPr>
                <w:sz w:val="20"/>
              </w:rPr>
            </w:r>
            <w:r>
              <w:rPr>
                <w:sz w:val="20"/>
              </w:rPr>
              <w:t>Parameter</w:t>
            </w:r>
          </w:p>
        </w:tc>
        <w:tc>
          <w:tcPr>
            <w:tcW w:type="dxa" w:w="3120"/>
            <w:tcBorders>
              <w:bottom w:val="single" w:sz="4"/>
            </w:tcBorders>
          </w:tcPr>
          <w:p>
            <w:pPr>
              <w:spacing w:line="240" w:lineRule="auto"/>
            </w:pPr>
            <w:r>
              <w:rPr>
                <w:sz w:val="20"/>
              </w:rPr>
            </w:r>
            <w:r>
              <w:rPr>
                <w:sz w:val="20"/>
              </w:rPr>
              <w:t>Estimate</w:t>
            </w:r>
          </w:p>
        </w:tc>
        <w:tc>
          <w:tcPr>
            <w:tcW w:type="dxa" w:w="3120"/>
            <w:tcBorders>
              <w:bottom w:val="single" w:sz="4"/>
            </w:tcBorders>
          </w:tcPr>
          <w:p>
            <w:pPr>
              <w:spacing w:line="240" w:lineRule="auto"/>
            </w:pPr>
            <w:r>
              <w:rPr>
                <w:sz w:val="20"/>
              </w:rPr>
            </w:r>
            <w:r>
              <w:rPr>
                <w:sz w:val="20"/>
              </w:rPr>
              <w:t>Standard error or 90% credible interval</w:t>
            </w:r>
          </w:p>
        </w:tc>
      </w:tr>
      <w:tr>
        <w:tc>
          <w:tcPr>
            <w:tcW w:type="dxa" w:w="3120"/>
          </w:tcPr>
          <w:p>
            <w:pPr>
              <w:spacing w:line="240" w:lineRule="auto"/>
            </w:pPr>
            <w:r>
              <w:rPr>
                <w:sz w:val="20"/>
              </w:rPr>
            </w:r>
            <m:oMath>
              <m:sSub>
                <m:e>
                  <m:r>
                    <m:t>β</m:t>
                  </m:r>
                </m:e>
                <m:sub>
                  <m:r>
                    <m:t>c</m:t>
                  </m:r>
                </m:sub>
              </m:sSub>
            </m:oMath>
            <w:r>
              <w:rPr>
                <w:sz w:val="20"/>
              </w:rPr>
              <w:t>, good rock quality</w:t>
            </w:r>
          </w:p>
        </w:tc>
        <w:tc>
          <w:tcPr>
            <w:tcW w:type="dxa" w:w="3120"/>
          </w:tcPr>
          <w:p>
            <w:pPr>
              <w:spacing w:line="240" w:lineRule="auto"/>
            </w:pPr>
            <w:r>
              <w:rPr>
                <w:sz w:val="20"/>
              </w:rPr>
            </w:r>
            <w:r>
              <w:rPr>
                <w:sz w:val="20"/>
              </w:rPr>
              <w:t>0.204</w:t>
            </w:r>
          </w:p>
        </w:tc>
        <w:tc>
          <w:tcPr>
            <w:tcW w:type="dxa" w:w="3120"/>
          </w:tcPr>
          <w:p>
            <w:pPr>
              <w:spacing w:line="240" w:lineRule="auto"/>
            </w:pPr>
            <w:r>
              <w:rPr>
                <w:sz w:val="20"/>
              </w:rPr>
            </w:r>
            <w:r>
              <w:rPr>
                <w:sz w:val="20"/>
              </w:rPr>
              <w:t>0.035</w:t>
            </w:r>
          </w:p>
        </w:tc>
      </w:tr>
      <w:tr>
        <w:tc>
          <w:tcPr>
            <w:tcW w:type="dxa" w:w="3120"/>
          </w:tcPr>
          <w:p>
            <w:pPr>
              <w:spacing w:line="240" w:lineRule="auto"/>
            </w:pPr>
            <w:r>
              <w:rPr>
                <w:sz w:val="20"/>
              </w:rPr>
            </w:r>
            <m:oMath>
              <m:sSub>
                <m:e>
                  <m:r>
                    <m:t>β</m:t>
                  </m:r>
                </m:e>
                <m:sub>
                  <m:r>
                    <m:t>c</m:t>
                  </m:r>
                </m:sub>
              </m:sSub>
            </m:oMath>
            <w:r>
              <w:rPr>
                <w:sz w:val="20"/>
              </w:rPr>
              <w:t>, moderate rock quality</w:t>
            </w:r>
          </w:p>
        </w:tc>
        <w:tc>
          <w:tcPr>
            <w:tcW w:type="dxa" w:w="3120"/>
          </w:tcPr>
          <w:p>
            <w:pPr>
              <w:spacing w:line="240" w:lineRule="auto"/>
            </w:pPr>
            <w:r>
              <w:rPr>
                <w:sz w:val="20"/>
              </w:rPr>
            </w:r>
            <w:r>
              <w:rPr>
                <w:sz w:val="20"/>
              </w:rPr>
              <w:t>0.087</w:t>
            </w:r>
          </w:p>
        </w:tc>
        <w:tc>
          <w:tcPr>
            <w:tcW w:type="dxa" w:w="3120"/>
          </w:tcPr>
          <w:p>
            <w:pPr>
              <w:spacing w:line="240" w:lineRule="auto"/>
            </w:pPr>
            <w:r>
              <w:rPr>
                <w:sz w:val="20"/>
              </w:rPr>
            </w:r>
            <w:r>
              <w:rPr>
                <w:sz w:val="20"/>
              </w:rPr>
              <w:t>0.030</w:t>
            </w:r>
          </w:p>
        </w:tc>
      </w:tr>
      <w:tr>
        <w:tc>
          <w:tcPr>
            <w:tcW w:type="dxa" w:w="3120"/>
          </w:tcPr>
          <w:p>
            <w:pPr>
              <w:spacing w:line="240" w:lineRule="auto"/>
            </w:pPr>
            <w:r>
              <w:rPr>
                <w:sz w:val="20"/>
              </w:rPr>
            </w:r>
            <m:oMath>
              <m:sSub>
                <m:e>
                  <m:r>
                    <m:t>β</m:t>
                  </m:r>
                </m:e>
                <m:sub>
                  <m:r>
                    <m:t>c</m:t>
                  </m:r>
                </m:sub>
              </m:sSub>
            </m:oMath>
            <w:r>
              <w:rPr>
                <w:sz w:val="20"/>
              </w:rPr>
              <w:t>, low rock quality</w:t>
            </w:r>
          </w:p>
        </w:tc>
        <w:tc>
          <w:tcPr>
            <w:tcW w:type="dxa" w:w="3120"/>
          </w:tcPr>
          <w:p>
            <w:pPr>
              <w:spacing w:line="240" w:lineRule="auto"/>
            </w:pPr>
            <w:r>
              <w:rPr>
                <w:sz w:val="20"/>
              </w:rPr>
            </w:r>
            <w:r>
              <w:rPr>
                <w:sz w:val="20"/>
              </w:rPr>
              <w:t>0.028</w:t>
            </w:r>
          </w:p>
        </w:tc>
        <w:tc>
          <w:tcPr>
            <w:tcW w:type="dxa" w:w="3120"/>
          </w:tcPr>
          <w:p>
            <w:pPr>
              <w:spacing w:line="240" w:lineRule="auto"/>
            </w:pPr>
            <w:r>
              <w:rPr>
                <w:sz w:val="20"/>
              </w:rPr>
            </w:r>
            <w:r>
              <w:rPr>
                <w:sz w:val="20"/>
              </w:rPr>
              <w:t>0.025</w:t>
            </w:r>
          </w:p>
        </w:tc>
      </w:tr>
      <w:tr>
        <w:tc>
          <w:tcPr>
            <w:tcW w:type="dxa" w:w="3120"/>
          </w:tcPr>
          <w:p>
            <w:pPr>
              <w:spacing w:line="240" w:lineRule="auto"/>
            </w:pPr>
            <w:r>
              <w:rPr>
                <w:sz w:val="20"/>
              </w:rPr>
            </w:r>
            <m:oMathPara>
              <m:oMathParaPr>
                <m:jc m:val="left"/>
              </m:oMathParaPr>
              <m:oMath>
                <m:sSub>
                  <m:e>
                    <m:r>
                      <m:t>β</m:t>
                    </m:r>
                  </m:e>
                  <m:sub>
                    <m:r>
                      <m:t>e</m:t>
                    </m:r>
                  </m:sub>
                </m:sSub>
              </m:oMath>
            </m:oMathPara>
          </w:p>
        </w:tc>
        <w:tc>
          <w:tcPr>
            <w:tcW w:type="dxa" w:w="3120"/>
          </w:tcPr>
          <w:p>
            <w:pPr>
              <w:spacing w:line="240" w:lineRule="auto"/>
            </w:pPr>
            <w:r>
              <w:rPr>
                <w:sz w:val="20"/>
              </w:rPr>
            </w:r>
            <w:r>
              <w:rPr>
                <w:sz w:val="20"/>
              </w:rPr>
              <w:t>−0.488</w:t>
            </w:r>
          </w:p>
        </w:tc>
        <w:tc>
          <w:tcPr>
            <w:tcW w:type="dxa" w:w="3120"/>
          </w:tcPr>
          <w:p>
            <w:pPr>
              <w:spacing w:line="240" w:lineRule="auto"/>
            </w:pPr>
            <w:r>
              <w:rPr>
                <w:sz w:val="20"/>
              </w:rPr>
            </w:r>
            <w:r>
              <w:rPr>
                <w:sz w:val="20"/>
              </w:rPr>
              <w:t>0.048</w:t>
            </w:r>
          </w:p>
        </w:tc>
      </w:tr>
      <w:tr>
        <w:tc>
          <w:tcPr>
            <w:tcW w:type="dxa" w:w="3120"/>
          </w:tcPr>
          <w:p>
            <w:pPr>
              <w:spacing w:line="240" w:lineRule="auto"/>
            </w:pPr>
            <w:r>
              <w:rPr>
                <w:sz w:val="20"/>
              </w:rPr>
            </w:r>
            <w:r>
              <w:rPr>
                <w:sz w:val="20"/>
              </w:rPr>
              <w:t>κ</w:t>
            </w:r>
          </w:p>
        </w:tc>
        <w:tc>
          <w:tcPr>
            <w:tcW w:type="dxa" w:w="3120"/>
          </w:tcPr>
          <w:p>
            <w:pPr>
              <w:spacing w:line="240" w:lineRule="auto"/>
            </w:pPr>
            <w:r>
              <w:rPr>
                <w:sz w:val="20"/>
              </w:rPr>
            </w:r>
            <w:r>
              <w:rPr>
                <w:sz w:val="20"/>
              </w:rPr>
              <w:t>0.022</w:t>
            </w:r>
          </w:p>
        </w:tc>
        <w:tc>
          <w:tcPr>
            <w:tcW w:type="dxa" w:w="3120"/>
          </w:tcPr>
          <w:p>
            <w:pPr>
              <w:spacing w:line="240" w:lineRule="auto"/>
            </w:pPr>
            <w:r>
              <w:rPr>
                <w:sz w:val="20"/>
              </w:rPr>
            </w:r>
            <w:r>
              <w:rPr>
                <w:sz w:val="20"/>
              </w:rPr>
              <w:t>0.009</w:t>
            </w:r>
          </w:p>
        </w:tc>
      </w:tr>
      <w:tr>
        <w:tc>
          <w:tcPr>
            <w:tcW w:type="dxa" w:w="3120"/>
          </w:tcPr>
          <w:p>
            <w:pPr>
              <w:spacing w:line="240" w:lineRule="auto"/>
            </w:pPr>
            <w:r>
              <w:rPr>
                <w:sz w:val="20"/>
              </w:rPr>
            </w:r>
            <m:oMath>
              <m:sSub>
                <m:e>
                  <m:r>
                    <m:t>δ</m:t>
                  </m:r>
                </m:e>
                <m:sub>
                  <m:r>
                    <m:t>c</m:t>
                  </m:r>
                </m:sub>
              </m:sSub>
            </m:oMath>
            <w:r>
              <w:rPr>
                <w:sz w:val="20"/>
              </w:rPr>
              <w:t>, moderate rock quality</w:t>
            </w:r>
          </w:p>
        </w:tc>
        <w:tc>
          <w:tcPr>
            <w:tcW w:type="dxa" w:w="3120"/>
          </w:tcPr>
          <w:p>
            <w:pPr>
              <w:spacing w:line="240" w:lineRule="auto"/>
            </w:pPr>
            <w:r>
              <w:rPr>
                <w:sz w:val="20"/>
              </w:rPr>
            </w:r>
            <w:r>
              <w:rPr>
                <w:sz w:val="20"/>
              </w:rPr>
              <w:t>−0.067</w:t>
            </w:r>
          </w:p>
        </w:tc>
        <w:tc>
          <w:tcPr>
            <w:tcW w:type="dxa" w:w="3120"/>
          </w:tcPr>
          <w:p>
            <w:pPr>
              <w:spacing w:line="240" w:lineRule="auto"/>
            </w:pPr>
            <w:r>
              <w:rPr>
                <w:sz w:val="20"/>
              </w:rPr>
            </w:r>
            <w:r>
              <w:rPr>
                <w:sz w:val="20"/>
              </w:rPr>
              <w:t>0.022</w:t>
            </w:r>
          </w:p>
        </w:tc>
      </w:tr>
      <w:tr>
        <w:tc>
          <w:tcPr>
            <w:tcW w:type="dxa" w:w="3120"/>
          </w:tcPr>
          <w:p>
            <w:pPr>
              <w:spacing w:line="240" w:lineRule="auto"/>
            </w:pPr>
            <w:r>
              <w:rPr>
                <w:sz w:val="20"/>
              </w:rPr>
            </w:r>
            <m:oMath>
              <m:sSub>
                <m:e>
                  <m:r>
                    <m:t>δ</m:t>
                  </m:r>
                </m:e>
                <m:sub>
                  <m:r>
                    <m:t>c</m:t>
                  </m:r>
                </m:sub>
              </m:sSub>
            </m:oMath>
            <w:r>
              <w:rPr>
                <w:sz w:val="20"/>
              </w:rPr>
              <w:t>, low rock quality</w:t>
            </w:r>
          </w:p>
        </w:tc>
        <w:tc>
          <w:tcPr>
            <w:tcW w:type="dxa" w:w="3120"/>
          </w:tcPr>
          <w:p>
            <w:pPr>
              <w:spacing w:line="240" w:lineRule="auto"/>
            </w:pPr>
            <w:r>
              <w:rPr>
                <w:sz w:val="20"/>
              </w:rPr>
            </w:r>
            <w:r>
              <w:rPr>
                <w:sz w:val="20"/>
              </w:rPr>
              <w:t>−0.100</w:t>
            </w:r>
          </w:p>
        </w:tc>
        <w:tc>
          <w:tcPr>
            <w:tcW w:type="dxa" w:w="3120"/>
          </w:tcPr>
          <w:p>
            <w:pPr>
              <w:spacing w:line="240" w:lineRule="auto"/>
            </w:pPr>
            <w:r>
              <w:rPr>
                <w:sz w:val="20"/>
              </w:rPr>
            </w:r>
            <w:r>
              <w:rPr>
                <w:sz w:val="20"/>
              </w:rPr>
              <w:t>0.024</w:t>
            </w:r>
          </w:p>
        </w:tc>
      </w:tr>
      <w:tr>
        <w:tc>
          <w:tcPr>
            <w:tcW w:type="dxa" w:w="3120"/>
          </w:tcPr>
          <w:p>
            <w:pPr>
              <w:spacing w:line="240" w:lineRule="auto"/>
            </w:pPr>
            <w:r>
              <w:rPr>
                <w:sz w:val="20"/>
              </w:rPr>
            </w:r>
            <m:oMath>
              <m:sSubSup>
                <m:e>
                  <m:r>
                    <m:t>ϕ</m:t>
                  </m:r>
                </m:e>
                <m:sub>
                  <m:r>
                    <m:t>∞</m:t>
                  </m:r>
                </m:sub>
                <m:sup>
                  <m:r>
                    <m:t>′</m:t>
                  </m:r>
                </m:sup>
              </m:sSubSup>
            </m:oMath>
            <w:r>
              <w:rPr>
                <w:sz w:val="20"/>
              </w:rPr>
              <w:t xml:space="preserve"> (°), weighted mean over the ridge</w:t>
            </w:r>
          </w:p>
        </w:tc>
        <w:tc>
          <w:tcPr>
            <w:tcW w:type="dxa" w:w="3120"/>
          </w:tcPr>
          <w:p>
            <w:pPr>
              <w:spacing w:line="240" w:lineRule="auto"/>
            </w:pPr>
            <w:r>
              <w:rPr>
                <w:sz w:val="20"/>
              </w:rPr>
            </w:r>
            <w:r>
              <w:rPr>
                <w:sz w:val="20"/>
              </w:rPr>
              <w:t>28.1</w:t>
            </w:r>
          </w:p>
        </w:tc>
        <w:tc>
          <w:tcPr>
            <w:tcW w:type="dxa" w:w="3120"/>
          </w:tcPr>
          <w:p>
            <w:pPr>
              <w:spacing w:line="240" w:lineRule="auto"/>
            </w:pPr>
            <w:r>
              <w:rPr>
                <w:sz w:val="20"/>
              </w:rPr>
            </w:r>
            <w:r>
              <w:rPr>
                <w:sz w:val="20"/>
              </w:rPr>
              <w:t>25–31 (likelihood-ratio 95% interval)</w:t>
            </w:r>
          </w:p>
        </w:tc>
      </w:tr>
      <w:tr>
        <w:tc>
          <w:tcPr>
            <w:tcW w:type="dxa" w:w="3120"/>
          </w:tcPr>
          <w:p>
            <w:pPr>
              <w:spacing w:line="240" w:lineRule="auto"/>
            </w:pPr>
            <w:r>
              <w:rPr>
                <w:sz w:val="20"/>
              </w:rPr>
            </w:r>
            <m:oMath>
              <m:sSub>
                <m:e>
                  <m:r>
                    <m:t>ζ</m:t>
                  </m:r>
                </m:e>
                <m:sub>
                  <m:r>
                    <m:t>0</m:t>
                  </m:r>
                </m:sub>
              </m:sSub>
            </m:oMath>
            <w:r>
              <w:rPr>
                <w:sz w:val="20"/>
              </w:rPr>
              <w:t>, weighted mean over the ridge</w:t>
            </w:r>
          </w:p>
        </w:tc>
        <w:tc>
          <w:tcPr>
            <w:tcW w:type="dxa" w:w="3120"/>
          </w:tcPr>
          <w:p>
            <w:pPr>
              <w:spacing w:line="240" w:lineRule="auto"/>
            </w:pPr>
            <w:r>
              <w:rPr>
                <w:sz w:val="20"/>
              </w:rPr>
            </w:r>
            <w:r>
              <w:rPr>
                <w:sz w:val="20"/>
              </w:rPr>
              <w:t>0.41</w:t>
            </w:r>
          </w:p>
        </w:tc>
        <w:tc>
          <w:tcPr>
            <w:tcW w:type="dxa" w:w="3120"/>
          </w:tcPr>
          <w:p>
            <w:pPr>
              <w:spacing w:line="240" w:lineRule="auto"/>
            </w:pPr>
            <w:r>
              <w:rPr>
                <w:sz w:val="20"/>
              </w:rPr>
            </w:r>
            <w:r>
              <w:rPr>
                <w:sz w:val="20"/>
              </w:rPr>
              <w:t>—</w:t>
            </w:r>
          </w:p>
        </w:tc>
      </w:tr>
      <w:tr>
        <w:tc>
          <w:tcPr>
            <w:tcW w:type="dxa" w:w="3120"/>
          </w:tcPr>
          <w:p>
            <w:pPr>
              <w:spacing w:line="240" w:lineRule="auto"/>
            </w:pPr>
            <w:r>
              <w:rPr>
                <w:sz w:val="20"/>
              </w:rPr>
            </w:r>
            <w:r>
              <w:rPr>
                <w:sz w:val="20"/>
              </w:rPr>
              <w:t>SD of η, laboratory</w:t>
            </w:r>
          </w:p>
        </w:tc>
        <w:tc>
          <w:tcPr>
            <w:tcW w:type="dxa" w:w="3120"/>
          </w:tcPr>
          <w:p>
            <w:pPr>
              <w:spacing w:line="240" w:lineRule="auto"/>
            </w:pPr>
            <w:r>
              <w:rPr>
                <w:sz w:val="20"/>
              </w:rPr>
            </w:r>
            <w:r>
              <w:rPr>
                <w:sz w:val="20"/>
              </w:rPr>
              <w:t>0.075</w:t>
            </w:r>
          </w:p>
        </w:tc>
        <w:tc>
          <w:tcPr>
            <w:tcW w:type="dxa" w:w="3120"/>
          </w:tcPr>
          <w:p>
            <w:pPr>
              <w:spacing w:line="240" w:lineRule="auto"/>
            </w:pPr>
            <w:r>
              <w:rPr>
                <w:sz w:val="20"/>
              </w:rPr>
            </w:r>
            <w:r>
              <w:rPr>
                <w:sz w:val="20"/>
              </w:rPr>
              <w:t>0.055–0.102</w:t>
            </w:r>
          </w:p>
        </w:tc>
      </w:tr>
      <w:tr>
        <w:tc>
          <w:tcPr>
            <w:tcW w:type="dxa" w:w="3120"/>
          </w:tcPr>
          <w:p>
            <w:pPr>
              <w:spacing w:line="240" w:lineRule="auto"/>
            </w:pPr>
            <w:r>
              <w:rPr>
                <w:sz w:val="20"/>
              </w:rPr>
            </w:r>
            <w:r>
              <w:rPr>
                <w:sz w:val="20"/>
              </w:rPr>
              <w:t>SD of ζ, laboratory</w:t>
            </w:r>
          </w:p>
        </w:tc>
        <w:tc>
          <w:tcPr>
            <w:tcW w:type="dxa" w:w="3120"/>
          </w:tcPr>
          <w:p>
            <w:pPr>
              <w:spacing w:line="240" w:lineRule="auto"/>
            </w:pPr>
            <w:r>
              <w:rPr>
                <w:sz w:val="20"/>
              </w:rPr>
            </w:r>
            <w:r>
              <w:rPr>
                <w:sz w:val="20"/>
              </w:rPr>
              <w:t>0.082</w:t>
            </w:r>
          </w:p>
        </w:tc>
        <w:tc>
          <w:tcPr>
            <w:tcW w:type="dxa" w:w="3120"/>
          </w:tcPr>
          <w:p>
            <w:pPr>
              <w:spacing w:line="240" w:lineRule="auto"/>
            </w:pPr>
            <w:r>
              <w:rPr>
                <w:sz w:val="20"/>
              </w:rPr>
            </w:r>
            <w:r>
              <w:rPr>
                <w:sz w:val="20"/>
              </w:rPr>
              <w:t>0.053–0.120</w:t>
            </w:r>
          </w:p>
        </w:tc>
      </w:tr>
      <w:tr>
        <w:tc>
          <w:tcPr>
            <w:tcW w:type="dxa" w:w="3120"/>
          </w:tcPr>
          <w:p>
            <w:pPr>
              <w:spacing w:line="240" w:lineRule="auto"/>
            </w:pPr>
            <w:r>
              <w:rPr>
                <w:sz w:val="20"/>
              </w:rPr>
            </w:r>
            <w:r>
              <w:rPr>
                <w:sz w:val="20"/>
              </w:rPr>
              <w:t>Correlation of η and ζ, laboratory</w:t>
            </w:r>
          </w:p>
        </w:tc>
        <w:tc>
          <w:tcPr>
            <w:tcW w:type="dxa" w:w="3120"/>
          </w:tcPr>
          <w:p>
            <w:pPr>
              <w:spacing w:line="240" w:lineRule="auto"/>
            </w:pPr>
            <w:r>
              <w:rPr>
                <w:sz w:val="20"/>
              </w:rPr>
            </w:r>
            <w:r>
              <w:rPr>
                <w:sz w:val="20"/>
              </w:rPr>
              <w:t>−0.10</w:t>
            </w:r>
          </w:p>
        </w:tc>
        <w:tc>
          <w:tcPr>
            <w:tcW w:type="dxa" w:w="3120"/>
          </w:tcPr>
          <w:p>
            <w:pPr>
              <w:spacing w:line="240" w:lineRule="auto"/>
            </w:pPr>
            <w:r>
              <w:rPr>
                <w:sz w:val="20"/>
              </w:rPr>
            </w:r>
            <w:r>
              <w:rPr>
                <w:sz w:val="20"/>
              </w:rPr>
              <w:t>−0.51 to 0.31</w:t>
            </w:r>
          </w:p>
        </w:tc>
      </w:tr>
      <w:tr>
        <w:tc>
          <w:tcPr>
            <w:tcW w:type="dxa" w:w="3120"/>
          </w:tcPr>
          <w:p>
            <w:pPr>
              <w:spacing w:line="240" w:lineRule="auto"/>
            </w:pPr>
            <w:r>
              <w:rPr>
                <w:sz w:val="20"/>
              </w:rPr>
            </w:r>
            <w:r>
              <w:rPr>
                <w:sz w:val="20"/>
              </w:rPr>
              <w:t>SD of η, set</w:t>
            </w:r>
          </w:p>
        </w:tc>
        <w:tc>
          <w:tcPr>
            <w:tcW w:type="dxa" w:w="3120"/>
          </w:tcPr>
          <w:p>
            <w:pPr>
              <w:spacing w:line="240" w:lineRule="auto"/>
            </w:pPr>
            <w:r>
              <w:rPr>
                <w:sz w:val="20"/>
              </w:rPr>
            </w:r>
            <w:r>
              <w:rPr>
                <w:sz w:val="20"/>
              </w:rPr>
              <w:t>0.078</w:t>
            </w:r>
          </w:p>
        </w:tc>
        <w:tc>
          <w:tcPr>
            <w:tcW w:type="dxa" w:w="3120"/>
          </w:tcPr>
          <w:p>
            <w:pPr>
              <w:spacing w:line="240" w:lineRule="auto"/>
            </w:pPr>
            <w:r>
              <w:rPr>
                <w:sz w:val="20"/>
              </w:rPr>
            </w:r>
            <w:r>
              <w:rPr>
                <w:sz w:val="20"/>
              </w:rPr>
              <w:t>0.071–0.086</w:t>
            </w:r>
          </w:p>
        </w:tc>
      </w:tr>
      <w:tr>
        <w:tc>
          <w:tcPr>
            <w:tcW w:type="dxa" w:w="3120"/>
          </w:tcPr>
          <w:p>
            <w:pPr>
              <w:spacing w:line="240" w:lineRule="auto"/>
            </w:pPr>
            <w:r>
              <w:rPr>
                <w:sz w:val="20"/>
              </w:rPr>
            </w:r>
            <w:r>
              <w:rPr>
                <w:sz w:val="20"/>
              </w:rPr>
              <w:t>SD of ζ, set</w:t>
            </w:r>
          </w:p>
        </w:tc>
        <w:tc>
          <w:tcPr>
            <w:tcW w:type="dxa" w:w="3120"/>
          </w:tcPr>
          <w:p>
            <w:pPr>
              <w:spacing w:line="240" w:lineRule="auto"/>
            </w:pPr>
            <w:r>
              <w:rPr>
                <w:sz w:val="20"/>
              </w:rPr>
            </w:r>
            <w:r>
              <w:rPr>
                <w:sz w:val="20"/>
              </w:rPr>
              <w:t>0.089</w:t>
            </w:r>
          </w:p>
        </w:tc>
        <w:tc>
          <w:tcPr>
            <w:tcW w:type="dxa" w:w="3120"/>
          </w:tcPr>
          <w:p>
            <w:pPr>
              <w:spacing w:line="240" w:lineRule="auto"/>
            </w:pPr>
            <w:r>
              <w:rPr>
                <w:sz w:val="20"/>
              </w:rPr>
            </w:r>
            <w:r>
              <w:rPr>
                <w:sz w:val="20"/>
              </w:rPr>
              <w:t>0.071–0.106</w:t>
            </w:r>
          </w:p>
        </w:tc>
      </w:tr>
      <w:tr>
        <w:tc>
          <w:tcPr>
            <w:tcW w:type="dxa" w:w="3120"/>
          </w:tcPr>
          <w:p>
            <w:pPr>
              <w:spacing w:line="240" w:lineRule="auto"/>
            </w:pPr>
            <w:r>
              <w:rPr>
                <w:sz w:val="20"/>
              </w:rPr>
            </w:r>
            <w:r>
              <w:rPr>
                <w:sz w:val="20"/>
              </w:rPr>
              <w:t>Correlation of η and ζ, set</w:t>
            </w:r>
          </w:p>
        </w:tc>
        <w:tc>
          <w:tcPr>
            <w:tcW w:type="dxa" w:w="3120"/>
          </w:tcPr>
          <w:p>
            <w:pPr>
              <w:spacing w:line="240" w:lineRule="auto"/>
            </w:pPr>
            <w:r>
              <w:rPr>
                <w:sz w:val="20"/>
              </w:rPr>
            </w:r>
            <w:r>
              <w:rPr>
                <w:sz w:val="20"/>
              </w:rPr>
              <w:t>−0.29</w:t>
            </w:r>
          </w:p>
        </w:tc>
        <w:tc>
          <w:tcPr>
            <w:tcW w:type="dxa" w:w="3120"/>
          </w:tcPr>
          <w:p>
            <w:pPr>
              <w:spacing w:line="240" w:lineRule="auto"/>
            </w:pPr>
            <w:r>
              <w:rPr>
                <w:sz w:val="20"/>
              </w:rPr>
            </w:r>
            <w:r>
              <w:rPr>
                <w:sz w:val="20"/>
              </w:rPr>
              <w:t>−0.46 to −0.11</w:t>
            </w:r>
          </w:p>
        </w:tc>
      </w:tr>
      <w:tr>
        <w:tc>
          <w:tcPr>
            <w:tcW w:type="dxa" w:w="3120"/>
          </w:tcPr>
          <w:p>
            <w:pPr>
              <w:spacing w:line="240" w:lineRule="auto"/>
            </w:pPr>
            <w:r>
              <w:rPr>
                <w:sz w:val="20"/>
              </w:rPr>
            </w:r>
            <m:oMath>
              <m:sSub>
                <m:e>
                  <m:r>
                    <m:t>σ</m:t>
                  </m:r>
                </m:e>
                <m:sub>
                  <m:r>
                    <m:t>ε</m:t>
                  </m:r>
                </m:sub>
              </m:sSub>
            </m:oMath>
            <w:r>
              <w:rPr>
                <w:sz w:val="20"/>
              </w:rPr>
              <w:t xml:space="preserve"> at </w:t>
            </w:r>
            <m:oMath>
              <m:sSubSup>
                <m:e>
                  <m:r>
                    <m:t>σ</m:t>
                  </m:r>
                </m:e>
                <m:sub>
                  <m:r>
                    <m:t>n</m:t>
                  </m:r>
                </m:sub>
                <m:sup>
                  <m:r>
                    <m:t>′</m:t>
                  </m:r>
                </m:sup>
              </m:sSubSup>
            </m:oMath>
            <w:r>
              <w:rPr>
                <w:sz w:val="20"/>
              </w:rPr>
              <w:t xml:space="preserve"> = </w:t>
            </w:r>
            <m:oMath>
              <m:sSub>
                <m:e>
                  <m:r>
                    <m:t>σ</m:t>
                  </m:r>
                </m:e>
                <m:sub>
                  <m:r>
                    <m:t>0</m:t>
                  </m:r>
                </m:sub>
              </m:sSub>
            </m:oMath>
          </w:p>
        </w:tc>
        <w:tc>
          <w:tcPr>
            <w:tcW w:type="dxa" w:w="3120"/>
          </w:tcPr>
          <w:p>
            <w:pPr>
              <w:spacing w:line="240" w:lineRule="auto"/>
            </w:pPr>
            <w:r>
              <w:rPr>
                <w:sz w:val="20"/>
              </w:rPr>
            </w:r>
            <w:r>
              <w:rPr>
                <w:sz w:val="20"/>
              </w:rPr>
              <w:t>0.036</w:t>
            </w:r>
          </w:p>
        </w:tc>
        <w:tc>
          <w:tcPr>
            <w:tcW w:type="dxa" w:w="3120"/>
          </w:tcPr>
          <w:p>
            <w:pPr>
              <w:spacing w:line="240" w:lineRule="auto"/>
            </w:pPr>
            <w:r>
              <w:rPr>
                <w:sz w:val="20"/>
              </w:rPr>
            </w:r>
            <w:r>
              <w:rPr>
                <w:sz w:val="20"/>
              </w:rPr>
              <w:t>0.034–0.039</w:t>
            </w:r>
          </w:p>
        </w:tc>
      </w:tr>
      <w:tr>
        <w:tc>
          <w:tcPr>
            <w:tcW w:type="dxa" w:w="3120"/>
          </w:tcPr>
          <w:p>
            <w:pPr>
              <w:spacing w:line="240" w:lineRule="auto"/>
            </w:pPr>
            <w:r>
              <w:rPr>
                <w:sz w:val="20"/>
              </w:rPr>
            </w:r>
            <m:oMathPara>
              <m:oMathParaPr>
                <m:jc m:val="left"/>
              </m:oMathParaPr>
              <m:oMath>
                <m:sSub>
                  <m:e>
                    <m:r>
                      <m:t>a</m:t>
                    </m:r>
                  </m:e>
                  <m:sub>
                    <m:r>
                      <m:t>1</m:t>
                    </m:r>
                  </m:sub>
                </m:sSub>
              </m:oMath>
            </m:oMathPara>
          </w:p>
        </w:tc>
        <w:tc>
          <w:tcPr>
            <w:tcW w:type="dxa" w:w="3120"/>
          </w:tcPr>
          <w:p>
            <w:pPr>
              <w:spacing w:line="240" w:lineRule="auto"/>
            </w:pPr>
            <w:r>
              <w:rPr>
                <w:sz w:val="20"/>
              </w:rPr>
            </w:r>
            <w:r>
              <w:rPr>
                <w:sz w:val="20"/>
              </w:rPr>
              <w:t>−0.210</w:t>
            </w:r>
          </w:p>
        </w:tc>
        <w:tc>
          <w:tcPr>
            <w:tcW w:type="dxa" w:w="3120"/>
          </w:tcPr>
          <w:p>
            <w:pPr>
              <w:spacing w:line="240" w:lineRule="auto"/>
            </w:pPr>
            <w:r>
              <w:rPr>
                <w:sz w:val="20"/>
              </w:rPr>
            </w:r>
            <w:r>
              <w:rPr>
                <w:sz w:val="20"/>
              </w:rPr>
              <w:t>−0.282 to −0.139</w:t>
            </w:r>
          </w:p>
        </w:tc>
      </w:tr>
    </w:tbl>
    <w:p>
      <w:r>
        <w:t>Note: 741 tests (55 censored), 220 sets, 23 laboratories. Fixed effects at the maximum-likelihood point of the ridge (</w:t>
      </w:r>
      <m:oMath>
        <m:sSubSup>
          <m:e>
            <m:r>
              <m:t>ϕ</m:t>
            </m:r>
          </m:e>
          <m:sub>
            <m:r>
              <m:t>∞</m:t>
            </m:r>
          </m:sub>
          <m:sup>
            <m:r>
              <m:t>′</m:t>
            </m:r>
          </m:sup>
        </m:sSubSup>
      </m:oMath>
      <w:r>
        <w:t xml:space="preserve"> = 29°, </w:t>
      </w:r>
      <m:oMath>
        <m:sSub>
          <m:e>
            <m:r>
              <m:t>ζ</m:t>
            </m:r>
          </m:e>
          <m:sub>
            <m:r>
              <m:t>0</m:t>
            </m:r>
          </m:sub>
        </m:sSub>
      </m:oMath>
      <w:r>
        <w:t xml:space="preserve"> = 0.43); variance parameters: posterior median and 90% credible interval. Median </w:t>
      </w:r>
      <m:oMath>
        <m:sSubSup>
          <m:e>
            <m:r>
              <m:t>ϕ</m:t>
            </m:r>
          </m:e>
          <m:sub>
            <m:r>
              <m:t>1</m:t>
            </m:r>
          </m:sub>
          <m:sup>
            <m:r>
              <m:t>′</m:t>
            </m:r>
          </m:sup>
        </m:sSubSup>
      </m:oMath>
      <w:r>
        <w:t xml:space="preserve"> at e = 0 and Dmax = 100 mm: 50.8°, 47.5°, and 45.8° for good, moderate, and low rock quality. The covariance matrices are published with the code.</w:t>
      </w:r>
    </w:p>
    <w:p/>
    <w:p>
      <w:pPr>
        <w:keepNext/>
      </w:pPr>
      <w:r>
        <w:rPr>
          <w:b/>
        </w:rPr>
        <w:t xml:space="preserve">Table 2. </w:t>
      </w:r>
      <w:r>
        <w:t>Out-of-sample evaluation (leave one laboratory out)</w:t>
      </w:r>
    </w:p>
    <w:tbl>
      <w:tblPr>
        <w:tblW w:type="auto" w:w="0"/>
        <w:tblLook w:firstColumn="1" w:firstRow="1" w:lastColumn="0" w:lastRow="0" w:noHBand="0" w:noVBand="1" w:val="04A0"/>
        <w:tblBorders>
          <w:top w:val="single" w:sz="6"/>
          <w:bottom w:val="single" w:sz="6"/>
        </w:tblBorders>
      </w:tblPr>
      <w:tblGrid>
        <w:gridCol w:w="1872"/>
        <w:gridCol w:w="1872"/>
        <w:gridCol w:w="1872"/>
        <w:gridCol w:w="1872"/>
        <w:gridCol w:w="1872"/>
      </w:tblGrid>
      <w:tr>
        <w:tc>
          <w:tcPr>
            <w:tcW w:type="dxa" w:w="1872"/>
            <w:tcBorders>
              <w:bottom w:val="single" w:sz="4"/>
            </w:tcBorders>
          </w:tcPr>
          <w:p>
            <w:pPr>
              <w:spacing w:line="240" w:lineRule="auto"/>
            </w:pPr>
            <w:r>
              <w:rPr>
                <w:sz w:val="20"/>
              </w:rPr>
            </w:r>
            <w:r>
              <w:rPr>
                <w:sz w:val="20"/>
              </w:rPr>
              <w:t>Procedure</w:t>
            </w:r>
          </w:p>
        </w:tc>
        <w:tc>
          <w:tcPr>
            <w:tcW w:type="dxa" w:w="1872"/>
            <w:tcBorders>
              <w:bottom w:val="single" w:sz="4"/>
            </w:tcBorders>
          </w:tcPr>
          <w:p>
            <w:pPr>
              <w:spacing w:line="240" w:lineRule="auto"/>
            </w:pPr>
            <w:r>
              <w:rPr>
                <w:sz w:val="20"/>
              </w:rPr>
            </w:r>
            <w:r>
              <w:rPr>
                <w:sz w:val="20"/>
              </w:rPr>
              <w:t>80% coverage</w:t>
            </w:r>
          </w:p>
        </w:tc>
        <w:tc>
          <w:tcPr>
            <w:tcW w:type="dxa" w:w="1872"/>
            <w:tcBorders>
              <w:bottom w:val="single" w:sz="4"/>
            </w:tcBorders>
          </w:tcPr>
          <w:p>
            <w:pPr>
              <w:spacing w:line="240" w:lineRule="auto"/>
            </w:pPr>
            <w:r>
              <w:rPr>
                <w:sz w:val="20"/>
              </w:rPr>
            </w:r>
            <w:r>
              <w:rPr>
                <w:sz w:val="20"/>
              </w:rPr>
              <w:t>Below P05</w:t>
            </w:r>
          </w:p>
        </w:tc>
        <w:tc>
          <w:tcPr>
            <w:tcW w:type="dxa" w:w="1872"/>
            <w:tcBorders>
              <w:bottom w:val="single" w:sz="4"/>
            </w:tcBorders>
          </w:tcPr>
          <w:p>
            <w:pPr>
              <w:spacing w:line="240" w:lineRule="auto"/>
            </w:pPr>
            <w:r>
              <w:rPr>
                <w:sz w:val="20"/>
              </w:rPr>
            </w:r>
            <w:r>
              <w:rPr>
                <w:sz w:val="20"/>
              </w:rPr>
              <w:t>Mean z</w:t>
            </w:r>
          </w:p>
        </w:tc>
        <w:tc>
          <w:tcPr>
            <w:tcW w:type="dxa" w:w="1872"/>
            <w:tcBorders>
              <w:bottom w:val="single" w:sz="4"/>
            </w:tcBorders>
          </w:tcPr>
          <w:p>
            <w:pPr>
              <w:spacing w:line="240" w:lineRule="auto"/>
            </w:pPr>
            <w:r>
              <w:rPr>
                <w:sz w:val="20"/>
              </w:rPr>
            </w:r>
            <w:r>
              <w:rPr>
                <w:sz w:val="20"/>
              </w:rPr>
              <w:t>CRPS</w:t>
            </w:r>
          </w:p>
        </w:tc>
      </w:tr>
      <w:tr>
        <w:tc>
          <w:tcPr>
            <w:tcW w:type="dxa" w:w="1872"/>
          </w:tcPr>
          <w:p>
            <w:pPr>
              <w:spacing w:line="240" w:lineRule="auto"/>
            </w:pPr>
            <w:r>
              <w:rPr>
                <w:sz w:val="20"/>
              </w:rPr>
            </w:r>
            <w:r>
              <w:rPr>
                <w:sz w:val="20"/>
              </w:rPr>
              <w:t>Mode A, all stresses (686 tests)</w:t>
            </w:r>
          </w:p>
        </w:tc>
        <w:tc>
          <w:tcPr>
            <w:tcW w:type="dxa" w:w="1872"/>
          </w:tcPr>
          <w:p>
            <w:pPr>
              <w:spacing w:line="240" w:lineRule="auto"/>
            </w:pPr>
            <w:r>
              <w:rPr>
                <w:sz w:val="20"/>
              </w:rPr>
            </w:r>
          </w:p>
        </w:tc>
        <w:tc>
          <w:tcPr>
            <w:tcW w:type="dxa" w:w="1872"/>
          </w:tcPr>
          <w:p>
            <w:pPr>
              <w:spacing w:line="240" w:lineRule="auto"/>
            </w:pPr>
            <w:r>
              <w:rPr>
                <w:sz w:val="20"/>
              </w:rPr>
            </w:r>
          </w:p>
        </w:tc>
        <w:tc>
          <w:tcPr>
            <w:tcW w:type="dxa" w:w="1872"/>
          </w:tcPr>
          <w:p>
            <w:pPr>
              <w:spacing w:line="240" w:lineRule="auto"/>
            </w:pPr>
            <w:r>
              <w:rPr>
                <w:sz w:val="20"/>
              </w:rPr>
            </w:r>
          </w:p>
        </w:tc>
        <w:tc>
          <w:tcPr>
            <w:tcW w:type="dxa" w:w="1872"/>
          </w:tcPr>
          <w:p>
            <w:pPr>
              <w:spacing w:line="240" w:lineRule="auto"/>
            </w:pPr>
            <w:r>
              <w:rPr>
                <w:sz w:val="20"/>
              </w:rPr>
            </w:r>
          </w:p>
        </w:tc>
      </w:tr>
      <w:tr>
        <w:tc>
          <w:tcPr>
            <w:tcW w:type="dxa" w:w="1872"/>
          </w:tcPr>
          <w:p>
            <w:pPr>
              <w:spacing w:line="240" w:lineRule="auto"/>
            </w:pPr>
            <w:r>
              <w:rPr>
                <w:sz w:val="20"/>
              </w:rPr>
            </w:r>
            <w:r>
              <w:rPr>
                <w:sz w:val="20"/>
              </w:rPr>
              <w:t xml:space="preserve">   HiBER, bounded form</w:t>
            </w:r>
          </w:p>
        </w:tc>
        <w:tc>
          <w:tcPr>
            <w:tcW w:type="dxa" w:w="1872"/>
          </w:tcPr>
          <w:p>
            <w:pPr>
              <w:spacing w:line="240" w:lineRule="auto"/>
            </w:pPr>
            <w:r>
              <w:rPr>
                <w:sz w:val="20"/>
              </w:rPr>
            </w:r>
            <w:r>
              <w:rPr>
                <w:sz w:val="20"/>
              </w:rPr>
              <w:t>82%</w:t>
            </w:r>
          </w:p>
        </w:tc>
        <w:tc>
          <w:tcPr>
            <w:tcW w:type="dxa" w:w="1872"/>
          </w:tcPr>
          <w:p>
            <w:pPr>
              <w:spacing w:line="240" w:lineRule="auto"/>
            </w:pPr>
            <w:r>
              <w:rPr>
                <w:sz w:val="20"/>
              </w:rPr>
            </w:r>
            <w:r>
              <w:rPr>
                <w:sz w:val="20"/>
              </w:rPr>
              <w:t>5%</w:t>
            </w:r>
          </w:p>
        </w:tc>
        <w:tc>
          <w:tcPr>
            <w:tcW w:type="dxa" w:w="1872"/>
          </w:tcPr>
          <w:p>
            <w:pPr>
              <w:spacing w:line="240" w:lineRule="auto"/>
            </w:pPr>
            <w:r>
              <w:rPr>
                <w:sz w:val="20"/>
              </w:rPr>
            </w:r>
            <w:r>
              <w:rPr>
                <w:sz w:val="20"/>
              </w:rPr>
              <w:t>0.06</w:t>
            </w:r>
          </w:p>
        </w:tc>
        <w:tc>
          <w:tcPr>
            <w:tcW w:type="dxa" w:w="1872"/>
          </w:tcPr>
          <w:p>
            <w:pPr>
              <w:spacing w:line="240" w:lineRule="auto"/>
            </w:pPr>
            <w:r>
              <w:rPr>
                <w:sz w:val="20"/>
              </w:rPr>
            </w:r>
            <w:r>
              <w:rPr>
                <w:sz w:val="20"/>
              </w:rPr>
              <w:t>0.0731</w:t>
            </w:r>
          </w:p>
        </w:tc>
      </w:tr>
      <w:tr>
        <w:tc>
          <w:tcPr>
            <w:tcW w:type="dxa" w:w="1872"/>
          </w:tcPr>
          <w:p>
            <w:pPr>
              <w:spacing w:line="240" w:lineRule="auto"/>
            </w:pPr>
            <w:r>
              <w:rPr>
                <w:sz w:val="20"/>
              </w:rPr>
            </w:r>
            <w:r>
              <w:rPr>
                <w:sz w:val="20"/>
              </w:rPr>
              <w:t xml:space="preserve">   HiBER, quadratic form</w:t>
            </w:r>
          </w:p>
        </w:tc>
        <w:tc>
          <w:tcPr>
            <w:tcW w:type="dxa" w:w="1872"/>
          </w:tcPr>
          <w:p>
            <w:pPr>
              <w:spacing w:line="240" w:lineRule="auto"/>
            </w:pPr>
            <w:r>
              <w:rPr>
                <w:sz w:val="20"/>
              </w:rPr>
            </w:r>
            <w:r>
              <w:rPr>
                <w:sz w:val="20"/>
              </w:rPr>
              <w:t>84%</w:t>
            </w:r>
          </w:p>
        </w:tc>
        <w:tc>
          <w:tcPr>
            <w:tcW w:type="dxa" w:w="1872"/>
          </w:tcPr>
          <w:p>
            <w:pPr>
              <w:spacing w:line="240" w:lineRule="auto"/>
            </w:pPr>
            <w:r>
              <w:rPr>
                <w:sz w:val="20"/>
              </w:rPr>
            </w:r>
            <w:r>
              <w:rPr>
                <w:sz w:val="20"/>
              </w:rPr>
              <w:t>5%</w:t>
            </w:r>
          </w:p>
        </w:tc>
        <w:tc>
          <w:tcPr>
            <w:tcW w:type="dxa" w:w="1872"/>
          </w:tcPr>
          <w:p>
            <w:pPr>
              <w:spacing w:line="240" w:lineRule="auto"/>
            </w:pPr>
            <w:r>
              <w:rPr>
                <w:sz w:val="20"/>
              </w:rPr>
            </w:r>
            <w:r>
              <w:rPr>
                <w:sz w:val="20"/>
              </w:rPr>
              <w:t>0.09</w:t>
            </w:r>
          </w:p>
        </w:tc>
        <w:tc>
          <w:tcPr>
            <w:tcW w:type="dxa" w:w="1872"/>
          </w:tcPr>
          <w:p>
            <w:pPr>
              <w:spacing w:line="240" w:lineRule="auto"/>
            </w:pPr>
            <w:r>
              <w:rPr>
                <w:sz w:val="20"/>
              </w:rPr>
            </w:r>
            <w:r>
              <w:rPr>
                <w:sz w:val="20"/>
              </w:rPr>
              <w:t>0.0714</w:t>
            </w:r>
          </w:p>
        </w:tc>
      </w:tr>
      <w:tr>
        <w:tc>
          <w:tcPr>
            <w:tcW w:type="dxa" w:w="1872"/>
          </w:tcPr>
          <w:p>
            <w:pPr>
              <w:spacing w:line="240" w:lineRule="auto"/>
            </w:pPr>
            <w:r>
              <w:rPr>
                <w:sz w:val="20"/>
              </w:rPr>
            </w:r>
            <w:r>
              <w:rPr>
                <w:sz w:val="20"/>
              </w:rPr>
              <w:t xml:space="preserve">   HiBER, power form</w:t>
            </w:r>
          </w:p>
        </w:tc>
        <w:tc>
          <w:tcPr>
            <w:tcW w:type="dxa" w:w="1872"/>
          </w:tcPr>
          <w:p>
            <w:pPr>
              <w:spacing w:line="240" w:lineRule="auto"/>
            </w:pPr>
            <w:r>
              <w:rPr>
                <w:sz w:val="20"/>
              </w:rPr>
            </w:r>
            <w:r>
              <w:rPr>
                <w:sz w:val="20"/>
              </w:rPr>
              <w:t>84%</w:t>
            </w:r>
          </w:p>
        </w:tc>
        <w:tc>
          <w:tcPr>
            <w:tcW w:type="dxa" w:w="1872"/>
          </w:tcPr>
          <w:p>
            <w:pPr>
              <w:spacing w:line="240" w:lineRule="auto"/>
            </w:pPr>
            <w:r>
              <w:rPr>
                <w:sz w:val="20"/>
              </w:rPr>
            </w:r>
            <w:r>
              <w:rPr>
                <w:sz w:val="20"/>
              </w:rPr>
              <w:t>5%</w:t>
            </w:r>
          </w:p>
        </w:tc>
        <w:tc>
          <w:tcPr>
            <w:tcW w:type="dxa" w:w="1872"/>
          </w:tcPr>
          <w:p>
            <w:pPr>
              <w:spacing w:line="240" w:lineRule="auto"/>
            </w:pPr>
            <w:r>
              <w:rPr>
                <w:sz w:val="20"/>
              </w:rPr>
            </w:r>
            <w:r>
              <w:rPr>
                <w:sz w:val="20"/>
              </w:rPr>
              <w:t>0.11</w:t>
            </w:r>
          </w:p>
        </w:tc>
        <w:tc>
          <w:tcPr>
            <w:tcW w:type="dxa" w:w="1872"/>
          </w:tcPr>
          <w:p>
            <w:pPr>
              <w:spacing w:line="240" w:lineRule="auto"/>
            </w:pPr>
            <w:r>
              <w:rPr>
                <w:sz w:val="20"/>
              </w:rPr>
            </w:r>
            <w:r>
              <w:rPr>
                <w:sz w:val="20"/>
              </w:rPr>
              <w:t>0.0717</w:t>
            </w:r>
          </w:p>
        </w:tc>
      </w:tr>
      <w:tr>
        <w:tc>
          <w:tcPr>
            <w:tcW w:type="dxa" w:w="1872"/>
          </w:tcPr>
          <w:p>
            <w:pPr>
              <w:spacing w:line="240" w:lineRule="auto"/>
            </w:pPr>
            <w:r>
              <w:rPr>
                <w:sz w:val="20"/>
              </w:rPr>
            </w:r>
            <w:r>
              <w:rPr>
                <w:sz w:val="20"/>
              </w:rPr>
              <w:t xml:space="preserve">   Leps 2.0, hierarchical dispersion</w:t>
            </w:r>
          </w:p>
        </w:tc>
        <w:tc>
          <w:tcPr>
            <w:tcW w:type="dxa" w:w="1872"/>
          </w:tcPr>
          <w:p>
            <w:pPr>
              <w:spacing w:line="240" w:lineRule="auto"/>
            </w:pPr>
            <w:r>
              <w:rPr>
                <w:sz w:val="20"/>
              </w:rPr>
            </w:r>
            <w:r>
              <w:rPr>
                <w:sz w:val="20"/>
              </w:rPr>
              <w:t>82%</w:t>
            </w:r>
          </w:p>
        </w:tc>
        <w:tc>
          <w:tcPr>
            <w:tcW w:type="dxa" w:w="1872"/>
          </w:tcPr>
          <w:p>
            <w:pPr>
              <w:spacing w:line="240" w:lineRule="auto"/>
            </w:pPr>
            <w:r>
              <w:rPr>
                <w:sz w:val="20"/>
              </w:rPr>
            </w:r>
            <w:r>
              <w:rPr>
                <w:sz w:val="20"/>
              </w:rPr>
              <w:t>4%</w:t>
            </w:r>
          </w:p>
        </w:tc>
        <w:tc>
          <w:tcPr>
            <w:tcW w:type="dxa" w:w="1872"/>
          </w:tcPr>
          <w:p>
            <w:pPr>
              <w:spacing w:line="240" w:lineRule="auto"/>
            </w:pPr>
            <w:r>
              <w:rPr>
                <w:sz w:val="20"/>
              </w:rPr>
            </w:r>
            <w:r>
              <w:rPr>
                <w:sz w:val="20"/>
              </w:rPr>
              <w:t>0.31</w:t>
            </w:r>
          </w:p>
        </w:tc>
        <w:tc>
          <w:tcPr>
            <w:tcW w:type="dxa" w:w="1872"/>
          </w:tcPr>
          <w:p>
            <w:pPr>
              <w:spacing w:line="240" w:lineRule="auto"/>
            </w:pPr>
            <w:r>
              <w:rPr>
                <w:sz w:val="20"/>
              </w:rPr>
            </w:r>
            <w:r>
              <w:rPr>
                <w:sz w:val="20"/>
              </w:rPr>
              <w:t>0.0773</w:t>
            </w:r>
          </w:p>
        </w:tc>
      </w:tr>
      <w:tr>
        <w:tc>
          <w:tcPr>
            <w:tcW w:type="dxa" w:w="1872"/>
          </w:tcPr>
          <w:p>
            <w:pPr>
              <w:spacing w:line="240" w:lineRule="auto"/>
            </w:pPr>
            <w:r>
              <w:rPr>
                <w:sz w:val="20"/>
              </w:rPr>
            </w:r>
            <w:r>
              <w:rPr>
                <w:sz w:val="20"/>
              </w:rPr>
              <w:t xml:space="preserve">   Leps 2.0, constant dispersion</w:t>
            </w:r>
          </w:p>
        </w:tc>
        <w:tc>
          <w:tcPr>
            <w:tcW w:type="dxa" w:w="1872"/>
          </w:tcPr>
          <w:p>
            <w:pPr>
              <w:spacing w:line="240" w:lineRule="auto"/>
            </w:pPr>
            <w:r>
              <w:rPr>
                <w:sz w:val="20"/>
              </w:rPr>
            </w:r>
            <w:r>
              <w:rPr>
                <w:sz w:val="20"/>
              </w:rPr>
              <w:t>82%</w:t>
            </w:r>
          </w:p>
        </w:tc>
        <w:tc>
          <w:tcPr>
            <w:tcW w:type="dxa" w:w="1872"/>
          </w:tcPr>
          <w:p>
            <w:pPr>
              <w:spacing w:line="240" w:lineRule="auto"/>
            </w:pPr>
            <w:r>
              <w:rPr>
                <w:sz w:val="20"/>
              </w:rPr>
            </w:r>
            <w:r>
              <w:rPr>
                <w:sz w:val="20"/>
              </w:rPr>
              <w:t>4%</w:t>
            </w:r>
          </w:p>
        </w:tc>
        <w:tc>
          <w:tcPr>
            <w:tcW w:type="dxa" w:w="1872"/>
          </w:tcPr>
          <w:p>
            <w:pPr>
              <w:spacing w:line="240" w:lineRule="auto"/>
            </w:pPr>
            <w:r>
              <w:rPr>
                <w:sz w:val="20"/>
              </w:rPr>
            </w:r>
            <w:r>
              <w:rPr>
                <w:sz w:val="20"/>
              </w:rPr>
              <w:t>0.22</w:t>
            </w:r>
          </w:p>
        </w:tc>
        <w:tc>
          <w:tcPr>
            <w:tcW w:type="dxa" w:w="1872"/>
          </w:tcPr>
          <w:p>
            <w:pPr>
              <w:spacing w:line="240" w:lineRule="auto"/>
            </w:pPr>
            <w:r>
              <w:rPr>
                <w:sz w:val="20"/>
              </w:rPr>
            </w:r>
            <w:r>
              <w:rPr>
                <w:sz w:val="20"/>
              </w:rPr>
              <w:t>0.0693</w:t>
            </w:r>
          </w:p>
        </w:tc>
      </w:tr>
      <w:tr>
        <w:tc>
          <w:tcPr>
            <w:tcW w:type="dxa" w:w="1872"/>
          </w:tcPr>
          <w:p>
            <w:pPr>
              <w:spacing w:line="240" w:lineRule="auto"/>
            </w:pPr>
            <w:r>
              <w:rPr>
                <w:sz w:val="20"/>
              </w:rPr>
            </w:r>
            <w:r>
              <w:rPr>
                <w:sz w:val="20"/>
              </w:rPr>
              <w:t xml:space="preserve">Mode A, </w:t>
            </w:r>
            <m:oMath>
              <m:sSubSup>
                <m:e>
                  <m:r>
                    <m:t>σ</m:t>
                  </m:r>
                </m:e>
                <m:sub>
                  <m:r>
                    <m:t>n</m:t>
                  </m:r>
                </m:sub>
                <m:sup>
                  <m:r>
                    <m:t>′</m:t>
                  </m:r>
                </m:sup>
              </m:sSubSup>
            </m:oMath>
            <w:r>
              <w:rPr>
                <w:sz w:val="20"/>
              </w:rPr>
              <w:t xml:space="preserve"> ≥ 2 MPa (118 tests)</w:t>
            </w:r>
          </w:p>
        </w:tc>
        <w:tc>
          <w:tcPr>
            <w:tcW w:type="dxa" w:w="1872"/>
          </w:tcPr>
          <w:p>
            <w:pPr>
              <w:spacing w:line="240" w:lineRule="auto"/>
            </w:pPr>
            <w:r>
              <w:rPr>
                <w:sz w:val="20"/>
              </w:rPr>
            </w:r>
          </w:p>
        </w:tc>
        <w:tc>
          <w:tcPr>
            <w:tcW w:type="dxa" w:w="1872"/>
          </w:tcPr>
          <w:p>
            <w:pPr>
              <w:spacing w:line="240" w:lineRule="auto"/>
            </w:pPr>
            <w:r>
              <w:rPr>
                <w:sz w:val="20"/>
              </w:rPr>
            </w:r>
          </w:p>
        </w:tc>
        <w:tc>
          <w:tcPr>
            <w:tcW w:type="dxa" w:w="1872"/>
          </w:tcPr>
          <w:p>
            <w:pPr>
              <w:spacing w:line="240" w:lineRule="auto"/>
            </w:pPr>
            <w:r>
              <w:rPr>
                <w:sz w:val="20"/>
              </w:rPr>
            </w:r>
          </w:p>
        </w:tc>
        <w:tc>
          <w:tcPr>
            <w:tcW w:type="dxa" w:w="1872"/>
          </w:tcPr>
          <w:p>
            <w:pPr>
              <w:spacing w:line="240" w:lineRule="auto"/>
            </w:pPr>
            <w:r>
              <w:rPr>
                <w:sz w:val="20"/>
              </w:rPr>
            </w:r>
          </w:p>
        </w:tc>
      </w:tr>
      <w:tr>
        <w:tc>
          <w:tcPr>
            <w:tcW w:type="dxa" w:w="1872"/>
          </w:tcPr>
          <w:p>
            <w:pPr>
              <w:spacing w:line="240" w:lineRule="auto"/>
            </w:pPr>
            <w:r>
              <w:rPr>
                <w:sz w:val="20"/>
              </w:rPr>
            </w:r>
            <w:r>
              <w:rPr>
                <w:sz w:val="20"/>
              </w:rPr>
              <w:t xml:space="preserve">   HiBER, bounded form</w:t>
            </w:r>
          </w:p>
        </w:tc>
        <w:tc>
          <w:tcPr>
            <w:tcW w:type="dxa" w:w="1872"/>
          </w:tcPr>
          <w:p>
            <w:pPr>
              <w:spacing w:line="240" w:lineRule="auto"/>
            </w:pPr>
            <w:r>
              <w:rPr>
                <w:sz w:val="20"/>
              </w:rPr>
            </w:r>
            <w:r>
              <w:rPr>
                <w:sz w:val="20"/>
              </w:rPr>
              <w:t>80%</w:t>
            </w:r>
          </w:p>
        </w:tc>
        <w:tc>
          <w:tcPr>
            <w:tcW w:type="dxa" w:w="1872"/>
          </w:tcPr>
          <w:p>
            <w:pPr>
              <w:spacing w:line="240" w:lineRule="auto"/>
            </w:pPr>
            <w:r>
              <w:rPr>
                <w:sz w:val="20"/>
              </w:rPr>
            </w:r>
            <w:r>
              <w:rPr>
                <w:sz w:val="20"/>
              </w:rPr>
              <w:t>8%</w:t>
            </w:r>
          </w:p>
        </w:tc>
        <w:tc>
          <w:tcPr>
            <w:tcW w:type="dxa" w:w="1872"/>
          </w:tcPr>
          <w:p>
            <w:pPr>
              <w:spacing w:line="240" w:lineRule="auto"/>
            </w:pPr>
            <w:r>
              <w:rPr>
                <w:sz w:val="20"/>
              </w:rPr>
            </w:r>
            <w:r>
              <w:rPr>
                <w:sz w:val="20"/>
              </w:rPr>
              <w:t>−0.05</w:t>
            </w:r>
          </w:p>
        </w:tc>
        <w:tc>
          <w:tcPr>
            <w:tcW w:type="dxa" w:w="1872"/>
          </w:tcPr>
          <w:p>
            <w:pPr>
              <w:spacing w:line="240" w:lineRule="auto"/>
            </w:pPr>
            <w:r>
              <w:rPr>
                <w:sz w:val="20"/>
              </w:rPr>
            </w:r>
            <w:r>
              <w:rPr>
                <w:sz w:val="20"/>
              </w:rPr>
              <w:t>0.0639</w:t>
            </w:r>
          </w:p>
        </w:tc>
      </w:tr>
      <w:tr>
        <w:tc>
          <w:tcPr>
            <w:tcW w:type="dxa" w:w="1872"/>
          </w:tcPr>
          <w:p>
            <w:pPr>
              <w:spacing w:line="240" w:lineRule="auto"/>
            </w:pPr>
            <w:r>
              <w:rPr>
                <w:sz w:val="20"/>
              </w:rPr>
            </w:r>
            <w:r>
              <w:rPr>
                <w:sz w:val="20"/>
              </w:rPr>
              <w:t xml:space="preserve">   HiBER, quadratic form</w:t>
            </w:r>
          </w:p>
        </w:tc>
        <w:tc>
          <w:tcPr>
            <w:tcW w:type="dxa" w:w="1872"/>
          </w:tcPr>
          <w:p>
            <w:pPr>
              <w:spacing w:line="240" w:lineRule="auto"/>
            </w:pPr>
            <w:r>
              <w:rPr>
                <w:sz w:val="20"/>
              </w:rPr>
            </w:r>
            <w:r>
              <w:rPr>
                <w:sz w:val="20"/>
              </w:rPr>
              <w:t>87%</w:t>
            </w:r>
          </w:p>
        </w:tc>
        <w:tc>
          <w:tcPr>
            <w:tcW w:type="dxa" w:w="1872"/>
          </w:tcPr>
          <w:p>
            <w:pPr>
              <w:spacing w:line="240" w:lineRule="auto"/>
            </w:pPr>
            <w:r>
              <w:rPr>
                <w:sz w:val="20"/>
              </w:rPr>
            </w:r>
            <w:r>
              <w:rPr>
                <w:sz w:val="20"/>
              </w:rPr>
              <w:t>5%</w:t>
            </w:r>
          </w:p>
        </w:tc>
        <w:tc>
          <w:tcPr>
            <w:tcW w:type="dxa" w:w="1872"/>
          </w:tcPr>
          <w:p>
            <w:pPr>
              <w:spacing w:line="240" w:lineRule="auto"/>
            </w:pPr>
            <w:r>
              <w:rPr>
                <w:sz w:val="20"/>
              </w:rPr>
            </w:r>
            <w:r>
              <w:rPr>
                <w:sz w:val="20"/>
              </w:rPr>
              <w:t>0.17</w:t>
            </w:r>
          </w:p>
        </w:tc>
        <w:tc>
          <w:tcPr>
            <w:tcW w:type="dxa" w:w="1872"/>
          </w:tcPr>
          <w:p>
            <w:pPr>
              <w:spacing w:line="240" w:lineRule="auto"/>
            </w:pPr>
            <w:r>
              <w:rPr>
                <w:sz w:val="20"/>
              </w:rPr>
            </w:r>
            <w:r>
              <w:rPr>
                <w:sz w:val="20"/>
              </w:rPr>
              <w:t>0.0547</w:t>
            </w:r>
          </w:p>
        </w:tc>
      </w:tr>
      <w:tr>
        <w:tc>
          <w:tcPr>
            <w:tcW w:type="dxa" w:w="1872"/>
          </w:tcPr>
          <w:p>
            <w:pPr>
              <w:spacing w:line="240" w:lineRule="auto"/>
            </w:pPr>
            <w:r>
              <w:rPr>
                <w:sz w:val="20"/>
              </w:rPr>
            </w:r>
            <w:r>
              <w:rPr>
                <w:sz w:val="20"/>
              </w:rPr>
              <w:t xml:space="preserve">   HiBER, power form</w:t>
            </w:r>
          </w:p>
        </w:tc>
        <w:tc>
          <w:tcPr>
            <w:tcW w:type="dxa" w:w="1872"/>
          </w:tcPr>
          <w:p>
            <w:pPr>
              <w:spacing w:line="240" w:lineRule="auto"/>
            </w:pPr>
            <w:r>
              <w:rPr>
                <w:sz w:val="20"/>
              </w:rPr>
            </w:r>
            <w:r>
              <w:rPr>
                <w:sz w:val="20"/>
              </w:rPr>
              <w:t>87%</w:t>
            </w:r>
          </w:p>
        </w:tc>
        <w:tc>
          <w:tcPr>
            <w:tcW w:type="dxa" w:w="1872"/>
          </w:tcPr>
          <w:p>
            <w:pPr>
              <w:spacing w:line="240" w:lineRule="auto"/>
            </w:pPr>
            <w:r>
              <w:rPr>
                <w:sz w:val="20"/>
              </w:rPr>
            </w:r>
            <w:r>
              <w:rPr>
                <w:sz w:val="20"/>
              </w:rPr>
              <w:t>5%</w:t>
            </w:r>
          </w:p>
        </w:tc>
        <w:tc>
          <w:tcPr>
            <w:tcW w:type="dxa" w:w="1872"/>
          </w:tcPr>
          <w:p>
            <w:pPr>
              <w:spacing w:line="240" w:lineRule="auto"/>
            </w:pPr>
            <w:r>
              <w:rPr>
                <w:sz w:val="20"/>
              </w:rPr>
            </w:r>
            <w:r>
              <w:rPr>
                <w:sz w:val="20"/>
              </w:rPr>
              <w:t>0.24</w:t>
            </w:r>
          </w:p>
        </w:tc>
        <w:tc>
          <w:tcPr>
            <w:tcW w:type="dxa" w:w="1872"/>
          </w:tcPr>
          <w:p>
            <w:pPr>
              <w:spacing w:line="240" w:lineRule="auto"/>
            </w:pPr>
            <w:r>
              <w:rPr>
                <w:sz w:val="20"/>
              </w:rPr>
            </w:r>
            <w:r>
              <w:rPr>
                <w:sz w:val="20"/>
              </w:rPr>
              <w:t>0.0576</w:t>
            </w:r>
          </w:p>
        </w:tc>
      </w:tr>
      <w:tr>
        <w:tc>
          <w:tcPr>
            <w:tcW w:type="dxa" w:w="1872"/>
          </w:tcPr>
          <w:p>
            <w:pPr>
              <w:spacing w:line="240" w:lineRule="auto"/>
            </w:pPr>
            <w:r>
              <w:rPr>
                <w:sz w:val="20"/>
              </w:rPr>
            </w:r>
            <w:r>
              <w:rPr>
                <w:sz w:val="20"/>
              </w:rPr>
              <w:t xml:space="preserve">   Leps 2.0, hierarchical dispersion</w:t>
            </w:r>
          </w:p>
        </w:tc>
        <w:tc>
          <w:tcPr>
            <w:tcW w:type="dxa" w:w="1872"/>
          </w:tcPr>
          <w:p>
            <w:pPr>
              <w:spacing w:line="240" w:lineRule="auto"/>
            </w:pPr>
            <w:r>
              <w:rPr>
                <w:sz w:val="20"/>
              </w:rPr>
            </w:r>
            <w:r>
              <w:rPr>
                <w:sz w:val="20"/>
              </w:rPr>
              <w:t>91%</w:t>
            </w:r>
          </w:p>
        </w:tc>
        <w:tc>
          <w:tcPr>
            <w:tcW w:type="dxa" w:w="1872"/>
          </w:tcPr>
          <w:p>
            <w:pPr>
              <w:spacing w:line="240" w:lineRule="auto"/>
            </w:pPr>
            <w:r>
              <w:rPr>
                <w:sz w:val="20"/>
              </w:rPr>
            </w:r>
            <w:r>
              <w:rPr>
                <w:sz w:val="20"/>
              </w:rPr>
              <w:t>6%</w:t>
            </w:r>
          </w:p>
        </w:tc>
        <w:tc>
          <w:tcPr>
            <w:tcW w:type="dxa" w:w="1872"/>
          </w:tcPr>
          <w:p>
            <w:pPr>
              <w:spacing w:line="240" w:lineRule="auto"/>
            </w:pPr>
            <w:r>
              <w:rPr>
                <w:sz w:val="20"/>
              </w:rPr>
            </w:r>
            <w:r>
              <w:rPr>
                <w:sz w:val="20"/>
              </w:rPr>
              <w:t>−0.09</w:t>
            </w:r>
          </w:p>
        </w:tc>
        <w:tc>
          <w:tcPr>
            <w:tcW w:type="dxa" w:w="1872"/>
          </w:tcPr>
          <w:p>
            <w:pPr>
              <w:spacing w:line="240" w:lineRule="auto"/>
            </w:pPr>
            <w:r>
              <w:rPr>
                <w:sz w:val="20"/>
              </w:rPr>
            </w:r>
            <w:r>
              <w:rPr>
                <w:sz w:val="20"/>
              </w:rPr>
              <w:t>0.0546</w:t>
            </w:r>
          </w:p>
        </w:tc>
      </w:tr>
      <w:tr>
        <w:tc>
          <w:tcPr>
            <w:tcW w:type="dxa" w:w="1872"/>
          </w:tcPr>
          <w:p>
            <w:pPr>
              <w:spacing w:line="240" w:lineRule="auto"/>
            </w:pPr>
            <w:r>
              <w:rPr>
                <w:sz w:val="20"/>
              </w:rPr>
            </w:r>
            <w:r>
              <w:rPr>
                <w:sz w:val="20"/>
              </w:rPr>
              <w:t xml:space="preserve">   Leps 2.0, constant dispersion</w:t>
            </w:r>
          </w:p>
        </w:tc>
        <w:tc>
          <w:tcPr>
            <w:tcW w:type="dxa" w:w="1872"/>
          </w:tcPr>
          <w:p>
            <w:pPr>
              <w:spacing w:line="240" w:lineRule="auto"/>
            </w:pPr>
            <w:r>
              <w:rPr>
                <w:sz w:val="20"/>
              </w:rPr>
            </w:r>
            <w:r>
              <w:rPr>
                <w:sz w:val="20"/>
              </w:rPr>
              <w:t>92%</w:t>
            </w:r>
          </w:p>
        </w:tc>
        <w:tc>
          <w:tcPr>
            <w:tcW w:type="dxa" w:w="1872"/>
          </w:tcPr>
          <w:p>
            <w:pPr>
              <w:spacing w:line="240" w:lineRule="auto"/>
            </w:pPr>
            <w:r>
              <w:rPr>
                <w:sz w:val="20"/>
              </w:rPr>
            </w:r>
            <w:r>
              <w:rPr>
                <w:sz w:val="20"/>
              </w:rPr>
              <w:t>5%</w:t>
            </w:r>
          </w:p>
        </w:tc>
        <w:tc>
          <w:tcPr>
            <w:tcW w:type="dxa" w:w="1872"/>
          </w:tcPr>
          <w:p>
            <w:pPr>
              <w:spacing w:line="240" w:lineRule="auto"/>
            </w:pPr>
            <w:r>
              <w:rPr>
                <w:sz w:val="20"/>
              </w:rPr>
            </w:r>
            <w:r>
              <w:rPr>
                <w:sz w:val="20"/>
              </w:rPr>
              <w:t>−0.26</w:t>
            </w:r>
          </w:p>
        </w:tc>
        <w:tc>
          <w:tcPr>
            <w:tcW w:type="dxa" w:w="1872"/>
          </w:tcPr>
          <w:p>
            <w:pPr>
              <w:spacing w:line="240" w:lineRule="auto"/>
            </w:pPr>
            <w:r>
              <w:rPr>
                <w:sz w:val="20"/>
              </w:rPr>
            </w:r>
            <w:r>
              <w:rPr>
                <w:sz w:val="20"/>
              </w:rPr>
              <w:t>0.0488</w:t>
            </w:r>
          </w:p>
        </w:tc>
      </w:tr>
      <w:tr>
        <w:tc>
          <w:tcPr>
            <w:tcW w:type="dxa" w:w="1872"/>
          </w:tcPr>
          <w:p>
            <w:pPr>
              <w:spacing w:line="240" w:lineRule="auto"/>
            </w:pPr>
            <w:r>
              <w:rPr>
                <w:sz w:val="20"/>
              </w:rPr>
            </w:r>
            <w:r>
              <w:rPr>
                <w:sz w:val="20"/>
              </w:rPr>
              <w:t xml:space="preserve">Mode B, site tests at </w:t>
            </w:r>
            <m:oMath>
              <m:sSubSup>
                <m:e>
                  <m:r>
                    <m:t>σ</m:t>
                  </m:r>
                </m:e>
                <m:sub>
                  <m:r>
                    <m:t>n</m:t>
                  </m:r>
                </m:sub>
                <m:sup>
                  <m:r>
                    <m:t>′</m:t>
                  </m:r>
                </m:sup>
              </m:sSubSup>
            </m:oMath>
            <w:r>
              <w:rPr>
                <w:sz w:val="20"/>
              </w:rPr>
              <w:t xml:space="preserve"> ≤ 1.5 MPa (50 tests)</w:t>
            </w:r>
          </w:p>
        </w:tc>
        <w:tc>
          <w:tcPr>
            <w:tcW w:type="dxa" w:w="1872"/>
          </w:tcPr>
          <w:p>
            <w:pPr>
              <w:spacing w:line="240" w:lineRule="auto"/>
            </w:pPr>
            <w:r>
              <w:rPr>
                <w:sz w:val="20"/>
              </w:rPr>
            </w:r>
          </w:p>
        </w:tc>
        <w:tc>
          <w:tcPr>
            <w:tcW w:type="dxa" w:w="1872"/>
          </w:tcPr>
          <w:p>
            <w:pPr>
              <w:spacing w:line="240" w:lineRule="auto"/>
            </w:pPr>
            <w:r>
              <w:rPr>
                <w:sz w:val="20"/>
              </w:rPr>
            </w:r>
          </w:p>
        </w:tc>
        <w:tc>
          <w:tcPr>
            <w:tcW w:type="dxa" w:w="1872"/>
          </w:tcPr>
          <w:p>
            <w:pPr>
              <w:spacing w:line="240" w:lineRule="auto"/>
            </w:pPr>
            <w:r>
              <w:rPr>
                <w:sz w:val="20"/>
              </w:rPr>
            </w:r>
          </w:p>
        </w:tc>
        <w:tc>
          <w:tcPr>
            <w:tcW w:type="dxa" w:w="1872"/>
          </w:tcPr>
          <w:p>
            <w:pPr>
              <w:spacing w:line="240" w:lineRule="auto"/>
            </w:pPr>
            <w:r>
              <w:rPr>
                <w:sz w:val="20"/>
              </w:rPr>
            </w:r>
          </w:p>
        </w:tc>
      </w:tr>
      <w:tr>
        <w:tc>
          <w:tcPr>
            <w:tcW w:type="dxa" w:w="1872"/>
          </w:tcPr>
          <w:p>
            <w:pPr>
              <w:spacing w:line="240" w:lineRule="auto"/>
            </w:pPr>
            <w:r>
              <w:rPr>
                <w:sz w:val="20"/>
              </w:rPr>
            </w:r>
            <w:r>
              <w:rPr>
                <w:sz w:val="20"/>
              </w:rPr>
              <w:t xml:space="preserve">   Prior, no site tests</w:t>
            </w:r>
          </w:p>
        </w:tc>
        <w:tc>
          <w:tcPr>
            <w:tcW w:type="dxa" w:w="1872"/>
          </w:tcPr>
          <w:p>
            <w:pPr>
              <w:spacing w:line="240" w:lineRule="auto"/>
            </w:pPr>
            <w:r>
              <w:rPr>
                <w:sz w:val="20"/>
              </w:rPr>
            </w:r>
            <w:r>
              <w:rPr>
                <w:sz w:val="20"/>
              </w:rPr>
              <w:t>88%</w:t>
            </w:r>
          </w:p>
        </w:tc>
        <w:tc>
          <w:tcPr>
            <w:tcW w:type="dxa" w:w="1872"/>
          </w:tcPr>
          <w:p>
            <w:pPr>
              <w:spacing w:line="240" w:lineRule="auto"/>
            </w:pPr>
            <w:r>
              <w:rPr>
                <w:sz w:val="20"/>
              </w:rPr>
            </w:r>
            <w:r>
              <w:rPr>
                <w:sz w:val="20"/>
              </w:rPr>
              <w:t>4%</w:t>
            </w:r>
          </w:p>
        </w:tc>
        <w:tc>
          <w:tcPr>
            <w:tcW w:type="dxa" w:w="1872"/>
          </w:tcPr>
          <w:p>
            <w:pPr>
              <w:spacing w:line="240" w:lineRule="auto"/>
            </w:pPr>
            <w:r>
              <w:rPr>
                <w:sz w:val="20"/>
              </w:rPr>
            </w:r>
            <w:r>
              <w:rPr>
                <w:sz w:val="20"/>
              </w:rPr>
              <w:t>−0.20</w:t>
            </w:r>
          </w:p>
        </w:tc>
        <w:tc>
          <w:tcPr>
            <w:tcW w:type="dxa" w:w="1872"/>
          </w:tcPr>
          <w:p>
            <w:pPr>
              <w:spacing w:line="240" w:lineRule="auto"/>
            </w:pPr>
            <w:r>
              <w:rPr>
                <w:sz w:val="20"/>
              </w:rPr>
            </w:r>
            <w:r>
              <w:rPr>
                <w:sz w:val="20"/>
              </w:rPr>
              <w:t>0.0455</w:t>
            </w:r>
          </w:p>
        </w:tc>
      </w:tr>
      <w:tr>
        <w:tc>
          <w:tcPr>
            <w:tcW w:type="dxa" w:w="1872"/>
          </w:tcPr>
          <w:p>
            <w:pPr>
              <w:spacing w:line="240" w:lineRule="auto"/>
            </w:pPr>
            <w:r>
              <w:rPr>
                <w:sz w:val="20"/>
              </w:rPr>
            </w:r>
            <w:r>
              <w:rPr>
                <w:sz w:val="20"/>
              </w:rPr>
              <w:t xml:space="preserve">   Fit of </w:t>
            </w:r>
            <m:oMath>
              <m:sSubSup>
                <m:e>
                  <m:r>
                    <m:t>ϕ</m:t>
                  </m:r>
                </m:e>
                <m:sub>
                  <m:r>
                    <m:t>1</m:t>
                  </m:r>
                </m:sub>
                <m:sup>
                  <m:r>
                    <m:t>′</m:t>
                  </m:r>
                </m:sup>
              </m:sSubSup>
            </m:oMath>
            <w:r>
              <w:rPr>
                <w:sz w:val="20"/>
              </w:rPr>
              <w:t>, m = 0.90</w:t>
            </w:r>
          </w:p>
        </w:tc>
        <w:tc>
          <w:tcPr>
            <w:tcW w:type="dxa" w:w="1872"/>
          </w:tcPr>
          <w:p>
            <w:pPr>
              <w:spacing w:line="240" w:lineRule="auto"/>
            </w:pPr>
            <w:r>
              <w:rPr>
                <w:sz w:val="20"/>
              </w:rPr>
            </w:r>
            <w:r>
              <w:rPr>
                <w:sz w:val="20"/>
              </w:rPr>
              <w:t>82%</w:t>
            </w:r>
          </w:p>
        </w:tc>
        <w:tc>
          <w:tcPr>
            <w:tcW w:type="dxa" w:w="1872"/>
          </w:tcPr>
          <w:p>
            <w:pPr>
              <w:spacing w:line="240" w:lineRule="auto"/>
            </w:pPr>
            <w:r>
              <w:rPr>
                <w:sz w:val="20"/>
              </w:rPr>
            </w:r>
            <w:r>
              <w:rPr>
                <w:sz w:val="20"/>
              </w:rPr>
              <w:t>6%</w:t>
            </w:r>
          </w:p>
        </w:tc>
        <w:tc>
          <w:tcPr>
            <w:tcW w:type="dxa" w:w="1872"/>
          </w:tcPr>
          <w:p>
            <w:pPr>
              <w:spacing w:line="240" w:lineRule="auto"/>
            </w:pPr>
            <w:r>
              <w:rPr>
                <w:sz w:val="20"/>
              </w:rPr>
            </w:r>
            <w:r>
              <w:rPr>
                <w:sz w:val="20"/>
              </w:rPr>
              <w:t>−0.77</w:t>
            </w:r>
          </w:p>
        </w:tc>
        <w:tc>
          <w:tcPr>
            <w:tcW w:type="dxa" w:w="1872"/>
          </w:tcPr>
          <w:p>
            <w:pPr>
              <w:spacing w:line="240" w:lineRule="auto"/>
            </w:pPr>
            <w:r>
              <w:rPr>
                <w:sz w:val="20"/>
              </w:rPr>
            </w:r>
            <w:r>
              <w:rPr>
                <w:sz w:val="20"/>
              </w:rPr>
              <w:t>0.0433</w:t>
            </w:r>
          </w:p>
        </w:tc>
      </w:tr>
      <w:tr>
        <w:tc>
          <w:tcPr>
            <w:tcW w:type="dxa" w:w="1872"/>
          </w:tcPr>
          <w:p>
            <w:pPr>
              <w:spacing w:line="240" w:lineRule="auto"/>
            </w:pPr>
            <w:r>
              <w:rPr>
                <w:sz w:val="20"/>
              </w:rPr>
            </w:r>
            <w:r>
              <w:rPr>
                <w:sz w:val="20"/>
              </w:rPr>
              <w:t xml:space="preserve">   Fit of </w:t>
            </w:r>
            <m:oMath>
              <m:sSubSup>
                <m:e>
                  <m:r>
                    <m:t>ϕ</m:t>
                  </m:r>
                </m:e>
                <m:sub>
                  <m:r>
                    <m:t>1</m:t>
                  </m:r>
                </m:sub>
                <m:sup>
                  <m:r>
                    <m:t>′</m:t>
                  </m:r>
                </m:sup>
              </m:sSubSup>
            </m:oMath>
            <w:r>
              <w:rPr>
                <w:sz w:val="20"/>
              </w:rPr>
              <w:t>, m from training data</w:t>
            </w:r>
          </w:p>
        </w:tc>
        <w:tc>
          <w:tcPr>
            <w:tcW w:type="dxa" w:w="1872"/>
          </w:tcPr>
          <w:p>
            <w:pPr>
              <w:spacing w:line="240" w:lineRule="auto"/>
            </w:pPr>
            <w:r>
              <w:rPr>
                <w:sz w:val="20"/>
              </w:rPr>
            </w:r>
            <w:r>
              <w:rPr>
                <w:sz w:val="20"/>
              </w:rPr>
              <w:t>84%</w:t>
            </w:r>
          </w:p>
        </w:tc>
        <w:tc>
          <w:tcPr>
            <w:tcW w:type="dxa" w:w="1872"/>
          </w:tcPr>
          <w:p>
            <w:pPr>
              <w:spacing w:line="240" w:lineRule="auto"/>
            </w:pPr>
            <w:r>
              <w:rPr>
                <w:sz w:val="20"/>
              </w:rPr>
            </w:r>
            <w:r>
              <w:rPr>
                <w:sz w:val="20"/>
              </w:rPr>
              <w:t>2%</w:t>
            </w:r>
          </w:p>
        </w:tc>
        <w:tc>
          <w:tcPr>
            <w:tcW w:type="dxa" w:w="1872"/>
          </w:tcPr>
          <w:p>
            <w:pPr>
              <w:spacing w:line="240" w:lineRule="auto"/>
            </w:pPr>
            <w:r>
              <w:rPr>
                <w:sz w:val="20"/>
              </w:rPr>
            </w:r>
            <w:r>
              <w:rPr>
                <w:sz w:val="20"/>
              </w:rPr>
              <w:t>0.13</w:t>
            </w:r>
          </w:p>
        </w:tc>
        <w:tc>
          <w:tcPr>
            <w:tcW w:type="dxa" w:w="1872"/>
          </w:tcPr>
          <w:p>
            <w:pPr>
              <w:spacing w:line="240" w:lineRule="auto"/>
            </w:pPr>
            <w:r>
              <w:rPr>
                <w:sz w:val="20"/>
              </w:rPr>
            </w:r>
            <w:r>
              <w:rPr>
                <w:sz w:val="20"/>
              </w:rPr>
              <w:t>0.0305</w:t>
            </w:r>
          </w:p>
        </w:tc>
      </w:tr>
      <w:tr>
        <w:tc>
          <w:tcPr>
            <w:tcW w:type="dxa" w:w="1872"/>
          </w:tcPr>
          <w:p>
            <w:pPr>
              <w:spacing w:line="240" w:lineRule="auto"/>
            </w:pPr>
            <w:r>
              <w:rPr>
                <w:sz w:val="20"/>
              </w:rPr>
            </w:r>
            <w:r>
              <w:rPr>
                <w:sz w:val="20"/>
              </w:rPr>
              <w:t xml:space="preserve">   Joint update of both random effects</w:t>
            </w:r>
          </w:p>
        </w:tc>
        <w:tc>
          <w:tcPr>
            <w:tcW w:type="dxa" w:w="1872"/>
          </w:tcPr>
          <w:p>
            <w:pPr>
              <w:spacing w:line="240" w:lineRule="auto"/>
            </w:pPr>
            <w:r>
              <w:rPr>
                <w:sz w:val="20"/>
              </w:rPr>
            </w:r>
            <w:r>
              <w:rPr>
                <w:sz w:val="20"/>
              </w:rPr>
              <w:t>76%</w:t>
            </w:r>
          </w:p>
        </w:tc>
        <w:tc>
          <w:tcPr>
            <w:tcW w:type="dxa" w:w="1872"/>
          </w:tcPr>
          <w:p>
            <w:pPr>
              <w:spacing w:line="240" w:lineRule="auto"/>
            </w:pPr>
            <w:r>
              <w:rPr>
                <w:sz w:val="20"/>
              </w:rPr>
            </w:r>
            <w:r>
              <w:rPr>
                <w:sz w:val="20"/>
              </w:rPr>
              <w:t>14%</w:t>
            </w:r>
          </w:p>
        </w:tc>
        <w:tc>
          <w:tcPr>
            <w:tcW w:type="dxa" w:w="1872"/>
          </w:tcPr>
          <w:p>
            <w:pPr>
              <w:spacing w:line="240" w:lineRule="auto"/>
            </w:pPr>
            <w:r>
              <w:rPr>
                <w:sz w:val="20"/>
              </w:rPr>
            </w:r>
            <w:r>
              <w:rPr>
                <w:sz w:val="20"/>
              </w:rPr>
              <w:t>−0.64</w:t>
            </w:r>
          </w:p>
        </w:tc>
        <w:tc>
          <w:tcPr>
            <w:tcW w:type="dxa" w:w="1872"/>
          </w:tcPr>
          <w:p>
            <w:pPr>
              <w:spacing w:line="240" w:lineRule="auto"/>
            </w:pPr>
            <w:r>
              <w:rPr>
                <w:sz w:val="20"/>
              </w:rPr>
            </w:r>
            <w:r>
              <w:rPr>
                <w:sz w:val="20"/>
              </w:rPr>
              <w:t>0.0333</w:t>
            </w:r>
          </w:p>
        </w:tc>
      </w:tr>
      <w:tr>
        <w:tc>
          <w:tcPr>
            <w:tcW w:type="dxa" w:w="1872"/>
          </w:tcPr>
          <w:p>
            <w:pPr>
              <w:spacing w:line="240" w:lineRule="auto"/>
            </w:pPr>
            <w:r>
              <w:rPr>
                <w:sz w:val="20"/>
              </w:rPr>
            </w:r>
            <w:r>
              <w:rPr>
                <w:sz w:val="20"/>
              </w:rPr>
              <w:t xml:space="preserve">   Level update of each set</w:t>
            </w:r>
          </w:p>
        </w:tc>
        <w:tc>
          <w:tcPr>
            <w:tcW w:type="dxa" w:w="1872"/>
          </w:tcPr>
          <w:p>
            <w:pPr>
              <w:spacing w:line="240" w:lineRule="auto"/>
            </w:pPr>
            <w:r>
              <w:rPr>
                <w:sz w:val="20"/>
              </w:rPr>
            </w:r>
            <w:r>
              <w:rPr>
                <w:sz w:val="20"/>
              </w:rPr>
              <w:t>80%</w:t>
            </w:r>
          </w:p>
        </w:tc>
        <w:tc>
          <w:tcPr>
            <w:tcW w:type="dxa" w:w="1872"/>
          </w:tcPr>
          <w:p>
            <w:pPr>
              <w:spacing w:line="240" w:lineRule="auto"/>
            </w:pPr>
            <w:r>
              <w:rPr>
                <w:sz w:val="20"/>
              </w:rPr>
            </w:r>
            <w:r>
              <w:rPr>
                <w:sz w:val="20"/>
              </w:rPr>
              <w:t>14%</w:t>
            </w:r>
          </w:p>
        </w:tc>
        <w:tc>
          <w:tcPr>
            <w:tcW w:type="dxa" w:w="1872"/>
          </w:tcPr>
          <w:p>
            <w:pPr>
              <w:spacing w:line="240" w:lineRule="auto"/>
            </w:pPr>
            <w:r>
              <w:rPr>
                <w:sz w:val="20"/>
              </w:rPr>
            </w:r>
            <w:r>
              <w:rPr>
                <w:sz w:val="20"/>
              </w:rPr>
              <w:t>−0.56</w:t>
            </w:r>
          </w:p>
        </w:tc>
        <w:tc>
          <w:tcPr>
            <w:tcW w:type="dxa" w:w="1872"/>
          </w:tcPr>
          <w:p>
            <w:pPr>
              <w:spacing w:line="240" w:lineRule="auto"/>
            </w:pPr>
            <w:r>
              <w:rPr>
                <w:sz w:val="20"/>
              </w:rPr>
            </w:r>
            <w:r>
              <w:rPr>
                <w:sz w:val="20"/>
              </w:rPr>
              <w:t>0.0358</w:t>
            </w:r>
          </w:p>
        </w:tc>
      </w:tr>
    </w:tbl>
    <w:p>
      <w:r>
        <w:t xml:space="preserve">Note: Uncensored tests. Mode A: 23 laboratories; </w:t>
      </w:r>
      <m:oMath>
        <m:sSubSup>
          <m:e>
            <m:r>
              <m:t>σ</m:t>
            </m:r>
          </m:e>
          <m:sub>
            <m:r>
              <m:t>n</m:t>
            </m:r>
          </m:sub>
          <m:sup>
            <m:r>
              <m:t>′</m:t>
            </m:r>
          </m:sup>
        </m:sSubSup>
      </m:oMath>
      <w:r>
        <w:t xml:space="preserve"> ≥ 2 MPa, 8 laboratories. Mode B: 39 sets, 6 laboratories. Mean z: mean standardized residual (positive: strength underpredicted). Nominal values: 80% coverage and 5% below P05. In Mode B the lower of the updated and prior percentiles placed 4% below P05. CRPS in units of ln τ. No difference in CRPS was significant after Holm adjustment.</w:t>
      </w:r>
    </w:p>
    <w:p/>
    <w:p>
      <w:pPr>
        <w:keepNext/>
      </w:pPr>
      <w:r>
        <w:rPr>
          <w:b/>
        </w:rPr>
        <w:t xml:space="preserve">Table 3. </w:t>
      </w:r>
      <w:r>
        <w:t xml:space="preserve">Design values of the secant friction angle </w:t>
      </w:r>
      <m:oMath>
        <m:sSubSup>
          <m:e>
            <m:r>
              <m:t>ϕ</m:t>
            </m:r>
          </m:e>
          <m:sub>
            <m:r>
              <m:t>s</m:t>
            </m:r>
          </m:sub>
          <m:sup>
            <m:r>
              <m:t>′</m:t>
            </m:r>
          </m:sup>
        </m:sSubSup>
      </m:oMath>
      <w:r>
        <w:t xml:space="preserve"> (°) for an untested material: median and 5th percentile of the mean envelope at a specimen size of 100 mm / 5th percentile at a field size of 1 m</w:t>
      </w:r>
    </w:p>
    <w:tbl>
      <w:tblPr>
        <w:tblW w:type="auto" w:w="0"/>
        <w:tblLook w:firstColumn="1" w:firstRow="1" w:lastColumn="0" w:lastRow="0" w:noHBand="0" w:noVBand="1" w:val="04A0"/>
        <w:tblBorders>
          <w:top w:val="single" w:sz="6"/>
          <w:bottom w:val="single" w:sz="6"/>
        </w:tblBorders>
      </w:tblPr>
      <w:tblGrid>
        <w:gridCol w:w="1337"/>
        <w:gridCol w:w="1337"/>
        <w:gridCol w:w="1337"/>
        <w:gridCol w:w="1337"/>
        <w:gridCol w:w="1337"/>
        <w:gridCol w:w="1337"/>
        <w:gridCol w:w="1337"/>
      </w:tblGrid>
      <w:tr>
        <w:tc>
          <w:tcPr>
            <w:tcW w:type="dxa" w:w="1337"/>
            <w:tcBorders>
              <w:bottom w:val="single" w:sz="4"/>
            </w:tcBorders>
          </w:tcPr>
          <w:p>
            <w:pPr>
              <w:spacing w:line="240" w:lineRule="auto"/>
            </w:pPr>
            <w:r>
              <w:rPr>
                <w:sz w:val="20"/>
              </w:rPr>
            </w:r>
            <w:r>
              <w:rPr>
                <w:sz w:val="20"/>
              </w:rPr>
              <w:t>Rock quality</w:t>
            </w:r>
          </w:p>
        </w:tc>
        <w:tc>
          <w:tcPr>
            <w:tcW w:type="dxa" w:w="1337"/>
            <w:tcBorders>
              <w:bottom w:val="single" w:sz="4"/>
            </w:tcBorders>
          </w:tcPr>
          <w:p>
            <w:pPr>
              <w:spacing w:line="240" w:lineRule="auto"/>
            </w:pPr>
            <w:r>
              <w:rPr>
                <w:sz w:val="20"/>
              </w:rPr>
            </w:r>
            <w:r>
              <w:rPr>
                <w:i/>
                <w:sz w:val="20"/>
              </w:rPr>
              <w:t>e</w:t>
            </w:r>
          </w:p>
        </w:tc>
        <w:tc>
          <w:tcPr>
            <w:tcW w:type="dxa" w:w="1337"/>
            <w:tcBorders>
              <w:bottom w:val="single" w:sz="4"/>
            </w:tcBorders>
          </w:tcPr>
          <w:p>
            <w:pPr>
              <w:spacing w:line="240" w:lineRule="auto"/>
            </w:pPr>
            <w:r>
              <w:rPr>
                <w:sz w:val="20"/>
              </w:rPr>
            </w:r>
            <w:r>
              <w:rPr>
                <w:sz w:val="20"/>
              </w:rPr>
              <w:t>0.5 MPa</w:t>
            </w:r>
          </w:p>
        </w:tc>
        <w:tc>
          <w:tcPr>
            <w:tcW w:type="dxa" w:w="1337"/>
            <w:tcBorders>
              <w:bottom w:val="single" w:sz="4"/>
            </w:tcBorders>
          </w:tcPr>
          <w:p>
            <w:pPr>
              <w:spacing w:line="240" w:lineRule="auto"/>
            </w:pPr>
            <w:r>
              <w:rPr>
                <w:sz w:val="20"/>
              </w:rPr>
            </w:r>
            <w:r>
              <w:rPr>
                <w:sz w:val="20"/>
              </w:rPr>
              <w:t>1 MPa</w:t>
            </w:r>
          </w:p>
        </w:tc>
        <w:tc>
          <w:tcPr>
            <w:tcW w:type="dxa" w:w="1337"/>
            <w:tcBorders>
              <w:bottom w:val="single" w:sz="4"/>
            </w:tcBorders>
          </w:tcPr>
          <w:p>
            <w:pPr>
              <w:spacing w:line="240" w:lineRule="auto"/>
            </w:pPr>
            <w:r>
              <w:rPr>
                <w:sz w:val="20"/>
              </w:rPr>
            </w:r>
            <w:r>
              <w:rPr>
                <w:sz w:val="20"/>
              </w:rPr>
              <w:t>3 MPa</w:t>
            </w:r>
          </w:p>
        </w:tc>
        <w:tc>
          <w:tcPr>
            <w:tcW w:type="dxa" w:w="1337"/>
            <w:tcBorders>
              <w:bottom w:val="single" w:sz="4"/>
            </w:tcBorders>
          </w:tcPr>
          <w:p>
            <w:pPr>
              <w:spacing w:line="240" w:lineRule="auto"/>
            </w:pPr>
            <w:r>
              <w:rPr>
                <w:sz w:val="20"/>
              </w:rPr>
            </w:r>
            <w:r>
              <w:rPr>
                <w:sz w:val="20"/>
              </w:rPr>
              <w:t>5 MPa</w:t>
            </w:r>
          </w:p>
        </w:tc>
        <w:tc>
          <w:tcPr>
            <w:tcW w:type="dxa" w:w="1337"/>
            <w:tcBorders>
              <w:bottom w:val="single" w:sz="4"/>
            </w:tcBorders>
          </w:tcPr>
          <w:p>
            <w:pPr>
              <w:spacing w:line="240" w:lineRule="auto"/>
            </w:pPr>
            <w:r>
              <w:rPr>
                <w:sz w:val="20"/>
              </w:rPr>
            </w:r>
            <w:r>
              <w:rPr>
                <w:sz w:val="20"/>
              </w:rPr>
              <w:t>8 MPa</w:t>
            </w:r>
          </w:p>
        </w:tc>
      </w:tr>
      <w:tr>
        <w:tc>
          <w:tcPr>
            <w:tcW w:type="dxa" w:w="1337"/>
          </w:tcPr>
          <w:p>
            <w:pPr>
              <w:spacing w:line="240" w:lineRule="auto"/>
            </w:pPr>
            <w:r>
              <w:rPr>
                <w:sz w:val="20"/>
              </w:rPr>
            </w:r>
            <w:r>
              <w:rPr>
                <w:sz w:val="20"/>
              </w:rPr>
              <w:t>Good</w:t>
            </w:r>
          </w:p>
        </w:tc>
        <w:tc>
          <w:tcPr>
            <w:tcW w:type="dxa" w:w="1337"/>
          </w:tcPr>
          <w:p>
            <w:pPr>
              <w:spacing w:line="240" w:lineRule="auto"/>
            </w:pPr>
            <w:r>
              <w:rPr>
                <w:sz w:val="20"/>
              </w:rPr>
            </w:r>
            <w:r>
              <w:rPr>
                <w:sz w:val="20"/>
              </w:rPr>
              <w:t>0.30</w:t>
            </w:r>
          </w:p>
        </w:tc>
        <w:tc>
          <w:tcPr>
            <w:tcW w:type="dxa" w:w="1337"/>
          </w:tcPr>
          <w:p>
            <w:pPr>
              <w:spacing w:line="240" w:lineRule="auto"/>
            </w:pPr>
            <w:r>
              <w:rPr>
                <w:sz w:val="20"/>
              </w:rPr>
            </w:r>
            <w:r>
              <w:rPr>
                <w:sz w:val="20"/>
              </w:rPr>
              <w:t>51.0 / 44.8 / 41.1</w:t>
            </w:r>
          </w:p>
        </w:tc>
        <w:tc>
          <w:tcPr>
            <w:tcW w:type="dxa" w:w="1337"/>
          </w:tcPr>
          <w:p>
            <w:pPr>
              <w:spacing w:line="240" w:lineRule="auto"/>
            </w:pPr>
            <w:r>
              <w:rPr>
                <w:sz w:val="20"/>
              </w:rPr>
            </w:r>
            <w:r>
              <w:rPr>
                <w:sz w:val="20"/>
              </w:rPr>
              <w:t>46.7 / 41.4 / 37.4</w:t>
            </w:r>
          </w:p>
        </w:tc>
        <w:tc>
          <w:tcPr>
            <w:tcW w:type="dxa" w:w="1337"/>
          </w:tcPr>
          <w:p>
            <w:pPr>
              <w:spacing w:line="240" w:lineRule="auto"/>
            </w:pPr>
            <w:r>
              <w:rPr>
                <w:sz w:val="20"/>
              </w:rPr>
            </w:r>
            <w:r>
              <w:rPr>
                <w:sz w:val="20"/>
              </w:rPr>
              <w:t>41.1 / 36.5 / 32.5</w:t>
            </w:r>
          </w:p>
        </w:tc>
        <w:tc>
          <w:tcPr>
            <w:tcW w:type="dxa" w:w="1337"/>
          </w:tcPr>
          <w:p>
            <w:pPr>
              <w:spacing w:line="240" w:lineRule="auto"/>
            </w:pPr>
            <w:r>
              <w:rPr>
                <w:sz w:val="20"/>
              </w:rPr>
            </w:r>
            <w:r>
              <w:rPr>
                <w:sz w:val="20"/>
              </w:rPr>
              <w:t>38.9 / 34.7 / 30.7</w:t>
            </w:r>
          </w:p>
        </w:tc>
        <w:tc>
          <w:tcPr>
            <w:tcW w:type="dxa" w:w="1337"/>
          </w:tcPr>
          <w:p>
            <w:pPr>
              <w:spacing w:line="240" w:lineRule="auto"/>
            </w:pPr>
            <w:r>
              <w:rPr>
                <w:sz w:val="20"/>
              </w:rPr>
            </w:r>
            <w:r>
              <w:rPr>
                <w:sz w:val="20"/>
              </w:rPr>
              <w:t>37.2 / 33.3 / 29.2</w:t>
            </w:r>
          </w:p>
        </w:tc>
      </w:tr>
      <w:tr>
        <w:tc>
          <w:tcPr>
            <w:tcW w:type="dxa" w:w="1337"/>
          </w:tcPr>
          <w:p>
            <w:pPr>
              <w:spacing w:line="240" w:lineRule="auto"/>
            </w:pPr>
            <w:r>
              <w:rPr>
                <w:sz w:val="20"/>
              </w:rPr>
            </w:r>
          </w:p>
        </w:tc>
        <w:tc>
          <w:tcPr>
            <w:tcW w:type="dxa" w:w="1337"/>
          </w:tcPr>
          <w:p>
            <w:pPr>
              <w:spacing w:line="240" w:lineRule="auto"/>
            </w:pPr>
            <w:r>
              <w:rPr>
                <w:sz w:val="20"/>
              </w:rPr>
            </w:r>
            <w:r>
              <w:rPr>
                <w:sz w:val="20"/>
              </w:rPr>
              <w:t>0.45</w:t>
            </w:r>
          </w:p>
        </w:tc>
        <w:tc>
          <w:tcPr>
            <w:tcW w:type="dxa" w:w="1337"/>
          </w:tcPr>
          <w:p>
            <w:pPr>
              <w:spacing w:line="240" w:lineRule="auto"/>
            </w:pPr>
            <w:r>
              <w:rPr>
                <w:sz w:val="20"/>
              </w:rPr>
            </w:r>
            <w:r>
              <w:rPr>
                <w:sz w:val="20"/>
              </w:rPr>
              <w:t>48.6 / 42.4 / 38.8</w:t>
            </w:r>
          </w:p>
        </w:tc>
        <w:tc>
          <w:tcPr>
            <w:tcW w:type="dxa" w:w="1337"/>
          </w:tcPr>
          <w:p>
            <w:pPr>
              <w:spacing w:line="240" w:lineRule="auto"/>
            </w:pPr>
            <w:r>
              <w:rPr>
                <w:sz w:val="20"/>
              </w:rPr>
            </w:r>
            <w:r>
              <w:rPr>
                <w:sz w:val="20"/>
              </w:rPr>
              <w:t>44.6 / 39.3 / 35.5</w:t>
            </w:r>
          </w:p>
        </w:tc>
        <w:tc>
          <w:tcPr>
            <w:tcW w:type="dxa" w:w="1337"/>
          </w:tcPr>
          <w:p>
            <w:pPr>
              <w:spacing w:line="240" w:lineRule="auto"/>
            </w:pPr>
            <w:r>
              <w:rPr>
                <w:sz w:val="20"/>
              </w:rPr>
            </w:r>
            <w:r>
              <w:rPr>
                <w:sz w:val="20"/>
              </w:rPr>
              <w:t>39.4 / 35.2 / 31.2</w:t>
            </w:r>
          </w:p>
        </w:tc>
        <w:tc>
          <w:tcPr>
            <w:tcW w:type="dxa" w:w="1337"/>
          </w:tcPr>
          <w:p>
            <w:pPr>
              <w:spacing w:line="240" w:lineRule="auto"/>
            </w:pPr>
            <w:r>
              <w:rPr>
                <w:sz w:val="20"/>
              </w:rPr>
            </w:r>
            <w:r>
              <w:rPr>
                <w:sz w:val="20"/>
              </w:rPr>
              <w:t>37.5 / 33.6 / 29.6</w:t>
            </w:r>
          </w:p>
        </w:tc>
        <w:tc>
          <w:tcPr>
            <w:tcW w:type="dxa" w:w="1337"/>
          </w:tcPr>
          <w:p>
            <w:pPr>
              <w:spacing w:line="240" w:lineRule="auto"/>
            </w:pPr>
            <w:r>
              <w:rPr>
                <w:sz w:val="20"/>
              </w:rPr>
            </w:r>
            <w:r>
              <w:rPr>
                <w:sz w:val="20"/>
              </w:rPr>
              <w:t>36.0 / 32.4 / 28.4</w:t>
            </w:r>
          </w:p>
        </w:tc>
      </w:tr>
      <w:tr>
        <w:tc>
          <w:tcPr>
            <w:tcW w:type="dxa" w:w="1337"/>
          </w:tcPr>
          <w:p>
            <w:pPr>
              <w:spacing w:line="240" w:lineRule="auto"/>
            </w:pPr>
            <w:r>
              <w:rPr>
                <w:sz w:val="20"/>
              </w:rPr>
            </w:r>
          </w:p>
        </w:tc>
        <w:tc>
          <w:tcPr>
            <w:tcW w:type="dxa" w:w="1337"/>
          </w:tcPr>
          <w:p>
            <w:pPr>
              <w:spacing w:line="240" w:lineRule="auto"/>
            </w:pPr>
            <w:r>
              <w:rPr>
                <w:sz w:val="20"/>
              </w:rPr>
            </w:r>
            <w:r>
              <w:rPr>
                <w:sz w:val="20"/>
              </w:rPr>
              <w:t>0.65</w:t>
            </w:r>
          </w:p>
        </w:tc>
        <w:tc>
          <w:tcPr>
            <w:tcW w:type="dxa" w:w="1337"/>
          </w:tcPr>
          <w:p>
            <w:pPr>
              <w:spacing w:line="240" w:lineRule="auto"/>
            </w:pPr>
            <w:r>
              <w:rPr>
                <w:sz w:val="20"/>
              </w:rPr>
            </w:r>
            <w:r>
              <w:rPr>
                <w:sz w:val="20"/>
              </w:rPr>
              <w:t>45.3 / 39.0 / 35.6</w:t>
            </w:r>
          </w:p>
        </w:tc>
        <w:tc>
          <w:tcPr>
            <w:tcW w:type="dxa" w:w="1337"/>
          </w:tcPr>
          <w:p>
            <w:pPr>
              <w:spacing w:line="240" w:lineRule="auto"/>
            </w:pPr>
            <w:r>
              <w:rPr>
                <w:sz w:val="20"/>
              </w:rPr>
            </w:r>
            <w:r>
              <w:rPr>
                <w:sz w:val="20"/>
              </w:rPr>
              <w:t>41.8 / 36.6 / 32.9</w:t>
            </w:r>
          </w:p>
        </w:tc>
        <w:tc>
          <w:tcPr>
            <w:tcW w:type="dxa" w:w="1337"/>
          </w:tcPr>
          <w:p>
            <w:pPr>
              <w:spacing w:line="240" w:lineRule="auto"/>
            </w:pPr>
            <w:r>
              <w:rPr>
                <w:sz w:val="20"/>
              </w:rPr>
            </w:r>
            <w:r>
              <w:rPr>
                <w:sz w:val="20"/>
              </w:rPr>
              <w:t>37.4 / 33.4 / 29.4</w:t>
            </w:r>
          </w:p>
        </w:tc>
        <w:tc>
          <w:tcPr>
            <w:tcW w:type="dxa" w:w="1337"/>
          </w:tcPr>
          <w:p>
            <w:pPr>
              <w:spacing w:line="240" w:lineRule="auto"/>
            </w:pPr>
            <w:r>
              <w:rPr>
                <w:sz w:val="20"/>
              </w:rPr>
            </w:r>
            <w:r>
              <w:rPr>
                <w:sz w:val="20"/>
              </w:rPr>
              <w:t>35.8 / 32.2 / 28.2ᵃ</w:t>
            </w:r>
          </w:p>
        </w:tc>
        <w:tc>
          <w:tcPr>
            <w:tcW w:type="dxa" w:w="1337"/>
          </w:tcPr>
          <w:p>
            <w:pPr>
              <w:spacing w:line="240" w:lineRule="auto"/>
            </w:pPr>
            <w:r>
              <w:rPr>
                <w:sz w:val="20"/>
              </w:rPr>
            </w:r>
            <w:r>
              <w:rPr>
                <w:sz w:val="20"/>
              </w:rPr>
              <w:t>34.5 / 31.3 / 27.2ᵃ</w:t>
            </w:r>
          </w:p>
        </w:tc>
      </w:tr>
      <w:tr>
        <w:tc>
          <w:tcPr>
            <w:tcW w:type="dxa" w:w="1337"/>
          </w:tcPr>
          <w:p>
            <w:pPr>
              <w:spacing w:line="240" w:lineRule="auto"/>
            </w:pPr>
            <w:r>
              <w:rPr>
                <w:sz w:val="20"/>
              </w:rPr>
            </w:r>
            <w:r>
              <w:rPr>
                <w:sz w:val="20"/>
              </w:rPr>
              <w:t>Moderate</w:t>
            </w:r>
          </w:p>
        </w:tc>
        <w:tc>
          <w:tcPr>
            <w:tcW w:type="dxa" w:w="1337"/>
          </w:tcPr>
          <w:p>
            <w:pPr>
              <w:spacing w:line="240" w:lineRule="auto"/>
            </w:pPr>
            <w:r>
              <w:rPr>
                <w:sz w:val="20"/>
              </w:rPr>
            </w:r>
            <w:r>
              <w:rPr>
                <w:sz w:val="20"/>
              </w:rPr>
              <w:t>0.30</w:t>
            </w:r>
          </w:p>
        </w:tc>
        <w:tc>
          <w:tcPr>
            <w:tcW w:type="dxa" w:w="1337"/>
          </w:tcPr>
          <w:p>
            <w:pPr>
              <w:spacing w:line="240" w:lineRule="auto"/>
            </w:pPr>
            <w:r>
              <w:rPr>
                <w:sz w:val="20"/>
              </w:rPr>
            </w:r>
            <w:r>
              <w:rPr>
                <w:sz w:val="20"/>
              </w:rPr>
              <w:t>46.5 / 40.5 / 36.8</w:t>
            </w:r>
          </w:p>
        </w:tc>
        <w:tc>
          <w:tcPr>
            <w:tcW w:type="dxa" w:w="1337"/>
          </w:tcPr>
          <w:p>
            <w:pPr>
              <w:spacing w:line="240" w:lineRule="auto"/>
            </w:pPr>
            <w:r>
              <w:rPr>
                <w:sz w:val="20"/>
              </w:rPr>
            </w:r>
            <w:r>
              <w:rPr>
                <w:sz w:val="20"/>
              </w:rPr>
              <w:t>43.4 / 38.1 / 34.2</w:t>
            </w:r>
          </w:p>
        </w:tc>
        <w:tc>
          <w:tcPr>
            <w:tcW w:type="dxa" w:w="1337"/>
          </w:tcPr>
          <w:p>
            <w:pPr>
              <w:spacing w:line="240" w:lineRule="auto"/>
            </w:pPr>
            <w:r>
              <w:rPr>
                <w:sz w:val="20"/>
              </w:rPr>
            </w:r>
            <w:r>
              <w:rPr>
                <w:sz w:val="20"/>
              </w:rPr>
              <w:t>39.2 / 34.8 / 30.9</w:t>
            </w:r>
          </w:p>
        </w:tc>
        <w:tc>
          <w:tcPr>
            <w:tcW w:type="dxa" w:w="1337"/>
          </w:tcPr>
          <w:p>
            <w:pPr>
              <w:spacing w:line="240" w:lineRule="auto"/>
            </w:pPr>
            <w:r>
              <w:rPr>
                <w:sz w:val="20"/>
              </w:rPr>
            </w:r>
            <w:r>
              <w:rPr>
                <w:sz w:val="20"/>
              </w:rPr>
              <w:t>37.6 / 33.5 / 29.6</w:t>
            </w:r>
          </w:p>
        </w:tc>
        <w:tc>
          <w:tcPr>
            <w:tcW w:type="dxa" w:w="1337"/>
          </w:tcPr>
          <w:p>
            <w:pPr>
              <w:spacing w:line="240" w:lineRule="auto"/>
            </w:pPr>
            <w:r>
              <w:rPr>
                <w:sz w:val="20"/>
              </w:rPr>
            </w:r>
            <w:r>
              <w:rPr>
                <w:sz w:val="20"/>
              </w:rPr>
              <w:t>36.3 / 32.5 / 28.5</w:t>
            </w:r>
          </w:p>
        </w:tc>
      </w:tr>
      <w:tr>
        <w:tc>
          <w:tcPr>
            <w:tcW w:type="dxa" w:w="1337"/>
          </w:tcPr>
          <w:p>
            <w:pPr>
              <w:spacing w:line="240" w:lineRule="auto"/>
            </w:pPr>
            <w:r>
              <w:rPr>
                <w:sz w:val="20"/>
              </w:rPr>
            </w:r>
          </w:p>
        </w:tc>
        <w:tc>
          <w:tcPr>
            <w:tcW w:type="dxa" w:w="1337"/>
          </w:tcPr>
          <w:p>
            <w:pPr>
              <w:spacing w:line="240" w:lineRule="auto"/>
            </w:pPr>
            <w:r>
              <w:rPr>
                <w:sz w:val="20"/>
              </w:rPr>
            </w:r>
            <w:r>
              <w:rPr>
                <w:sz w:val="20"/>
              </w:rPr>
              <w:t>0.45</w:t>
            </w:r>
          </w:p>
        </w:tc>
        <w:tc>
          <w:tcPr>
            <w:tcW w:type="dxa" w:w="1337"/>
          </w:tcPr>
          <w:p>
            <w:pPr>
              <w:spacing w:line="240" w:lineRule="auto"/>
            </w:pPr>
            <w:r>
              <w:rPr>
                <w:sz w:val="20"/>
              </w:rPr>
            </w:r>
            <w:r>
              <w:rPr>
                <w:sz w:val="20"/>
              </w:rPr>
              <w:t>44.1 / 38.0 / 34.5</w:t>
            </w:r>
          </w:p>
        </w:tc>
        <w:tc>
          <w:tcPr>
            <w:tcW w:type="dxa" w:w="1337"/>
          </w:tcPr>
          <w:p>
            <w:pPr>
              <w:spacing w:line="240" w:lineRule="auto"/>
            </w:pPr>
            <w:r>
              <w:rPr>
                <w:sz w:val="20"/>
              </w:rPr>
            </w:r>
            <w:r>
              <w:rPr>
                <w:sz w:val="20"/>
              </w:rPr>
              <w:t>41.3 / 36.1 / 32.3</w:t>
            </w:r>
          </w:p>
        </w:tc>
        <w:tc>
          <w:tcPr>
            <w:tcW w:type="dxa" w:w="1337"/>
          </w:tcPr>
          <w:p>
            <w:pPr>
              <w:spacing w:line="240" w:lineRule="auto"/>
            </w:pPr>
            <w:r>
              <w:rPr>
                <w:sz w:val="20"/>
              </w:rPr>
            </w:r>
            <w:r>
              <w:rPr>
                <w:sz w:val="20"/>
              </w:rPr>
              <w:t>37.6 / 33.5 / 29.5</w:t>
            </w:r>
          </w:p>
        </w:tc>
        <w:tc>
          <w:tcPr>
            <w:tcW w:type="dxa" w:w="1337"/>
          </w:tcPr>
          <w:p>
            <w:pPr>
              <w:spacing w:line="240" w:lineRule="auto"/>
            </w:pPr>
            <w:r>
              <w:rPr>
                <w:sz w:val="20"/>
              </w:rPr>
            </w:r>
            <w:r>
              <w:rPr>
                <w:sz w:val="20"/>
              </w:rPr>
              <w:t>36.2 / 32.4 / 28.4</w:t>
            </w:r>
          </w:p>
        </w:tc>
        <w:tc>
          <w:tcPr>
            <w:tcW w:type="dxa" w:w="1337"/>
          </w:tcPr>
          <w:p>
            <w:pPr>
              <w:spacing w:line="240" w:lineRule="auto"/>
            </w:pPr>
            <w:r>
              <w:rPr>
                <w:sz w:val="20"/>
              </w:rPr>
            </w:r>
            <w:r>
              <w:rPr>
                <w:sz w:val="20"/>
              </w:rPr>
              <w:t>35.1 / 31.6 / 27.5</w:t>
            </w:r>
          </w:p>
        </w:tc>
      </w:tr>
      <w:tr>
        <w:tc>
          <w:tcPr>
            <w:tcW w:type="dxa" w:w="1337"/>
          </w:tcPr>
          <w:p>
            <w:pPr>
              <w:spacing w:line="240" w:lineRule="auto"/>
            </w:pPr>
            <w:r>
              <w:rPr>
                <w:sz w:val="20"/>
              </w:rPr>
            </w:r>
          </w:p>
        </w:tc>
        <w:tc>
          <w:tcPr>
            <w:tcW w:type="dxa" w:w="1337"/>
          </w:tcPr>
          <w:p>
            <w:pPr>
              <w:spacing w:line="240" w:lineRule="auto"/>
            </w:pPr>
            <w:r>
              <w:rPr>
                <w:sz w:val="20"/>
              </w:rPr>
            </w:r>
            <w:r>
              <w:rPr>
                <w:sz w:val="20"/>
              </w:rPr>
              <w:t>0.65</w:t>
            </w:r>
          </w:p>
        </w:tc>
        <w:tc>
          <w:tcPr>
            <w:tcW w:type="dxa" w:w="1337"/>
          </w:tcPr>
          <w:p>
            <w:pPr>
              <w:spacing w:line="240" w:lineRule="auto"/>
            </w:pPr>
            <w:r>
              <w:rPr>
                <w:sz w:val="20"/>
              </w:rPr>
            </w:r>
            <w:r>
              <w:rPr>
                <w:sz w:val="20"/>
              </w:rPr>
              <w:t>40.8 / 34.8 / 31.6</w:t>
            </w:r>
          </w:p>
        </w:tc>
        <w:tc>
          <w:tcPr>
            <w:tcW w:type="dxa" w:w="1337"/>
          </w:tcPr>
          <w:p>
            <w:pPr>
              <w:spacing w:line="240" w:lineRule="auto"/>
            </w:pPr>
            <w:r>
              <w:rPr>
                <w:sz w:val="20"/>
              </w:rPr>
            </w:r>
            <w:r>
              <w:rPr>
                <w:sz w:val="20"/>
              </w:rPr>
              <w:t>38.5 / 33.5 / 29.9</w:t>
            </w:r>
          </w:p>
        </w:tc>
        <w:tc>
          <w:tcPr>
            <w:tcW w:type="dxa" w:w="1337"/>
          </w:tcPr>
          <w:p>
            <w:pPr>
              <w:spacing w:line="240" w:lineRule="auto"/>
            </w:pPr>
            <w:r>
              <w:rPr>
                <w:sz w:val="20"/>
              </w:rPr>
            </w:r>
            <w:r>
              <w:rPr>
                <w:sz w:val="20"/>
              </w:rPr>
              <w:t>35.5 / 31.7 / 27.8</w:t>
            </w:r>
          </w:p>
        </w:tc>
        <w:tc>
          <w:tcPr>
            <w:tcW w:type="dxa" w:w="1337"/>
          </w:tcPr>
          <w:p>
            <w:pPr>
              <w:spacing w:line="240" w:lineRule="auto"/>
            </w:pPr>
            <w:r>
              <w:rPr>
                <w:sz w:val="20"/>
              </w:rPr>
            </w:r>
            <w:r>
              <w:rPr>
                <w:sz w:val="20"/>
              </w:rPr>
              <w:t>34.4 / 31.0 / 27.0ᵃ</w:t>
            </w:r>
          </w:p>
        </w:tc>
        <w:tc>
          <w:tcPr>
            <w:tcW w:type="dxa" w:w="1337"/>
          </w:tcPr>
          <w:p>
            <w:pPr>
              <w:spacing w:line="240" w:lineRule="auto"/>
            </w:pPr>
            <w:r>
              <w:rPr>
                <w:sz w:val="20"/>
              </w:rPr>
            </w:r>
            <w:r>
              <w:rPr>
                <w:sz w:val="20"/>
              </w:rPr>
              <w:t>33.5 / 30.4 / 26.3ᵃ</w:t>
            </w:r>
          </w:p>
        </w:tc>
      </w:tr>
      <w:tr>
        <w:tc>
          <w:tcPr>
            <w:tcW w:type="dxa" w:w="1337"/>
          </w:tcPr>
          <w:p>
            <w:pPr>
              <w:spacing w:line="240" w:lineRule="auto"/>
            </w:pPr>
            <w:r>
              <w:rPr>
                <w:sz w:val="20"/>
              </w:rPr>
            </w:r>
            <w:r>
              <w:rPr>
                <w:sz w:val="20"/>
              </w:rPr>
              <w:t>Low</w:t>
            </w:r>
          </w:p>
        </w:tc>
        <w:tc>
          <w:tcPr>
            <w:tcW w:type="dxa" w:w="1337"/>
          </w:tcPr>
          <w:p>
            <w:pPr>
              <w:spacing w:line="240" w:lineRule="auto"/>
            </w:pPr>
            <w:r>
              <w:rPr>
                <w:sz w:val="20"/>
              </w:rPr>
            </w:r>
            <w:r>
              <w:rPr>
                <w:sz w:val="20"/>
              </w:rPr>
              <w:t>0.30</w:t>
            </w:r>
          </w:p>
        </w:tc>
        <w:tc>
          <w:tcPr>
            <w:tcW w:type="dxa" w:w="1337"/>
          </w:tcPr>
          <w:p>
            <w:pPr>
              <w:spacing w:line="240" w:lineRule="auto"/>
            </w:pPr>
            <w:r>
              <w:rPr>
                <w:sz w:val="20"/>
              </w:rPr>
            </w:r>
            <w:r>
              <w:rPr>
                <w:sz w:val="20"/>
              </w:rPr>
              <w:t>44.2 / 38.3 / 34.8</w:t>
            </w:r>
          </w:p>
        </w:tc>
        <w:tc>
          <w:tcPr>
            <w:tcW w:type="dxa" w:w="1337"/>
          </w:tcPr>
          <w:p>
            <w:pPr>
              <w:spacing w:line="240" w:lineRule="auto"/>
            </w:pPr>
            <w:r>
              <w:rPr>
                <w:sz w:val="20"/>
              </w:rPr>
            </w:r>
            <w:r>
              <w:rPr>
                <w:sz w:val="20"/>
              </w:rPr>
              <w:t>41.7 / 36.5 / 32.7</w:t>
            </w:r>
          </w:p>
        </w:tc>
        <w:tc>
          <w:tcPr>
            <w:tcW w:type="dxa" w:w="1337"/>
          </w:tcPr>
          <w:p>
            <w:pPr>
              <w:spacing w:line="240" w:lineRule="auto"/>
            </w:pPr>
            <w:r>
              <w:rPr>
                <w:sz w:val="20"/>
              </w:rPr>
            </w:r>
            <w:r>
              <w:rPr>
                <w:sz w:val="20"/>
              </w:rPr>
              <w:t>38.1 / 33.9 / 29.9</w:t>
            </w:r>
          </w:p>
        </w:tc>
        <w:tc>
          <w:tcPr>
            <w:tcW w:type="dxa" w:w="1337"/>
          </w:tcPr>
          <w:p>
            <w:pPr>
              <w:spacing w:line="240" w:lineRule="auto"/>
            </w:pPr>
            <w:r>
              <w:rPr>
                <w:sz w:val="20"/>
              </w:rPr>
            </w:r>
            <w:r>
              <w:rPr>
                <w:sz w:val="20"/>
              </w:rPr>
              <w:t>36.8 / 32.8 / 28.8</w:t>
            </w:r>
          </w:p>
        </w:tc>
        <w:tc>
          <w:tcPr>
            <w:tcW w:type="dxa" w:w="1337"/>
          </w:tcPr>
          <w:p>
            <w:pPr>
              <w:spacing w:line="240" w:lineRule="auto"/>
            </w:pPr>
            <w:r>
              <w:rPr>
                <w:sz w:val="20"/>
              </w:rPr>
            </w:r>
            <w:r>
              <w:rPr>
                <w:sz w:val="20"/>
              </w:rPr>
              <w:t>35.7 / 32.0 / 27.9</w:t>
            </w:r>
          </w:p>
        </w:tc>
      </w:tr>
      <w:tr>
        <w:tc>
          <w:tcPr>
            <w:tcW w:type="dxa" w:w="1337"/>
          </w:tcPr>
          <w:p>
            <w:pPr>
              <w:spacing w:line="240" w:lineRule="auto"/>
            </w:pPr>
            <w:r>
              <w:rPr>
                <w:sz w:val="20"/>
              </w:rPr>
            </w:r>
          </w:p>
        </w:tc>
        <w:tc>
          <w:tcPr>
            <w:tcW w:type="dxa" w:w="1337"/>
          </w:tcPr>
          <w:p>
            <w:pPr>
              <w:spacing w:line="240" w:lineRule="auto"/>
            </w:pPr>
            <w:r>
              <w:rPr>
                <w:sz w:val="20"/>
              </w:rPr>
            </w:r>
            <w:r>
              <w:rPr>
                <w:sz w:val="20"/>
              </w:rPr>
              <w:t>0.45</w:t>
            </w:r>
          </w:p>
        </w:tc>
        <w:tc>
          <w:tcPr>
            <w:tcW w:type="dxa" w:w="1337"/>
          </w:tcPr>
          <w:p>
            <w:pPr>
              <w:spacing w:line="240" w:lineRule="auto"/>
            </w:pPr>
            <w:r>
              <w:rPr>
                <w:sz w:val="20"/>
              </w:rPr>
            </w:r>
            <w:r>
              <w:rPr>
                <w:sz w:val="20"/>
              </w:rPr>
              <w:t>41.8 / 35.9 / 32.4</w:t>
            </w:r>
          </w:p>
        </w:tc>
        <w:tc>
          <w:tcPr>
            <w:tcW w:type="dxa" w:w="1337"/>
          </w:tcPr>
          <w:p>
            <w:pPr>
              <w:spacing w:line="240" w:lineRule="auto"/>
            </w:pPr>
            <w:r>
              <w:rPr>
                <w:sz w:val="20"/>
              </w:rPr>
            </w:r>
            <w:r>
              <w:rPr>
                <w:sz w:val="20"/>
              </w:rPr>
              <w:t>39.6 / 34.5 / 30.8</w:t>
            </w:r>
          </w:p>
        </w:tc>
        <w:tc>
          <w:tcPr>
            <w:tcW w:type="dxa" w:w="1337"/>
          </w:tcPr>
          <w:p>
            <w:pPr>
              <w:spacing w:line="240" w:lineRule="auto"/>
            </w:pPr>
            <w:r>
              <w:rPr>
                <w:sz w:val="20"/>
              </w:rPr>
            </w:r>
            <w:r>
              <w:rPr>
                <w:sz w:val="20"/>
              </w:rPr>
              <w:t>36.5 / 32.5 / 28.5</w:t>
            </w:r>
          </w:p>
        </w:tc>
        <w:tc>
          <w:tcPr>
            <w:tcW w:type="dxa" w:w="1337"/>
          </w:tcPr>
          <w:p>
            <w:pPr>
              <w:spacing w:line="240" w:lineRule="auto"/>
            </w:pPr>
            <w:r>
              <w:rPr>
                <w:sz w:val="20"/>
              </w:rPr>
            </w:r>
            <w:r>
              <w:rPr>
                <w:sz w:val="20"/>
              </w:rPr>
              <w:t>35.4 / 31.7 / 27.6</w:t>
            </w:r>
          </w:p>
        </w:tc>
        <w:tc>
          <w:tcPr>
            <w:tcW w:type="dxa" w:w="1337"/>
          </w:tcPr>
          <w:p>
            <w:pPr>
              <w:spacing w:line="240" w:lineRule="auto"/>
            </w:pPr>
            <w:r>
              <w:rPr>
                <w:sz w:val="20"/>
              </w:rPr>
            </w:r>
            <w:r>
              <w:rPr>
                <w:sz w:val="20"/>
              </w:rPr>
              <w:t>34.5 / 31.0 / 26.9</w:t>
            </w:r>
          </w:p>
        </w:tc>
      </w:tr>
      <w:tr>
        <w:tc>
          <w:tcPr>
            <w:tcW w:type="dxa" w:w="1337"/>
          </w:tcPr>
          <w:p>
            <w:pPr>
              <w:spacing w:line="240" w:lineRule="auto"/>
            </w:pPr>
            <w:r>
              <w:rPr>
                <w:sz w:val="20"/>
              </w:rPr>
            </w:r>
          </w:p>
        </w:tc>
        <w:tc>
          <w:tcPr>
            <w:tcW w:type="dxa" w:w="1337"/>
          </w:tcPr>
          <w:p>
            <w:pPr>
              <w:spacing w:line="240" w:lineRule="auto"/>
            </w:pPr>
            <w:r>
              <w:rPr>
                <w:sz w:val="20"/>
              </w:rPr>
            </w:r>
            <w:r>
              <w:rPr>
                <w:sz w:val="20"/>
              </w:rPr>
              <w:t>0.65</w:t>
            </w:r>
          </w:p>
        </w:tc>
        <w:tc>
          <w:tcPr>
            <w:tcW w:type="dxa" w:w="1337"/>
          </w:tcPr>
          <w:p>
            <w:pPr>
              <w:spacing w:line="240" w:lineRule="auto"/>
            </w:pPr>
            <w:r>
              <w:rPr>
                <w:sz w:val="20"/>
              </w:rPr>
            </w:r>
            <w:r>
              <w:rPr>
                <w:sz w:val="20"/>
              </w:rPr>
              <w:t>38.6 / 32.8 / 29.6</w:t>
            </w:r>
          </w:p>
        </w:tc>
        <w:tc>
          <w:tcPr>
            <w:tcW w:type="dxa" w:w="1337"/>
          </w:tcPr>
          <w:p>
            <w:pPr>
              <w:spacing w:line="240" w:lineRule="auto"/>
            </w:pPr>
            <w:r>
              <w:rPr>
                <w:sz w:val="20"/>
              </w:rPr>
            </w:r>
            <w:r>
              <w:rPr>
                <w:sz w:val="20"/>
              </w:rPr>
              <w:t>36.8 / 31.9 / 28.5</w:t>
            </w:r>
          </w:p>
        </w:tc>
        <w:tc>
          <w:tcPr>
            <w:tcW w:type="dxa" w:w="1337"/>
          </w:tcPr>
          <w:p>
            <w:pPr>
              <w:spacing w:line="240" w:lineRule="auto"/>
            </w:pPr>
            <w:r>
              <w:rPr>
                <w:sz w:val="20"/>
              </w:rPr>
            </w:r>
            <w:r>
              <w:rPr>
                <w:sz w:val="20"/>
              </w:rPr>
              <w:t>34.5 / 30.7 / 26.9</w:t>
            </w:r>
          </w:p>
        </w:tc>
        <w:tc>
          <w:tcPr>
            <w:tcW w:type="dxa" w:w="1337"/>
          </w:tcPr>
          <w:p>
            <w:pPr>
              <w:spacing w:line="240" w:lineRule="auto"/>
            </w:pPr>
            <w:r>
              <w:rPr>
                <w:sz w:val="20"/>
              </w:rPr>
            </w:r>
            <w:r>
              <w:rPr>
                <w:sz w:val="20"/>
              </w:rPr>
              <w:t>33.6 / 30.2 / 26.3ᵃ</w:t>
            </w:r>
          </w:p>
        </w:tc>
        <w:tc>
          <w:tcPr>
            <w:tcW w:type="dxa" w:w="1337"/>
          </w:tcPr>
          <w:p>
            <w:pPr>
              <w:spacing w:line="240" w:lineRule="auto"/>
            </w:pPr>
            <w:r>
              <w:rPr>
                <w:sz w:val="20"/>
              </w:rPr>
            </w:r>
            <w:r>
              <w:rPr>
                <w:sz w:val="20"/>
              </w:rPr>
              <w:t>32.9 / 29.8 / 25.7ᵃ</w:t>
            </w:r>
          </w:p>
        </w:tc>
      </w:tr>
    </w:tbl>
    <w:p>
      <w:r>
        <w:t>Note: New laboratory, no site tests, drained, maximum-deviator criterion; for global mechanisms. Field: size shift with zero mean and between-laboratory heterogeneity (the field median is within 0.3° of the laboratory median). Not applicable to degradable, argillaceous, or fines-rich waste. Values below about 33° rest on the model of the truncated tail (</w:t>
      </w:r>
      <m:oMath>
        <m:sSubSup>
          <m:e>
            <m:r>
              <m:t>ϕ</m:t>
            </m:r>
          </m:e>
          <m:sub>
            <m:r>
              <m:t>1</m:t>
            </m:r>
          </m:sub>
          <m:sup>
            <m:r>
              <m:t>′</m:t>
            </m:r>
          </m:sup>
        </m:sSubSup>
      </m:oMath>
      <w:r>
        <w:t xml:space="preserve"> ≥ 31° in the database). ᵃOutside the validity domain (e ≤ 0.55 above 3 MPa).</w:t>
      </w:r>
    </w:p>
    <w:p/>
    <w:p>
      <w:pPr>
        <w:keepNext/>
      </w:pPr>
      <w:r>
        <w:rPr>
          <w:b/>
        </w:rPr>
        <w:t xml:space="preserve">Table 4. </w:t>
      </w:r>
      <w:r>
        <w:t>Factor of safety of foundation and seepage mechanisms, dump-average envelope of placed waste rock</w:t>
      </w:r>
    </w:p>
    <w:tbl>
      <w:tblPr>
        <w:tblW w:type="auto" w:w="0"/>
        <w:tblLook w:firstColumn="1" w:firstRow="1" w:lastColumn="0" w:lastRow="0" w:noHBand="0" w:noVBand="1" w:val="04A0"/>
        <w:tblBorders>
          <w:top w:val="single" w:sz="6"/>
          <w:bottom w:val="single" w:sz="6"/>
        </w:tblBorders>
      </w:tblPr>
      <w:tblGrid>
        <w:gridCol w:w="1560"/>
        <w:gridCol w:w="1560"/>
        <w:gridCol w:w="1560"/>
        <w:gridCol w:w="1560"/>
        <w:gridCol w:w="1560"/>
        <w:gridCol w:w="1560"/>
      </w:tblGrid>
      <w:tr>
        <w:tc>
          <w:tcPr>
            <w:tcW w:type="dxa" w:w="1560"/>
            <w:tcBorders>
              <w:bottom w:val="single" w:sz="4"/>
            </w:tcBorders>
          </w:tcPr>
          <w:p>
            <w:pPr>
              <w:spacing w:line="240" w:lineRule="auto"/>
            </w:pPr>
            <w:r>
              <w:rPr>
                <w:sz w:val="20"/>
              </w:rPr>
            </w:r>
            <w:r>
              <w:rPr>
                <w:sz w:val="20"/>
              </w:rPr>
              <w:t>Mechanism</w:t>
            </w:r>
          </w:p>
        </w:tc>
        <w:tc>
          <w:tcPr>
            <w:tcW w:type="dxa" w:w="1560"/>
            <w:tcBorders>
              <w:bottom w:val="single" w:sz="4"/>
            </w:tcBorders>
          </w:tcPr>
          <w:p>
            <w:pPr>
              <w:spacing w:line="240" w:lineRule="auto"/>
            </w:pPr>
            <w:r>
              <w:rPr>
                <w:sz w:val="20"/>
              </w:rPr>
            </w:r>
            <m:oMath>
              <m:sSubSup>
                <m:e>
                  <m:r>
                    <m:t>σ</m:t>
                  </m:r>
                </m:e>
                <m:sub>
                  <m:r>
                    <m:t>n</m:t>
                  </m:r>
                </m:sub>
                <m:sup>
                  <m:r>
                    <m:t>′</m:t>
                  </m:r>
                </m:sup>
              </m:sSubSup>
            </m:oMath>
            <w:r>
              <w:rPr>
                <w:sz w:val="20"/>
              </w:rPr>
              <w:t xml:space="preserve"> max. (MPa)</w:t>
            </w:r>
          </w:p>
        </w:tc>
        <w:tc>
          <w:tcPr>
            <w:tcW w:type="dxa" w:w="1560"/>
            <w:tcBorders>
              <w:bottom w:val="single" w:sz="4"/>
            </w:tcBorders>
          </w:tcPr>
          <w:p>
            <w:pPr>
              <w:spacing w:line="240" w:lineRule="auto"/>
            </w:pPr>
            <w:r>
              <w:rPr>
                <w:sz w:val="20"/>
              </w:rPr>
            </w:r>
            <w:r>
              <w:rPr>
                <w:sz w:val="20"/>
              </w:rPr>
              <w:t>Bounded</w:t>
            </w:r>
          </w:p>
        </w:tc>
        <w:tc>
          <w:tcPr>
            <w:tcW w:type="dxa" w:w="1560"/>
            <w:tcBorders>
              <w:bottom w:val="single" w:sz="4"/>
            </w:tcBorders>
          </w:tcPr>
          <w:p>
            <w:pPr>
              <w:spacing w:line="240" w:lineRule="auto"/>
            </w:pPr>
            <w:r>
              <w:rPr>
                <w:sz w:val="20"/>
              </w:rPr>
            </w:r>
            <w:r>
              <w:rPr>
                <w:sz w:val="20"/>
              </w:rPr>
              <w:t>Quadratic</w:t>
            </w:r>
          </w:p>
        </w:tc>
        <w:tc>
          <w:tcPr>
            <w:tcW w:type="dxa" w:w="1560"/>
            <w:tcBorders>
              <w:bottom w:val="single" w:sz="4"/>
            </w:tcBorders>
          </w:tcPr>
          <w:p>
            <w:pPr>
              <w:spacing w:line="240" w:lineRule="auto"/>
            </w:pPr>
            <w:r>
              <w:rPr>
                <w:sz w:val="20"/>
              </w:rPr>
            </w:r>
            <m:oMath>
              <m:sSubSup>
                <m:e>
                  <m:r>
                    <m:t>ϕ</m:t>
                  </m:r>
                </m:e>
                <m:sub>
                  <m:r>
                    <m:t>∞</m:t>
                  </m:r>
                </m:sub>
                <m:sup>
                  <m:r>
                    <m:t>′</m:t>
                  </m:r>
                </m:sup>
              </m:sSubSup>
            </m:oMath>
            <w:r>
              <w:rPr>
                <w:sz w:val="20"/>
              </w:rPr>
              <w:t xml:space="preserve"> = 24° / 31°</w:t>
            </w:r>
          </w:p>
        </w:tc>
        <w:tc>
          <w:tcPr>
            <w:tcW w:type="dxa" w:w="1560"/>
            <w:tcBorders>
              <w:bottom w:val="single" w:sz="4"/>
            </w:tcBorders>
          </w:tcPr>
          <w:p>
            <w:pPr>
              <w:spacing w:line="240" w:lineRule="auto"/>
            </w:pPr>
            <w:r>
              <w:rPr>
                <w:sz w:val="20"/>
              </w:rPr>
            </w:r>
            <w:r>
              <w:rPr>
                <w:sz w:val="20"/>
              </w:rPr>
              <w:t>Leps 2.0</w:t>
            </w:r>
          </w:p>
        </w:tc>
      </w:tr>
      <w:tr>
        <w:tc>
          <w:tcPr>
            <w:tcW w:type="dxa" w:w="1560"/>
          </w:tcPr>
          <w:p>
            <w:pPr>
              <w:spacing w:line="240" w:lineRule="auto"/>
            </w:pPr>
            <w:r>
              <w:rPr>
                <w:sz w:val="20"/>
              </w:rPr>
            </w:r>
            <w:r>
              <w:rPr>
                <w:sz w:val="20"/>
              </w:rPr>
              <w:t>Competent level foundation, 700 m</w:t>
            </w:r>
          </w:p>
        </w:tc>
        <w:tc>
          <w:tcPr>
            <w:tcW w:type="dxa" w:w="1560"/>
          </w:tcPr>
          <w:p>
            <w:pPr>
              <w:spacing w:line="240" w:lineRule="auto"/>
            </w:pPr>
            <w:r>
              <w:rPr>
                <w:sz w:val="20"/>
              </w:rPr>
            </w:r>
            <w:r>
              <w:rPr>
                <w:sz w:val="20"/>
              </w:rPr>
              <w:t>1.8</w:t>
            </w:r>
          </w:p>
        </w:tc>
        <w:tc>
          <w:tcPr>
            <w:tcW w:type="dxa" w:w="1560"/>
          </w:tcPr>
          <w:p>
            <w:pPr>
              <w:spacing w:line="240" w:lineRule="auto"/>
            </w:pPr>
            <w:r>
              <w:rPr>
                <w:sz w:val="20"/>
              </w:rPr>
            </w:r>
            <w:r>
              <w:rPr>
                <w:sz w:val="20"/>
              </w:rPr>
              <w:t>1.54 / 1.22</w:t>
            </w:r>
          </w:p>
        </w:tc>
        <w:tc>
          <w:tcPr>
            <w:tcW w:type="dxa" w:w="1560"/>
          </w:tcPr>
          <w:p>
            <w:pPr>
              <w:spacing w:line="240" w:lineRule="auto"/>
            </w:pPr>
            <w:r>
              <w:rPr>
                <w:sz w:val="20"/>
              </w:rPr>
            </w:r>
            <w:r>
              <w:rPr>
                <w:sz w:val="20"/>
              </w:rPr>
              <w:t>1.49 / 1.19</w:t>
            </w:r>
          </w:p>
        </w:tc>
        <w:tc>
          <w:tcPr>
            <w:tcW w:type="dxa" w:w="1560"/>
          </w:tcPr>
          <w:p>
            <w:pPr>
              <w:spacing w:line="240" w:lineRule="auto"/>
            </w:pPr>
            <w:r>
              <w:rPr>
                <w:sz w:val="20"/>
              </w:rPr>
            </w:r>
            <w:r>
              <w:rPr>
                <w:sz w:val="20"/>
              </w:rPr>
              <w:t>1.20 / 1.23</w:t>
            </w:r>
          </w:p>
        </w:tc>
        <w:tc>
          <w:tcPr>
            <w:tcW w:type="dxa" w:w="1560"/>
          </w:tcPr>
          <w:p>
            <w:pPr>
              <w:spacing w:line="240" w:lineRule="auto"/>
            </w:pPr>
            <w:r>
              <w:rPr>
                <w:sz w:val="20"/>
              </w:rPr>
            </w:r>
            <w:r>
              <w:rPr>
                <w:sz w:val="20"/>
              </w:rPr>
              <w:t>1.38</w:t>
            </w:r>
          </w:p>
        </w:tc>
      </w:tr>
      <w:tr>
        <w:tc>
          <w:tcPr>
            <w:tcW w:type="dxa" w:w="1560"/>
          </w:tcPr>
          <w:p>
            <w:pPr>
              <w:spacing w:line="240" w:lineRule="auto"/>
            </w:pPr>
            <w:r>
              <w:rPr>
                <w:sz w:val="20"/>
              </w:rPr>
            </w:r>
            <w:r>
              <w:rPr>
                <w:sz w:val="20"/>
              </w:rPr>
              <w:t>Weak layer, 25°, 400 m</w:t>
            </w:r>
          </w:p>
        </w:tc>
        <w:tc>
          <w:tcPr>
            <w:tcW w:type="dxa" w:w="1560"/>
          </w:tcPr>
          <w:p>
            <w:pPr>
              <w:spacing w:line="240" w:lineRule="auto"/>
            </w:pPr>
            <w:r>
              <w:rPr>
                <w:sz w:val="20"/>
              </w:rPr>
            </w:r>
            <w:r>
              <w:rPr>
                <w:sz w:val="20"/>
              </w:rPr>
              <w:t>1.2</w:t>
            </w:r>
          </w:p>
        </w:tc>
        <w:tc>
          <w:tcPr>
            <w:tcW w:type="dxa" w:w="1560"/>
          </w:tcPr>
          <w:p>
            <w:pPr>
              <w:spacing w:line="240" w:lineRule="auto"/>
            </w:pPr>
            <w:r>
              <w:rPr>
                <w:sz w:val="20"/>
              </w:rPr>
            </w:r>
            <w:r>
              <w:rPr>
                <w:sz w:val="20"/>
              </w:rPr>
              <w:t>1.49 / 1.24</w:t>
            </w:r>
          </w:p>
        </w:tc>
        <w:tc>
          <w:tcPr>
            <w:tcW w:type="dxa" w:w="1560"/>
          </w:tcPr>
          <w:p>
            <w:pPr>
              <w:spacing w:line="240" w:lineRule="auto"/>
            </w:pPr>
            <w:r>
              <w:rPr>
                <w:sz w:val="20"/>
              </w:rPr>
            </w:r>
            <w:r>
              <w:rPr>
                <w:sz w:val="20"/>
              </w:rPr>
              <w:t>1.48 / 1.24</w:t>
            </w:r>
          </w:p>
        </w:tc>
        <w:tc>
          <w:tcPr>
            <w:tcW w:type="dxa" w:w="1560"/>
          </w:tcPr>
          <w:p>
            <w:pPr>
              <w:spacing w:line="240" w:lineRule="auto"/>
            </w:pPr>
            <w:r>
              <w:rPr>
                <w:sz w:val="20"/>
              </w:rPr>
            </w:r>
            <w:r>
              <w:rPr>
                <w:sz w:val="20"/>
              </w:rPr>
              <w:t>1.23 / 1.25</w:t>
            </w:r>
          </w:p>
        </w:tc>
        <w:tc>
          <w:tcPr>
            <w:tcW w:type="dxa" w:w="1560"/>
          </w:tcPr>
          <w:p>
            <w:pPr>
              <w:spacing w:line="240" w:lineRule="auto"/>
            </w:pPr>
            <w:r>
              <w:rPr>
                <w:sz w:val="20"/>
              </w:rPr>
            </w:r>
            <w:r>
              <w:rPr>
                <w:sz w:val="20"/>
              </w:rPr>
              <w:t>1.38</w:t>
            </w:r>
          </w:p>
        </w:tc>
      </w:tr>
      <w:tr>
        <w:tc>
          <w:tcPr>
            <w:tcW w:type="dxa" w:w="1560"/>
          </w:tcPr>
          <w:p>
            <w:pPr>
              <w:spacing w:line="240" w:lineRule="auto"/>
            </w:pPr>
            <w:r>
              <w:rPr>
                <w:sz w:val="20"/>
              </w:rPr>
            </w:r>
            <w:r>
              <w:rPr>
                <w:sz w:val="20"/>
              </w:rPr>
              <w:t>Weak layer, 25°, 700 m</w:t>
            </w:r>
          </w:p>
        </w:tc>
        <w:tc>
          <w:tcPr>
            <w:tcW w:type="dxa" w:w="1560"/>
          </w:tcPr>
          <w:p>
            <w:pPr>
              <w:spacing w:line="240" w:lineRule="auto"/>
            </w:pPr>
            <w:r>
              <w:rPr>
                <w:sz w:val="20"/>
              </w:rPr>
            </w:r>
            <w:r>
              <w:rPr>
                <w:sz w:val="20"/>
              </w:rPr>
              <w:t>2.0</w:t>
            </w:r>
          </w:p>
        </w:tc>
        <w:tc>
          <w:tcPr>
            <w:tcW w:type="dxa" w:w="1560"/>
          </w:tcPr>
          <w:p>
            <w:pPr>
              <w:spacing w:line="240" w:lineRule="auto"/>
            </w:pPr>
            <w:r>
              <w:rPr>
                <w:sz w:val="20"/>
              </w:rPr>
            </w:r>
            <w:r>
              <w:rPr>
                <w:sz w:val="20"/>
              </w:rPr>
              <w:t>1.45 / 1.20</w:t>
            </w:r>
          </w:p>
        </w:tc>
        <w:tc>
          <w:tcPr>
            <w:tcW w:type="dxa" w:w="1560"/>
          </w:tcPr>
          <w:p>
            <w:pPr>
              <w:spacing w:line="240" w:lineRule="auto"/>
            </w:pPr>
            <w:r>
              <w:rPr>
                <w:sz w:val="20"/>
              </w:rPr>
            </w:r>
            <w:r>
              <w:rPr>
                <w:sz w:val="20"/>
              </w:rPr>
              <w:t>1.40 / 1.16</w:t>
            </w:r>
          </w:p>
        </w:tc>
        <w:tc>
          <w:tcPr>
            <w:tcW w:type="dxa" w:w="1560"/>
          </w:tcPr>
          <w:p>
            <w:pPr>
              <w:spacing w:line="240" w:lineRule="auto"/>
            </w:pPr>
            <w:r>
              <w:rPr>
                <w:sz w:val="20"/>
              </w:rPr>
            </w:r>
            <w:r>
              <w:rPr>
                <w:sz w:val="20"/>
              </w:rPr>
              <w:t>1.18 / 1.21</w:t>
            </w:r>
          </w:p>
        </w:tc>
        <w:tc>
          <w:tcPr>
            <w:tcW w:type="dxa" w:w="1560"/>
          </w:tcPr>
          <w:p>
            <w:pPr>
              <w:spacing w:line="240" w:lineRule="auto"/>
            </w:pPr>
            <w:r>
              <w:rPr>
                <w:sz w:val="20"/>
              </w:rPr>
            </w:r>
            <w:r>
              <w:rPr>
                <w:sz w:val="20"/>
              </w:rPr>
              <w:t>1.32</w:t>
            </w:r>
          </w:p>
        </w:tc>
      </w:tr>
      <w:tr>
        <w:tc>
          <w:tcPr>
            <w:tcW w:type="dxa" w:w="1560"/>
          </w:tcPr>
          <w:p>
            <w:pPr>
              <w:spacing w:line="240" w:lineRule="auto"/>
            </w:pPr>
            <w:r>
              <w:rPr>
                <w:sz w:val="20"/>
              </w:rPr>
            </w:r>
            <w:r>
              <w:rPr>
                <w:sz w:val="20"/>
              </w:rPr>
              <w:t>Weak layer, 30°, 700 m</w:t>
            </w:r>
          </w:p>
        </w:tc>
        <w:tc>
          <w:tcPr>
            <w:tcW w:type="dxa" w:w="1560"/>
          </w:tcPr>
          <w:p>
            <w:pPr>
              <w:spacing w:line="240" w:lineRule="auto"/>
            </w:pPr>
            <w:r>
              <w:rPr>
                <w:sz w:val="20"/>
              </w:rPr>
            </w:r>
            <w:r>
              <w:rPr>
                <w:sz w:val="20"/>
              </w:rPr>
              <w:t>1.7</w:t>
            </w:r>
          </w:p>
        </w:tc>
        <w:tc>
          <w:tcPr>
            <w:tcW w:type="dxa" w:w="1560"/>
          </w:tcPr>
          <w:p>
            <w:pPr>
              <w:spacing w:line="240" w:lineRule="auto"/>
            </w:pPr>
            <w:r>
              <w:rPr>
                <w:sz w:val="20"/>
              </w:rPr>
            </w:r>
            <w:r>
              <w:rPr>
                <w:sz w:val="20"/>
              </w:rPr>
              <w:t>1.51 / 1.22</w:t>
            </w:r>
          </w:p>
        </w:tc>
        <w:tc>
          <w:tcPr>
            <w:tcW w:type="dxa" w:w="1560"/>
          </w:tcPr>
          <w:p>
            <w:pPr>
              <w:spacing w:line="240" w:lineRule="auto"/>
            </w:pPr>
            <w:r>
              <w:rPr>
                <w:sz w:val="20"/>
              </w:rPr>
            </w:r>
            <w:r>
              <w:rPr>
                <w:sz w:val="20"/>
              </w:rPr>
              <w:t>1.46 / 1.18</w:t>
            </w:r>
          </w:p>
        </w:tc>
        <w:tc>
          <w:tcPr>
            <w:tcW w:type="dxa" w:w="1560"/>
          </w:tcPr>
          <w:p>
            <w:pPr>
              <w:spacing w:line="240" w:lineRule="auto"/>
            </w:pPr>
            <w:r>
              <w:rPr>
                <w:sz w:val="20"/>
              </w:rPr>
            </w:r>
            <w:r>
              <w:rPr>
                <w:sz w:val="20"/>
              </w:rPr>
              <w:t>1.20 / 1.23</w:t>
            </w:r>
          </w:p>
        </w:tc>
        <w:tc>
          <w:tcPr>
            <w:tcW w:type="dxa" w:w="1560"/>
          </w:tcPr>
          <w:p>
            <w:pPr>
              <w:spacing w:line="240" w:lineRule="auto"/>
            </w:pPr>
            <w:r>
              <w:rPr>
                <w:sz w:val="20"/>
              </w:rPr>
            </w:r>
            <w:r>
              <w:rPr>
                <w:sz w:val="20"/>
              </w:rPr>
              <w:t>1.36</w:t>
            </w:r>
          </w:p>
        </w:tc>
      </w:tr>
      <w:tr>
        <w:tc>
          <w:tcPr>
            <w:tcW w:type="dxa" w:w="1560"/>
          </w:tcPr>
          <w:p>
            <w:pPr>
              <w:spacing w:line="240" w:lineRule="auto"/>
            </w:pPr>
            <w:r>
              <w:rPr>
                <w:sz w:val="20"/>
              </w:rPr>
            </w:r>
            <w:r>
              <w:rPr>
                <w:sz w:val="20"/>
              </w:rPr>
              <w:t>Foundation inclined 10°, 400 m</w:t>
            </w:r>
          </w:p>
        </w:tc>
        <w:tc>
          <w:tcPr>
            <w:tcW w:type="dxa" w:w="1560"/>
          </w:tcPr>
          <w:p>
            <w:pPr>
              <w:spacing w:line="240" w:lineRule="auto"/>
            </w:pPr>
            <w:r>
              <w:rPr>
                <w:sz w:val="20"/>
              </w:rPr>
            </w:r>
            <w:r>
              <w:rPr>
                <w:sz w:val="20"/>
              </w:rPr>
              <w:t>1.0</w:t>
            </w:r>
          </w:p>
        </w:tc>
        <w:tc>
          <w:tcPr>
            <w:tcW w:type="dxa" w:w="1560"/>
          </w:tcPr>
          <w:p>
            <w:pPr>
              <w:spacing w:line="240" w:lineRule="auto"/>
            </w:pPr>
            <w:r>
              <w:rPr>
                <w:sz w:val="20"/>
              </w:rPr>
            </w:r>
            <w:r>
              <w:rPr>
                <w:sz w:val="20"/>
              </w:rPr>
              <w:t>1.62 / 1.28</w:t>
            </w:r>
          </w:p>
        </w:tc>
        <w:tc>
          <w:tcPr>
            <w:tcW w:type="dxa" w:w="1560"/>
          </w:tcPr>
          <w:p>
            <w:pPr>
              <w:spacing w:line="240" w:lineRule="auto"/>
            </w:pPr>
            <w:r>
              <w:rPr>
                <w:sz w:val="20"/>
              </w:rPr>
            </w:r>
            <w:r>
              <w:rPr>
                <w:sz w:val="20"/>
              </w:rPr>
              <w:t>1.63 / 1.29</w:t>
            </w:r>
          </w:p>
        </w:tc>
        <w:tc>
          <w:tcPr>
            <w:tcW w:type="dxa" w:w="1560"/>
          </w:tcPr>
          <w:p>
            <w:pPr>
              <w:spacing w:line="240" w:lineRule="auto"/>
            </w:pPr>
            <w:r>
              <w:rPr>
                <w:sz w:val="20"/>
              </w:rPr>
            </w:r>
            <w:r>
              <w:rPr>
                <w:sz w:val="20"/>
              </w:rPr>
              <w:t>1.27 / 1.29</w:t>
            </w:r>
          </w:p>
        </w:tc>
        <w:tc>
          <w:tcPr>
            <w:tcW w:type="dxa" w:w="1560"/>
          </w:tcPr>
          <w:p>
            <w:pPr>
              <w:spacing w:line="240" w:lineRule="auto"/>
            </w:pPr>
            <w:r>
              <w:rPr>
                <w:sz w:val="20"/>
              </w:rPr>
            </w:r>
            <w:r>
              <w:rPr>
                <w:sz w:val="20"/>
              </w:rPr>
              <w:t>1.46</w:t>
            </w:r>
          </w:p>
        </w:tc>
      </w:tr>
      <w:tr>
        <w:tc>
          <w:tcPr>
            <w:tcW w:type="dxa" w:w="1560"/>
          </w:tcPr>
          <w:p>
            <w:pPr>
              <w:spacing w:line="240" w:lineRule="auto"/>
            </w:pPr>
            <w:r>
              <w:rPr>
                <w:sz w:val="20"/>
              </w:rPr>
            </w:r>
            <w:r>
              <w:rPr>
                <w:sz w:val="20"/>
              </w:rPr>
              <w:t>Foundation inclined 10°, 700 m</w:t>
            </w:r>
          </w:p>
        </w:tc>
        <w:tc>
          <w:tcPr>
            <w:tcW w:type="dxa" w:w="1560"/>
          </w:tcPr>
          <w:p>
            <w:pPr>
              <w:spacing w:line="240" w:lineRule="auto"/>
            </w:pPr>
            <w:r>
              <w:rPr>
                <w:sz w:val="20"/>
              </w:rPr>
            </w:r>
            <w:r>
              <w:rPr>
                <w:sz w:val="20"/>
              </w:rPr>
              <w:t>1.8</w:t>
            </w:r>
          </w:p>
        </w:tc>
        <w:tc>
          <w:tcPr>
            <w:tcW w:type="dxa" w:w="1560"/>
          </w:tcPr>
          <w:p>
            <w:pPr>
              <w:spacing w:line="240" w:lineRule="auto"/>
            </w:pPr>
            <w:r>
              <w:rPr>
                <w:sz w:val="20"/>
              </w:rPr>
            </w:r>
            <w:r>
              <w:rPr>
                <w:sz w:val="20"/>
              </w:rPr>
              <w:t>1.54 / 1.22</w:t>
            </w:r>
          </w:p>
        </w:tc>
        <w:tc>
          <w:tcPr>
            <w:tcW w:type="dxa" w:w="1560"/>
          </w:tcPr>
          <w:p>
            <w:pPr>
              <w:spacing w:line="240" w:lineRule="auto"/>
            </w:pPr>
            <w:r>
              <w:rPr>
                <w:sz w:val="20"/>
              </w:rPr>
            </w:r>
            <w:r>
              <w:rPr>
                <w:sz w:val="20"/>
              </w:rPr>
              <w:t>1.50 / 1.19</w:t>
            </w:r>
          </w:p>
        </w:tc>
        <w:tc>
          <w:tcPr>
            <w:tcW w:type="dxa" w:w="1560"/>
          </w:tcPr>
          <w:p>
            <w:pPr>
              <w:spacing w:line="240" w:lineRule="auto"/>
            </w:pPr>
            <w:r>
              <w:rPr>
                <w:sz w:val="20"/>
              </w:rPr>
            </w:r>
            <w:r>
              <w:rPr>
                <w:sz w:val="20"/>
              </w:rPr>
              <w:t>1.20 / 1.23</w:t>
            </w:r>
          </w:p>
        </w:tc>
        <w:tc>
          <w:tcPr>
            <w:tcW w:type="dxa" w:w="1560"/>
          </w:tcPr>
          <w:p>
            <w:pPr>
              <w:spacing w:line="240" w:lineRule="auto"/>
            </w:pPr>
            <w:r>
              <w:rPr>
                <w:sz w:val="20"/>
              </w:rPr>
            </w:r>
            <w:r>
              <w:rPr>
                <w:sz w:val="20"/>
              </w:rPr>
              <w:t>1.38</w:t>
            </w:r>
          </w:p>
        </w:tc>
      </w:tr>
      <w:tr>
        <w:tc>
          <w:tcPr>
            <w:tcW w:type="dxa" w:w="1560"/>
          </w:tcPr>
          <w:p>
            <w:pPr>
              <w:spacing w:line="240" w:lineRule="auto"/>
            </w:pPr>
            <w:r>
              <w:rPr>
                <w:sz w:val="20"/>
              </w:rPr>
            </w:r>
            <w:r>
              <w:rPr>
                <w:sz w:val="20"/>
              </w:rPr>
              <w:t>Foundation inclined 20°, 700 m</w:t>
            </w:r>
          </w:p>
        </w:tc>
        <w:tc>
          <w:tcPr>
            <w:tcW w:type="dxa" w:w="1560"/>
          </w:tcPr>
          <w:p>
            <w:pPr>
              <w:spacing w:line="240" w:lineRule="auto"/>
            </w:pPr>
            <w:r>
              <w:rPr>
                <w:sz w:val="20"/>
              </w:rPr>
            </w:r>
            <w:r>
              <w:rPr>
                <w:sz w:val="20"/>
              </w:rPr>
              <w:t>1.4</w:t>
            </w:r>
          </w:p>
        </w:tc>
        <w:tc>
          <w:tcPr>
            <w:tcW w:type="dxa" w:w="1560"/>
          </w:tcPr>
          <w:p>
            <w:pPr>
              <w:spacing w:line="240" w:lineRule="auto"/>
            </w:pPr>
            <w:r>
              <w:rPr>
                <w:sz w:val="20"/>
              </w:rPr>
            </w:r>
            <w:r>
              <w:rPr>
                <w:sz w:val="20"/>
              </w:rPr>
              <w:t>1.56 / 1.24</w:t>
            </w:r>
          </w:p>
        </w:tc>
        <w:tc>
          <w:tcPr>
            <w:tcW w:type="dxa" w:w="1560"/>
          </w:tcPr>
          <w:p>
            <w:pPr>
              <w:spacing w:line="240" w:lineRule="auto"/>
            </w:pPr>
            <w:r>
              <w:rPr>
                <w:sz w:val="20"/>
              </w:rPr>
            </w:r>
            <w:r>
              <w:rPr>
                <w:sz w:val="20"/>
              </w:rPr>
              <w:t>1.55 / 1.23</w:t>
            </w:r>
          </w:p>
        </w:tc>
        <w:tc>
          <w:tcPr>
            <w:tcW w:type="dxa" w:w="1560"/>
          </w:tcPr>
          <w:p>
            <w:pPr>
              <w:spacing w:line="240" w:lineRule="auto"/>
            </w:pPr>
            <w:r>
              <w:rPr>
                <w:sz w:val="20"/>
              </w:rPr>
            </w:r>
            <w:r>
              <w:rPr>
                <w:sz w:val="20"/>
              </w:rPr>
              <w:t>1.22 / 1.25</w:t>
            </w:r>
          </w:p>
        </w:tc>
        <w:tc>
          <w:tcPr>
            <w:tcW w:type="dxa" w:w="1560"/>
          </w:tcPr>
          <w:p>
            <w:pPr>
              <w:spacing w:line="240" w:lineRule="auto"/>
            </w:pPr>
            <w:r>
              <w:rPr>
                <w:sz w:val="20"/>
              </w:rPr>
            </w:r>
            <w:r>
              <w:rPr>
                <w:sz w:val="20"/>
              </w:rPr>
              <w:t>1.41</w:t>
            </w:r>
          </w:p>
        </w:tc>
      </w:tr>
      <w:tr>
        <w:tc>
          <w:tcPr>
            <w:tcW w:type="dxa" w:w="1560"/>
          </w:tcPr>
          <w:p>
            <w:pPr>
              <w:spacing w:line="240" w:lineRule="auto"/>
            </w:pPr>
            <w:r>
              <w:rPr>
                <w:sz w:val="20"/>
              </w:rPr>
            </w:r>
            <w:r>
              <w:rPr>
                <w:sz w:val="20"/>
              </w:rPr>
              <w:t>Weak layer, 20°, 700 m</w:t>
            </w:r>
          </w:p>
        </w:tc>
        <w:tc>
          <w:tcPr>
            <w:tcW w:type="dxa" w:w="1560"/>
          </w:tcPr>
          <w:p>
            <w:pPr>
              <w:spacing w:line="240" w:lineRule="auto"/>
            </w:pPr>
            <w:r>
              <w:rPr>
                <w:sz w:val="20"/>
              </w:rPr>
            </w:r>
            <w:r>
              <w:rPr>
                <w:sz w:val="20"/>
              </w:rPr>
              <w:t>3.0</w:t>
            </w:r>
          </w:p>
        </w:tc>
        <w:tc>
          <w:tcPr>
            <w:tcW w:type="dxa" w:w="1560"/>
          </w:tcPr>
          <w:p>
            <w:pPr>
              <w:spacing w:line="240" w:lineRule="auto"/>
            </w:pPr>
            <w:r>
              <w:rPr>
                <w:sz w:val="20"/>
              </w:rPr>
            </w:r>
            <w:r>
              <w:rPr>
                <w:sz w:val="20"/>
              </w:rPr>
              <w:t>1.36 / 1.15</w:t>
            </w:r>
          </w:p>
        </w:tc>
        <w:tc>
          <w:tcPr>
            <w:tcW w:type="dxa" w:w="1560"/>
          </w:tcPr>
          <w:p>
            <w:pPr>
              <w:spacing w:line="240" w:lineRule="auto"/>
            </w:pPr>
            <w:r>
              <w:rPr>
                <w:sz w:val="20"/>
              </w:rPr>
            </w:r>
            <w:r>
              <w:rPr>
                <w:sz w:val="20"/>
              </w:rPr>
              <w:t>— / 1.11</w:t>
            </w:r>
          </w:p>
        </w:tc>
        <w:tc>
          <w:tcPr>
            <w:tcW w:type="dxa" w:w="1560"/>
          </w:tcPr>
          <w:p>
            <w:pPr>
              <w:spacing w:line="240" w:lineRule="auto"/>
            </w:pPr>
            <w:r>
              <w:rPr>
                <w:sz w:val="20"/>
              </w:rPr>
            </w:r>
            <w:r>
              <w:rPr>
                <w:sz w:val="20"/>
              </w:rPr>
              <w:t>—</w:t>
            </w:r>
          </w:p>
        </w:tc>
        <w:tc>
          <w:tcPr>
            <w:tcW w:type="dxa" w:w="1560"/>
          </w:tcPr>
          <w:p>
            <w:pPr>
              <w:spacing w:line="240" w:lineRule="auto"/>
            </w:pPr>
            <w:r>
              <w:rPr>
                <w:sz w:val="20"/>
              </w:rPr>
            </w:r>
            <w:r>
              <w:rPr>
                <w:sz w:val="20"/>
              </w:rPr>
              <w:t>1.25</w:t>
            </w:r>
          </w:p>
        </w:tc>
      </w:tr>
      <w:tr>
        <w:tc>
          <w:tcPr>
            <w:tcW w:type="dxa" w:w="1560"/>
          </w:tcPr>
          <w:p>
            <w:pPr>
              <w:spacing w:line="240" w:lineRule="auto"/>
            </w:pPr>
            <w:r>
              <w:rPr>
                <w:sz w:val="20"/>
              </w:rPr>
            </w:r>
            <w:r>
              <w:rPr>
                <w:sz w:val="20"/>
              </w:rPr>
              <w:t>Weak layer, 15°, 700 m</w:t>
            </w:r>
          </w:p>
        </w:tc>
        <w:tc>
          <w:tcPr>
            <w:tcW w:type="dxa" w:w="1560"/>
          </w:tcPr>
          <w:p>
            <w:pPr>
              <w:spacing w:line="240" w:lineRule="auto"/>
            </w:pPr>
            <w:r>
              <w:rPr>
                <w:sz w:val="20"/>
              </w:rPr>
            </w:r>
            <w:r>
              <w:rPr>
                <w:sz w:val="20"/>
              </w:rPr>
              <w:t>3.3</w:t>
            </w:r>
          </w:p>
        </w:tc>
        <w:tc>
          <w:tcPr>
            <w:tcW w:type="dxa" w:w="1560"/>
          </w:tcPr>
          <w:p>
            <w:pPr>
              <w:spacing w:line="240" w:lineRule="auto"/>
            </w:pPr>
            <w:r>
              <w:rPr>
                <w:sz w:val="20"/>
              </w:rPr>
            </w:r>
            <w:r>
              <w:rPr>
                <w:sz w:val="20"/>
              </w:rPr>
              <w:t>1.23 / 1.06</w:t>
            </w:r>
          </w:p>
        </w:tc>
        <w:tc>
          <w:tcPr>
            <w:tcW w:type="dxa" w:w="1560"/>
          </w:tcPr>
          <w:p>
            <w:pPr>
              <w:spacing w:line="240" w:lineRule="auto"/>
            </w:pPr>
            <w:r>
              <w:rPr>
                <w:sz w:val="20"/>
              </w:rPr>
            </w:r>
            <w:r>
              <w:rPr>
                <w:sz w:val="20"/>
              </w:rPr>
              <w:t>— / 1.02</w:t>
            </w:r>
          </w:p>
        </w:tc>
        <w:tc>
          <w:tcPr>
            <w:tcW w:type="dxa" w:w="1560"/>
          </w:tcPr>
          <w:p>
            <w:pPr>
              <w:spacing w:line="240" w:lineRule="auto"/>
            </w:pPr>
            <w:r>
              <w:rPr>
                <w:sz w:val="20"/>
              </w:rPr>
            </w:r>
            <w:r>
              <w:rPr>
                <w:sz w:val="20"/>
              </w:rPr>
              <w:t>—</w:t>
            </w:r>
          </w:p>
        </w:tc>
        <w:tc>
          <w:tcPr>
            <w:tcW w:type="dxa" w:w="1560"/>
          </w:tcPr>
          <w:p>
            <w:pPr>
              <w:spacing w:line="240" w:lineRule="auto"/>
            </w:pPr>
            <w:r>
              <w:rPr>
                <w:sz w:val="20"/>
              </w:rPr>
            </w:r>
            <w:r>
              <w:rPr>
                <w:sz w:val="20"/>
              </w:rPr>
              <w:t>1.14</w:t>
            </w:r>
          </w:p>
        </w:tc>
      </w:tr>
      <w:tr>
        <w:tc>
          <w:tcPr>
            <w:tcW w:type="dxa" w:w="1560"/>
          </w:tcPr>
          <w:p>
            <w:pPr>
              <w:spacing w:line="240" w:lineRule="auto"/>
            </w:pPr>
            <w:r>
              <w:rPr>
                <w:sz w:val="20"/>
              </w:rPr>
            </w:r>
            <w:r>
              <w:rPr>
                <w:sz w:val="20"/>
              </w:rPr>
              <w:t>Weak layer 20°, inclined 10°, 700 m</w:t>
            </w:r>
          </w:p>
        </w:tc>
        <w:tc>
          <w:tcPr>
            <w:tcW w:type="dxa" w:w="1560"/>
          </w:tcPr>
          <w:p>
            <w:pPr>
              <w:spacing w:line="240" w:lineRule="auto"/>
            </w:pPr>
            <w:r>
              <w:rPr>
                <w:sz w:val="20"/>
              </w:rPr>
            </w:r>
            <w:r>
              <w:rPr>
                <w:sz w:val="20"/>
              </w:rPr>
              <w:t>3.1</w:t>
            </w:r>
          </w:p>
        </w:tc>
        <w:tc>
          <w:tcPr>
            <w:tcW w:type="dxa" w:w="1560"/>
          </w:tcPr>
          <w:p>
            <w:pPr>
              <w:spacing w:line="240" w:lineRule="auto"/>
            </w:pPr>
            <w:r>
              <w:rPr>
                <w:sz w:val="20"/>
              </w:rPr>
            </w:r>
            <w:r>
              <w:rPr>
                <w:sz w:val="20"/>
              </w:rPr>
              <w:t>1.15 / 1.05</w:t>
            </w:r>
          </w:p>
        </w:tc>
        <w:tc>
          <w:tcPr>
            <w:tcW w:type="dxa" w:w="1560"/>
          </w:tcPr>
          <w:p>
            <w:pPr>
              <w:spacing w:line="240" w:lineRule="auto"/>
            </w:pPr>
            <w:r>
              <w:rPr>
                <w:sz w:val="20"/>
              </w:rPr>
            </w:r>
            <w:r>
              <w:rPr>
                <w:sz w:val="20"/>
              </w:rPr>
              <w:t>— / 1.02</w:t>
            </w:r>
          </w:p>
        </w:tc>
        <w:tc>
          <w:tcPr>
            <w:tcW w:type="dxa" w:w="1560"/>
          </w:tcPr>
          <w:p>
            <w:pPr>
              <w:spacing w:line="240" w:lineRule="auto"/>
            </w:pPr>
            <w:r>
              <w:rPr>
                <w:sz w:val="20"/>
              </w:rPr>
            </w:r>
            <w:r>
              <w:rPr>
                <w:sz w:val="20"/>
              </w:rPr>
              <w:t>—</w:t>
            </w:r>
          </w:p>
        </w:tc>
        <w:tc>
          <w:tcPr>
            <w:tcW w:type="dxa" w:w="1560"/>
          </w:tcPr>
          <w:p>
            <w:pPr>
              <w:spacing w:line="240" w:lineRule="auto"/>
            </w:pPr>
            <w:r>
              <w:rPr>
                <w:sz w:val="20"/>
              </w:rPr>
            </w:r>
            <w:r>
              <w:rPr>
                <w:sz w:val="20"/>
              </w:rPr>
              <w:t>1.10</w:t>
            </w:r>
          </w:p>
        </w:tc>
      </w:tr>
      <w:tr>
        <w:tc>
          <w:tcPr>
            <w:tcW w:type="dxa" w:w="1560"/>
          </w:tcPr>
          <w:p>
            <w:pPr>
              <w:spacing w:line="240" w:lineRule="auto"/>
            </w:pPr>
            <w:r>
              <w:rPr>
                <w:sz w:val="20"/>
              </w:rPr>
            </w:r>
            <w:r>
              <w:rPr>
                <w:sz w:val="20"/>
              </w:rPr>
              <w:t>Basal water table, 100 m, 700 m</w:t>
            </w:r>
          </w:p>
        </w:tc>
        <w:tc>
          <w:tcPr>
            <w:tcW w:type="dxa" w:w="1560"/>
          </w:tcPr>
          <w:p>
            <w:pPr>
              <w:spacing w:line="240" w:lineRule="auto"/>
            </w:pPr>
            <w:r>
              <w:rPr>
                <w:sz w:val="20"/>
              </w:rPr>
            </w:r>
            <w:r>
              <w:rPr>
                <w:sz w:val="20"/>
              </w:rPr>
              <w:t>0.0</w:t>
            </w:r>
          </w:p>
        </w:tc>
        <w:tc>
          <w:tcPr>
            <w:tcW w:type="dxa" w:w="1560"/>
          </w:tcPr>
          <w:p>
            <w:pPr>
              <w:spacing w:line="240" w:lineRule="auto"/>
            </w:pPr>
            <w:r>
              <w:rPr>
                <w:sz w:val="20"/>
              </w:rPr>
            </w:r>
            <w:r>
              <w:rPr>
                <w:sz w:val="20"/>
              </w:rPr>
              <w:t>0.65 / 0.46</w:t>
            </w:r>
          </w:p>
        </w:tc>
        <w:tc>
          <w:tcPr>
            <w:tcW w:type="dxa" w:w="1560"/>
          </w:tcPr>
          <w:p>
            <w:pPr>
              <w:spacing w:line="240" w:lineRule="auto"/>
            </w:pPr>
            <w:r>
              <w:rPr>
                <w:sz w:val="20"/>
              </w:rPr>
            </w:r>
            <w:r>
              <w:rPr>
                <w:sz w:val="20"/>
              </w:rPr>
              <w:t>0.72 / 0.52</w:t>
            </w:r>
          </w:p>
        </w:tc>
        <w:tc>
          <w:tcPr>
            <w:tcW w:type="dxa" w:w="1560"/>
          </w:tcPr>
          <w:p>
            <w:pPr>
              <w:spacing w:line="240" w:lineRule="auto"/>
            </w:pPr>
            <w:r>
              <w:rPr>
                <w:sz w:val="20"/>
              </w:rPr>
            </w:r>
            <w:r>
              <w:rPr>
                <w:sz w:val="20"/>
              </w:rPr>
              <w:t>0.47 / 0.46</w:t>
            </w:r>
          </w:p>
        </w:tc>
        <w:tc>
          <w:tcPr>
            <w:tcW w:type="dxa" w:w="1560"/>
          </w:tcPr>
          <w:p>
            <w:pPr>
              <w:spacing w:line="240" w:lineRule="auto"/>
            </w:pPr>
            <w:r>
              <w:rPr>
                <w:sz w:val="20"/>
              </w:rPr>
            </w:r>
            <w:r>
              <w:rPr>
                <w:sz w:val="20"/>
              </w:rPr>
              <w:t>0.53</w:t>
            </w:r>
          </w:p>
        </w:tc>
      </w:tr>
    </w:tbl>
    <w:p>
      <w:r>
        <w:t xml:space="preserve">Note: Slope 2H:1V; unit weight 17.2 kN/m³; foundation layer 10 m thick with c′ = 0 under the whole dump; inclined foundations dip toward the toe. Weak layers of 15° and 20°: lower factor of safety of the annealing and block searches; </w:t>
      </w:r>
      <m:oMath>
        <m:sSubSup>
          <m:e>
            <m:r>
              <m:t>σ</m:t>
            </m:r>
          </m:e>
          <m:sub>
            <m:r>
              <m:t>n</m:t>
            </m:r>
          </m:sub>
          <m:sup>
            <m:r>
              <m:t>′</m:t>
            </m:r>
          </m:sup>
        </m:sSubSup>
      </m:oMath>
      <w:r>
        <w:t xml:space="preserve"> max. in the waste rock. Bounded and quadratic: median / 5th-percentile envelope; </w:t>
      </w:r>
      <m:oMath>
        <m:sSubSup>
          <m:e>
            <m:r>
              <m:t>ϕ</m:t>
            </m:r>
          </m:e>
          <m:sub>
            <m:r>
              <m:t>∞</m:t>
            </m:r>
          </m:sub>
          <m:sup>
            <m:r>
              <m:t>′</m:t>
            </m:r>
          </m:sup>
        </m:sSubSup>
      </m:oMath>
      <w:r>
        <w:t xml:space="preserve">: bounded 5th percentile restricted to samples at the ends of the ridge. </w:t>
      </w:r>
      <m:oMath>
        <m:sSubSup>
          <m:e>
            <m:r>
              <m:t>σ</m:t>
            </m:r>
          </m:e>
          <m:sub>
            <m:r>
              <m:t>n</m:t>
            </m:r>
          </m:sub>
          <m:sup>
            <m:r>
              <m:t>′</m:t>
            </m:r>
          </m:sup>
        </m:sSubSup>
      </m:oMath>
      <w:r>
        <w:t xml:space="preserve"> max.: largest effective normal stress at the base of the slices of the critical surface with the bounded 5th percentile (γ·h·cos²α less pore pressure). Basal water table: shallow failure at the toe where seepage exits the face. Leps 2.0: published envelope (</w:t>
      </w:r>
      <m:oMath>
        <m:sSubSup>
          <m:e>
            <m:r>
              <m:t>ϕ</m:t>
            </m:r>
          </m:e>
          <m:sub>
            <m:r>
              <m:t>e=0</m:t>
            </m:r>
          </m:sub>
          <m:sup>
            <m:r>
              <m:t>′</m:t>
            </m:r>
          </m:sup>
        </m:sSubSup>
      </m:oMath>
      <w:r>
        <w:t xml:space="preserve"> − 20e, m = 0.9) at placement void ratio, without size shift.</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HiBER</dc:title>
  <dc:subject/>
  <dc:creator/>
  <cp:keywords/>
  <dc:description/>
  <cp:lastModifiedBy/>
  <cp:revision>1</cp:revision>
  <dcterms:created xsi:type="dcterms:W3CDTF">2013-12-23T23:15:00Z</dcterms:created>
  <dcterms:modified xsi:type="dcterms:W3CDTF">2013-12-23T23:15:00Z</dcterms:modified>
  <cp:category/>
</cp:coreProperties>
</file>