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Typology of Social Isolation and Loneliness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4"/>
        <w:gridCol w:w="2343"/>
        <w:gridCol w:w="2942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X.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Low.Loneliness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High.Loneliness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 Social Isolation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Integrated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Emotionally Disconnected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 Social Isolation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Solitary but Content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Disconnected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2026-03-13T10:53:01Z</dcterms:modified>
  <cp:category/>
</cp:coreProperties>
</file>