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Typology of Social Isolation and Loneliness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4"/>
        <w:gridCol w:w="2343"/>
        <w:gridCol w:w="2942"/>
      </w:tblGrid>
      <w:tr>
        <w:trPr>
          <w:trHeight w:val="614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X.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Low.Loneliness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High.Loneliness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Low Social Isolation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Socially Integrated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Emotionally Disconnected</w:t>
            </w:r>
          </w:p>
        </w:tc>
      </w:tr>
      <w:tr>
        <w:trPr>
          <w:trHeight w:val="617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 Social Isolation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Solitary but Content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Socially Disconnected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2026-05-05T16:54:10Z</dcterms:modified>
  <cp:category/>
</cp:coreProperties>
</file>