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D35AB" w14:textId="56AC3092" w:rsidR="001C6D60" w:rsidRPr="002018AB" w:rsidRDefault="00F94080" w:rsidP="002018AB">
      <w:pPr>
        <w:pStyle w:val="Title"/>
        <w:jc w:val="center"/>
        <w:rPr>
          <w:rFonts w:ascii="Times New Roman" w:hAnsi="Times New Roman" w:cs="Times New Roman"/>
        </w:rPr>
      </w:pPr>
      <w:r w:rsidRPr="002018AB">
        <w:rPr>
          <w:rFonts w:ascii="Times New Roman" w:hAnsi="Times New Roman" w:cs="Times New Roman"/>
        </w:rPr>
        <w:t>Supplement S1</w:t>
      </w:r>
    </w:p>
    <w:p w14:paraId="5DD2267B" w14:textId="77777777" w:rsidR="002018AB" w:rsidRPr="002018AB" w:rsidRDefault="002018AB" w:rsidP="002018AB"/>
    <w:p w14:paraId="2F6783D3" w14:textId="77777777" w:rsidR="002018AB" w:rsidRDefault="002018AB" w:rsidP="002018AB">
      <w:r w:rsidRPr="00F94080">
        <w:t>This file contains additional information and analysis for the paper “Conspiracy theories are central to the complex system of predictors of Italian vaccine hesitancy</w:t>
      </w:r>
      <w:r>
        <w:t xml:space="preserve">”. </w:t>
      </w:r>
    </w:p>
    <w:p w14:paraId="3BF67BAB" w14:textId="77777777" w:rsidR="00B5111A" w:rsidRDefault="00B5111A" w:rsidP="00B5111A"/>
    <w:p w14:paraId="740BB257" w14:textId="77777777" w:rsidR="002018AB" w:rsidRDefault="002018AB" w:rsidP="00B5111A"/>
    <w:p w14:paraId="2878DF0B" w14:textId="1953E1E9" w:rsidR="002018AB" w:rsidRPr="002018AB" w:rsidRDefault="002018AB" w:rsidP="002018AB">
      <w:pPr>
        <w:jc w:val="center"/>
        <w:rPr>
          <w:b/>
          <w:bCs/>
        </w:rPr>
      </w:pPr>
      <w:r w:rsidRPr="002018AB">
        <w:rPr>
          <w:b/>
          <w:bCs/>
        </w:rPr>
        <w:t>Table of contents</w:t>
      </w:r>
    </w:p>
    <w:p w14:paraId="063BB294" w14:textId="13556E51" w:rsidR="004833F5" w:rsidRDefault="00B5111A">
      <w:pPr>
        <w:pStyle w:val="TOC2"/>
        <w:tabs>
          <w:tab w:val="right" w:leader="dot" w:pos="9016"/>
        </w:tabs>
        <w:rPr>
          <w:rFonts w:asciiTheme="minorHAnsi" w:eastAsiaTheme="minorEastAsia" w:hAnsiTheme="minorHAnsi" w:cstheme="minorBidi"/>
          <w:noProof/>
          <w:lang w:val="en-IT" w:eastAsia="en-GB"/>
        </w:rPr>
      </w:pPr>
      <w:r>
        <w:fldChar w:fldCharType="begin"/>
      </w:r>
      <w:r>
        <w:instrText xml:space="preserve"> TOC \o "1-3" \h \z \u </w:instrText>
      </w:r>
      <w:r>
        <w:fldChar w:fldCharType="separate"/>
      </w:r>
      <w:hyperlink w:anchor="_Toc140145258" w:history="1">
        <w:r w:rsidR="004833F5" w:rsidRPr="005F046E">
          <w:rPr>
            <w:rStyle w:val="Hyperlink"/>
            <w:noProof/>
          </w:rPr>
          <w:t>1 Theoretical predictors of vaccine hesitancy worldwide</w:t>
        </w:r>
        <w:r w:rsidR="004833F5">
          <w:rPr>
            <w:noProof/>
            <w:webHidden/>
          </w:rPr>
          <w:tab/>
        </w:r>
        <w:r w:rsidR="004833F5">
          <w:rPr>
            <w:noProof/>
            <w:webHidden/>
          </w:rPr>
          <w:fldChar w:fldCharType="begin"/>
        </w:r>
        <w:r w:rsidR="004833F5">
          <w:rPr>
            <w:noProof/>
            <w:webHidden/>
          </w:rPr>
          <w:instrText xml:space="preserve"> PAGEREF _Toc140145258 \h </w:instrText>
        </w:r>
        <w:r w:rsidR="004833F5">
          <w:rPr>
            <w:noProof/>
            <w:webHidden/>
          </w:rPr>
        </w:r>
        <w:r w:rsidR="004833F5">
          <w:rPr>
            <w:noProof/>
            <w:webHidden/>
          </w:rPr>
          <w:fldChar w:fldCharType="separate"/>
        </w:r>
        <w:r w:rsidR="004833F5">
          <w:rPr>
            <w:noProof/>
            <w:webHidden/>
          </w:rPr>
          <w:t>2</w:t>
        </w:r>
        <w:r w:rsidR="004833F5">
          <w:rPr>
            <w:noProof/>
            <w:webHidden/>
          </w:rPr>
          <w:fldChar w:fldCharType="end"/>
        </w:r>
      </w:hyperlink>
    </w:p>
    <w:p w14:paraId="3B3E9595" w14:textId="092B498B"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59" w:history="1">
        <w:r w:rsidRPr="005F046E">
          <w:rPr>
            <w:rStyle w:val="Hyperlink"/>
            <w:noProof/>
          </w:rPr>
          <w:t>2 Node construction</w:t>
        </w:r>
        <w:r>
          <w:rPr>
            <w:noProof/>
            <w:webHidden/>
          </w:rPr>
          <w:tab/>
        </w:r>
        <w:r>
          <w:rPr>
            <w:noProof/>
            <w:webHidden/>
          </w:rPr>
          <w:fldChar w:fldCharType="begin"/>
        </w:r>
        <w:r>
          <w:rPr>
            <w:noProof/>
            <w:webHidden/>
          </w:rPr>
          <w:instrText xml:space="preserve"> PAGEREF _Toc140145259 \h </w:instrText>
        </w:r>
        <w:r>
          <w:rPr>
            <w:noProof/>
            <w:webHidden/>
          </w:rPr>
        </w:r>
        <w:r>
          <w:rPr>
            <w:noProof/>
            <w:webHidden/>
          </w:rPr>
          <w:fldChar w:fldCharType="separate"/>
        </w:r>
        <w:r>
          <w:rPr>
            <w:noProof/>
            <w:webHidden/>
          </w:rPr>
          <w:t>3</w:t>
        </w:r>
        <w:r>
          <w:rPr>
            <w:noProof/>
            <w:webHidden/>
          </w:rPr>
          <w:fldChar w:fldCharType="end"/>
        </w:r>
      </w:hyperlink>
    </w:p>
    <w:p w14:paraId="6AFD4959" w14:textId="6B82CDD3"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0" w:history="1">
        <w:r w:rsidRPr="005F046E">
          <w:rPr>
            <w:rStyle w:val="Hyperlink"/>
            <w:noProof/>
          </w:rPr>
          <w:t>3 Network estimation</w:t>
        </w:r>
        <w:r>
          <w:rPr>
            <w:noProof/>
            <w:webHidden/>
          </w:rPr>
          <w:tab/>
        </w:r>
        <w:r>
          <w:rPr>
            <w:noProof/>
            <w:webHidden/>
          </w:rPr>
          <w:fldChar w:fldCharType="begin"/>
        </w:r>
        <w:r>
          <w:rPr>
            <w:noProof/>
            <w:webHidden/>
          </w:rPr>
          <w:instrText xml:space="preserve"> PAGEREF _Toc140145260 \h </w:instrText>
        </w:r>
        <w:r>
          <w:rPr>
            <w:noProof/>
            <w:webHidden/>
          </w:rPr>
        </w:r>
        <w:r>
          <w:rPr>
            <w:noProof/>
            <w:webHidden/>
          </w:rPr>
          <w:fldChar w:fldCharType="separate"/>
        </w:r>
        <w:r>
          <w:rPr>
            <w:noProof/>
            <w:webHidden/>
          </w:rPr>
          <w:t>4</w:t>
        </w:r>
        <w:r>
          <w:rPr>
            <w:noProof/>
            <w:webHidden/>
          </w:rPr>
          <w:fldChar w:fldCharType="end"/>
        </w:r>
      </w:hyperlink>
    </w:p>
    <w:p w14:paraId="11F3BB78" w14:textId="01B3AFF4"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1" w:history="1">
        <w:r w:rsidRPr="005F046E">
          <w:rPr>
            <w:rStyle w:val="Hyperlink"/>
            <w:noProof/>
          </w:rPr>
          <w:t>4 Centrality metrics</w:t>
        </w:r>
        <w:r>
          <w:rPr>
            <w:noProof/>
            <w:webHidden/>
          </w:rPr>
          <w:tab/>
        </w:r>
        <w:r>
          <w:rPr>
            <w:noProof/>
            <w:webHidden/>
          </w:rPr>
          <w:fldChar w:fldCharType="begin"/>
        </w:r>
        <w:r>
          <w:rPr>
            <w:noProof/>
            <w:webHidden/>
          </w:rPr>
          <w:instrText xml:space="preserve"> PAGEREF _Toc140145261 \h </w:instrText>
        </w:r>
        <w:r>
          <w:rPr>
            <w:noProof/>
            <w:webHidden/>
          </w:rPr>
        </w:r>
        <w:r>
          <w:rPr>
            <w:noProof/>
            <w:webHidden/>
          </w:rPr>
          <w:fldChar w:fldCharType="separate"/>
        </w:r>
        <w:r>
          <w:rPr>
            <w:noProof/>
            <w:webHidden/>
          </w:rPr>
          <w:t>5</w:t>
        </w:r>
        <w:r>
          <w:rPr>
            <w:noProof/>
            <w:webHidden/>
          </w:rPr>
          <w:fldChar w:fldCharType="end"/>
        </w:r>
      </w:hyperlink>
    </w:p>
    <w:p w14:paraId="4E6B9FDE" w14:textId="44CB845E"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2" w:history="1">
        <w:r w:rsidRPr="005F046E">
          <w:rPr>
            <w:rStyle w:val="Hyperlink"/>
            <w:noProof/>
          </w:rPr>
          <w:t>5 Community detection</w:t>
        </w:r>
        <w:r>
          <w:rPr>
            <w:noProof/>
            <w:webHidden/>
          </w:rPr>
          <w:tab/>
        </w:r>
        <w:r>
          <w:rPr>
            <w:noProof/>
            <w:webHidden/>
          </w:rPr>
          <w:fldChar w:fldCharType="begin"/>
        </w:r>
        <w:r>
          <w:rPr>
            <w:noProof/>
            <w:webHidden/>
          </w:rPr>
          <w:instrText xml:space="preserve"> PAGEREF _Toc140145262 \h </w:instrText>
        </w:r>
        <w:r>
          <w:rPr>
            <w:noProof/>
            <w:webHidden/>
          </w:rPr>
        </w:r>
        <w:r>
          <w:rPr>
            <w:noProof/>
            <w:webHidden/>
          </w:rPr>
          <w:fldChar w:fldCharType="separate"/>
        </w:r>
        <w:r>
          <w:rPr>
            <w:noProof/>
            <w:webHidden/>
          </w:rPr>
          <w:t>6</w:t>
        </w:r>
        <w:r>
          <w:rPr>
            <w:noProof/>
            <w:webHidden/>
          </w:rPr>
          <w:fldChar w:fldCharType="end"/>
        </w:r>
      </w:hyperlink>
    </w:p>
    <w:p w14:paraId="11E0E71C" w14:textId="274F9413"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3" w:history="1">
        <w:r w:rsidRPr="005F046E">
          <w:rPr>
            <w:rStyle w:val="Hyperlink"/>
            <w:noProof/>
          </w:rPr>
          <w:t>6 Network weighted adjacency matrix</w:t>
        </w:r>
        <w:r>
          <w:rPr>
            <w:noProof/>
            <w:webHidden/>
          </w:rPr>
          <w:tab/>
        </w:r>
        <w:r>
          <w:rPr>
            <w:noProof/>
            <w:webHidden/>
          </w:rPr>
          <w:fldChar w:fldCharType="begin"/>
        </w:r>
        <w:r>
          <w:rPr>
            <w:noProof/>
            <w:webHidden/>
          </w:rPr>
          <w:instrText xml:space="preserve"> PAGEREF _Toc140145263 \h </w:instrText>
        </w:r>
        <w:r>
          <w:rPr>
            <w:noProof/>
            <w:webHidden/>
          </w:rPr>
        </w:r>
        <w:r>
          <w:rPr>
            <w:noProof/>
            <w:webHidden/>
          </w:rPr>
          <w:fldChar w:fldCharType="separate"/>
        </w:r>
        <w:r>
          <w:rPr>
            <w:noProof/>
            <w:webHidden/>
          </w:rPr>
          <w:t>7</w:t>
        </w:r>
        <w:r>
          <w:rPr>
            <w:noProof/>
            <w:webHidden/>
          </w:rPr>
          <w:fldChar w:fldCharType="end"/>
        </w:r>
      </w:hyperlink>
    </w:p>
    <w:p w14:paraId="7C0EE061" w14:textId="1486AFD2"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4" w:history="1">
        <w:r w:rsidRPr="005F046E">
          <w:rPr>
            <w:rStyle w:val="Hyperlink"/>
            <w:noProof/>
          </w:rPr>
          <w:t>7 Logistic regression models</w:t>
        </w:r>
        <w:r>
          <w:rPr>
            <w:noProof/>
            <w:webHidden/>
          </w:rPr>
          <w:tab/>
        </w:r>
        <w:r>
          <w:rPr>
            <w:noProof/>
            <w:webHidden/>
          </w:rPr>
          <w:fldChar w:fldCharType="begin"/>
        </w:r>
        <w:r>
          <w:rPr>
            <w:noProof/>
            <w:webHidden/>
          </w:rPr>
          <w:instrText xml:space="preserve"> PAGEREF _Toc140145264 \h </w:instrText>
        </w:r>
        <w:r>
          <w:rPr>
            <w:noProof/>
            <w:webHidden/>
          </w:rPr>
        </w:r>
        <w:r>
          <w:rPr>
            <w:noProof/>
            <w:webHidden/>
          </w:rPr>
          <w:fldChar w:fldCharType="separate"/>
        </w:r>
        <w:r>
          <w:rPr>
            <w:noProof/>
            <w:webHidden/>
          </w:rPr>
          <w:t>9</w:t>
        </w:r>
        <w:r>
          <w:rPr>
            <w:noProof/>
            <w:webHidden/>
          </w:rPr>
          <w:fldChar w:fldCharType="end"/>
        </w:r>
      </w:hyperlink>
    </w:p>
    <w:p w14:paraId="61C2E6D1" w14:textId="7BF4DC8B"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5" w:history="1">
        <w:r w:rsidRPr="005F046E">
          <w:rPr>
            <w:rStyle w:val="Hyperlink"/>
            <w:noProof/>
          </w:rPr>
          <w:t>8 Additional materials for scatterplots</w:t>
        </w:r>
        <w:r>
          <w:rPr>
            <w:noProof/>
            <w:webHidden/>
          </w:rPr>
          <w:tab/>
        </w:r>
        <w:r>
          <w:rPr>
            <w:noProof/>
            <w:webHidden/>
          </w:rPr>
          <w:fldChar w:fldCharType="begin"/>
        </w:r>
        <w:r>
          <w:rPr>
            <w:noProof/>
            <w:webHidden/>
          </w:rPr>
          <w:instrText xml:space="preserve"> PAGEREF _Toc140145265 \h </w:instrText>
        </w:r>
        <w:r>
          <w:rPr>
            <w:noProof/>
            <w:webHidden/>
          </w:rPr>
        </w:r>
        <w:r>
          <w:rPr>
            <w:noProof/>
            <w:webHidden/>
          </w:rPr>
          <w:fldChar w:fldCharType="separate"/>
        </w:r>
        <w:r>
          <w:rPr>
            <w:noProof/>
            <w:webHidden/>
          </w:rPr>
          <w:t>12</w:t>
        </w:r>
        <w:r>
          <w:rPr>
            <w:noProof/>
            <w:webHidden/>
          </w:rPr>
          <w:fldChar w:fldCharType="end"/>
        </w:r>
      </w:hyperlink>
    </w:p>
    <w:p w14:paraId="0D1DCA41" w14:textId="63C00658"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6" w:history="1">
        <w:r w:rsidRPr="005F046E">
          <w:rPr>
            <w:rStyle w:val="Hyperlink"/>
            <w:noProof/>
          </w:rPr>
          <w:t>9 Robustness analysis</w:t>
        </w:r>
        <w:r>
          <w:rPr>
            <w:noProof/>
            <w:webHidden/>
          </w:rPr>
          <w:tab/>
        </w:r>
        <w:r>
          <w:rPr>
            <w:noProof/>
            <w:webHidden/>
          </w:rPr>
          <w:fldChar w:fldCharType="begin"/>
        </w:r>
        <w:r>
          <w:rPr>
            <w:noProof/>
            <w:webHidden/>
          </w:rPr>
          <w:instrText xml:space="preserve"> PAGEREF _Toc140145266 \h </w:instrText>
        </w:r>
        <w:r>
          <w:rPr>
            <w:noProof/>
            <w:webHidden/>
          </w:rPr>
        </w:r>
        <w:r>
          <w:rPr>
            <w:noProof/>
            <w:webHidden/>
          </w:rPr>
          <w:fldChar w:fldCharType="separate"/>
        </w:r>
        <w:r>
          <w:rPr>
            <w:noProof/>
            <w:webHidden/>
          </w:rPr>
          <w:t>14</w:t>
        </w:r>
        <w:r>
          <w:rPr>
            <w:noProof/>
            <w:webHidden/>
          </w:rPr>
          <w:fldChar w:fldCharType="end"/>
        </w:r>
      </w:hyperlink>
    </w:p>
    <w:p w14:paraId="4AE4C96C" w14:textId="3395397D"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7" w:history="1">
        <w:r w:rsidRPr="005F046E">
          <w:rPr>
            <w:rStyle w:val="Hyperlink"/>
            <w:noProof/>
          </w:rPr>
          <w:t>10 Replication with subsets of the sample</w:t>
        </w:r>
        <w:r>
          <w:rPr>
            <w:noProof/>
            <w:webHidden/>
          </w:rPr>
          <w:tab/>
        </w:r>
        <w:r>
          <w:rPr>
            <w:noProof/>
            <w:webHidden/>
          </w:rPr>
          <w:fldChar w:fldCharType="begin"/>
        </w:r>
        <w:r>
          <w:rPr>
            <w:noProof/>
            <w:webHidden/>
          </w:rPr>
          <w:instrText xml:space="preserve"> PAGEREF _Toc140145267 \h </w:instrText>
        </w:r>
        <w:r>
          <w:rPr>
            <w:noProof/>
            <w:webHidden/>
          </w:rPr>
        </w:r>
        <w:r>
          <w:rPr>
            <w:noProof/>
            <w:webHidden/>
          </w:rPr>
          <w:fldChar w:fldCharType="separate"/>
        </w:r>
        <w:r>
          <w:rPr>
            <w:noProof/>
            <w:webHidden/>
          </w:rPr>
          <w:t>20</w:t>
        </w:r>
        <w:r>
          <w:rPr>
            <w:noProof/>
            <w:webHidden/>
          </w:rPr>
          <w:fldChar w:fldCharType="end"/>
        </w:r>
      </w:hyperlink>
    </w:p>
    <w:p w14:paraId="46101BB6" w14:textId="34A99478" w:rsidR="004833F5" w:rsidRDefault="004833F5">
      <w:pPr>
        <w:pStyle w:val="TOC2"/>
        <w:tabs>
          <w:tab w:val="right" w:leader="dot" w:pos="9016"/>
        </w:tabs>
        <w:rPr>
          <w:rFonts w:asciiTheme="minorHAnsi" w:eastAsiaTheme="minorEastAsia" w:hAnsiTheme="minorHAnsi" w:cstheme="minorBidi"/>
          <w:noProof/>
          <w:lang w:val="en-IT" w:eastAsia="en-GB"/>
        </w:rPr>
      </w:pPr>
      <w:hyperlink w:anchor="_Toc140145268" w:history="1">
        <w:r w:rsidRPr="005F046E">
          <w:rPr>
            <w:rStyle w:val="Hyperlink"/>
            <w:noProof/>
          </w:rPr>
          <w:t>11 Bibliography</w:t>
        </w:r>
        <w:r>
          <w:rPr>
            <w:noProof/>
            <w:webHidden/>
          </w:rPr>
          <w:tab/>
        </w:r>
        <w:r>
          <w:rPr>
            <w:noProof/>
            <w:webHidden/>
          </w:rPr>
          <w:fldChar w:fldCharType="begin"/>
        </w:r>
        <w:r>
          <w:rPr>
            <w:noProof/>
            <w:webHidden/>
          </w:rPr>
          <w:instrText xml:space="preserve"> PAGEREF _Toc140145268 \h </w:instrText>
        </w:r>
        <w:r>
          <w:rPr>
            <w:noProof/>
            <w:webHidden/>
          </w:rPr>
        </w:r>
        <w:r>
          <w:rPr>
            <w:noProof/>
            <w:webHidden/>
          </w:rPr>
          <w:fldChar w:fldCharType="separate"/>
        </w:r>
        <w:r>
          <w:rPr>
            <w:noProof/>
            <w:webHidden/>
          </w:rPr>
          <w:t>22</w:t>
        </w:r>
        <w:r>
          <w:rPr>
            <w:noProof/>
            <w:webHidden/>
          </w:rPr>
          <w:fldChar w:fldCharType="end"/>
        </w:r>
      </w:hyperlink>
    </w:p>
    <w:p w14:paraId="62A122DF" w14:textId="7303E909" w:rsidR="002018AB" w:rsidRDefault="00B5111A" w:rsidP="00B5111A">
      <w:r>
        <w:fldChar w:fldCharType="end"/>
      </w:r>
    </w:p>
    <w:p w14:paraId="60031A79" w14:textId="24D3B44E" w:rsidR="002018AB" w:rsidRDefault="002018AB">
      <w:pPr>
        <w:jc w:val="left"/>
      </w:pPr>
      <w:r>
        <w:br w:type="page"/>
      </w:r>
    </w:p>
    <w:p w14:paraId="2D560750" w14:textId="0E4DEF38" w:rsidR="00F94080" w:rsidRPr="00B5111A" w:rsidRDefault="002018AB" w:rsidP="00B5111A">
      <w:pPr>
        <w:pStyle w:val="Heading2"/>
      </w:pPr>
      <w:bookmarkStart w:id="0" w:name="_Toc140145258"/>
      <w:r>
        <w:lastRenderedPageBreak/>
        <w:t xml:space="preserve">1 </w:t>
      </w:r>
      <w:r w:rsidR="00F94080" w:rsidRPr="00B5111A">
        <w:t>Theoretical predictors of vaccine hesitancy worldwide</w:t>
      </w:r>
      <w:bookmarkEnd w:id="0"/>
    </w:p>
    <w:p w14:paraId="5BE26973" w14:textId="0B1E5F9C" w:rsidR="00F94080" w:rsidRDefault="00D30721" w:rsidP="00B5111A">
      <w:r w:rsidRPr="00D30721">
        <w:t xml:space="preserve">In this </w:t>
      </w:r>
      <w:r w:rsidR="00DE2745">
        <w:t>S</w:t>
      </w:r>
      <w:r w:rsidRPr="00D30721">
        <w:t>ection</w:t>
      </w:r>
      <w:r w:rsidR="00DE2745">
        <w:t>,</w:t>
      </w:r>
      <w:r w:rsidRPr="00D30721">
        <w:t xml:space="preserve"> </w:t>
      </w:r>
      <w:r>
        <w:t xml:space="preserve">we briefly review the international literature on </w:t>
      </w:r>
      <w:r w:rsidR="002018AB">
        <w:t xml:space="preserve">the determinants of </w:t>
      </w:r>
      <w:r>
        <w:t xml:space="preserve">vaccine hesitancy.  </w:t>
      </w:r>
      <w:r w:rsidR="00F94080" w:rsidRPr="00F94080">
        <w:t xml:space="preserve">An important milestone in the modern history of vaccine hesitancy is the notorious article by Wakefield </w:t>
      </w:r>
      <w:r w:rsidR="00566A19" w:rsidRPr="00566A19">
        <w:t xml:space="preserve">and </w:t>
      </w:r>
      <w:r w:rsidR="00DE2745">
        <w:t>colleagues</w:t>
      </w:r>
      <w:r w:rsidR="00566A19">
        <w:t xml:space="preserve">, published in </w:t>
      </w:r>
      <w:r w:rsidR="00F94080" w:rsidRPr="00F94080">
        <w:t xml:space="preserve">1998. The article triggered a worldwide controversy on the measles–mumps–rubella vaccine, describing it as a potential cause of autism. This study was recently retracted by Lancet, but its effects are still ongoing in the public debate </w:t>
      </w:r>
      <w:r w:rsidR="00566A19">
        <w:fldChar w:fldCharType="begin"/>
      </w:r>
      <w:r w:rsidR="00566A19">
        <w:instrText xml:space="preserve"> ADDIN ZOTERO_ITEM CSL_CITATION {"citationID":"RZzrRi9z","properties":{"formattedCitation":"(Poland Gregory &amp; Jacobson Robert, 2011)","plainCitation":"(Poland Gregory &amp; Jacobson Robert, 2011)","noteIndex":0},"citationItems":[{"id":403,"uris":["http://zotero.org/users/10425122/items/7FB4A2IS"],"itemData":{"id":403,"type":"article-journal","abstract":"Today, the most recent in a long line of antivaccinationists are using modern media to sway public opinion and distract attention from scientific evidence. But there are steps we can take to avert ... Since the introduction of the first vaccine, there has been opposition to vaccination. In the 19th century, despite clear evidence of benefit, routine inoculation with cowpox to protect people agai...","container-title":"New England Journal of Medicine","DOI":"10.1056/nejmp1010594","ISSN":"0028-4793","issue":"2","note":"PMID: 21226573","page":"97–99","title":"The Age-Old Struggle against the Antivaccinationists","volume":"364","author":[{"family":"Poland Gregory","given":"A."},{"family":"Jacobson Robert","given":"M."}],"issued":{"date-parts":[["2011"]]}}}],"schema":"https://github.com/citation-style-language/schema/raw/master/csl-citation.json"} </w:instrText>
      </w:r>
      <w:r w:rsidR="00566A19">
        <w:fldChar w:fldCharType="separate"/>
      </w:r>
      <w:r w:rsidR="00566A19">
        <w:rPr>
          <w:noProof/>
        </w:rPr>
        <w:t>(Poland Gregory &amp; Jacobson Robert, 2011)</w:t>
      </w:r>
      <w:r w:rsidR="00566A19">
        <w:fldChar w:fldCharType="end"/>
      </w:r>
      <w:r w:rsidR="00566A19">
        <w:fldChar w:fldCharType="begin"/>
      </w:r>
      <w:r w:rsidR="00566A19">
        <w:instrText xml:space="preserve"> ADDIN ZOTERO_ITEM CSL_CITATION {"citationID":"EhLEE4Pp","properties":{"formattedCitation":"(A. &amp; M., 2011)","plainCitation":"(A. &amp; M., 2011)","dontUpdate":true,"noteIndex":0},"citationItems":[{"id":403,"uris":["http://zotero.org/users/10425122/items/7FB4A2IS"],"itemData":{"id":403,"type":"article-journal","abstract":"Today, the most recent in a long line of antivaccinationists are using modern media to sway public opinion and distract attention from scientific evidence. But there are steps we can take to avert ... Since the introduction of the first vaccine, there has been opposition to vaccination. In the 19th century, despite clear evidence of benefit, routine inoculation with cowpox to protect people agai...","container-title":"New England Journal of Medicine","DOI":"10.1056/nejmp1010594","ISSN":"0028-4793","issue":"2","note":"PMID: 21226573","page":"97–99","title":"The Age-Old Struggle against the Antivaccinationists","volume":"364","author":[{"family":"Poland Gregory","given":"A."},{"family":"Jacobson Robert","given":"M."}],"issued":{"date-parts":[["2011"]]}}}],"schema":"https://github.com/citation-style-language/schema/raw/master/csl-citation.json"} </w:instrText>
      </w:r>
      <w:r w:rsidR="00000000">
        <w:fldChar w:fldCharType="separate"/>
      </w:r>
      <w:r w:rsidR="00566A19">
        <w:fldChar w:fldCharType="end"/>
      </w:r>
      <w:r w:rsidR="00F94080" w:rsidRPr="00F94080">
        <w:t>. The COVID-19 pandemic exacerbated the salience of this topic, and between 2019 and 2023</w:t>
      </w:r>
      <w:r w:rsidR="00DE2745">
        <w:t>, many</w:t>
      </w:r>
      <w:r w:rsidR="00F94080" w:rsidRPr="00F94080">
        <w:t xml:space="preserve"> studies attempted to isolate the determinants of this behavior. Macro-level studies on COVID-19 vaccine hesitancy highlighted that this phenomenon is more pronounced in wealthy countries </w:t>
      </w:r>
      <w:r w:rsidR="00566A19">
        <w:fldChar w:fldCharType="begin"/>
      </w:r>
      <w:r w:rsidR="00566A19">
        <w:instrText xml:space="preserve"> ADDIN ZOTERO_ITEM CSL_CITATION {"citationID":"gcSEMagY","properties":{"formattedCitation":"(Aw et al., 2021; Sallam, 2021)","plainCitation":"(Aw et al., 2021; Sallam,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566A19">
        <w:fldChar w:fldCharType="separate"/>
      </w:r>
      <w:r w:rsidR="00566A19">
        <w:rPr>
          <w:noProof/>
        </w:rPr>
        <w:t>(Aw et al., 2021; Sallam, 2021)</w:t>
      </w:r>
      <w:r w:rsidR="00566A19">
        <w:fldChar w:fldCharType="end"/>
      </w:r>
      <w:r w:rsidR="00F94080" w:rsidRPr="00F94080">
        <w:t>. At the micro-level, scholars focused on the individual predictors of vaccine hesitancy. Before the outbreak of COVID-19, an influential work isolated complacency, convenience, and confidence as relevant factors</w:t>
      </w:r>
      <w:r w:rsidR="00566A19" w:rsidRPr="00566A19">
        <w:t xml:space="preserve"> </w:t>
      </w:r>
      <w:r w:rsidR="00566A19">
        <w:rPr>
          <w:lang w:val="it-IT"/>
        </w:rPr>
        <w:fldChar w:fldCharType="begin"/>
      </w:r>
      <w:r w:rsidR="00566A19">
        <w:instrText xml:space="preserve"> ADDIN ZOTERO_ITEM CSL_CITATION {"citationID":"ziCMvCQA","properties":{"formattedCitation":"(MacDonald, 2015)","plainCitation":"(MacDonald, 2015)","noteIndex":0},"citationItems":[{"id":412,"uris":["http://zotero.org/users/10425122/items/ZCKMNLCL"],"itemData":{"id":412,"type":"article-journal","container-title":"Vaccine","DOI":"10.1016/j.vaccine.2015.04.036","ISSN":"0264410X","issue":"34","journalAbbreviation":"Vaccine","language":"en","page":"4161-4164","source":"DOI.org (Crossref)","title":"Vaccine hesitancy: Definition, scope and determinants","title-short":"Vaccine hesitancy","volume":"33","author":[{"family":"MacDonald","given":"Noni E."}],"issued":{"date-parts":[["2015",8]]}}}],"schema":"https://github.com/citation-style-language/schema/raw/master/csl-citation.json"} </w:instrText>
      </w:r>
      <w:r w:rsidR="00566A19">
        <w:rPr>
          <w:lang w:val="it-IT"/>
        </w:rPr>
        <w:fldChar w:fldCharType="separate"/>
      </w:r>
      <w:r w:rsidR="00566A19">
        <w:rPr>
          <w:noProof/>
        </w:rPr>
        <w:t>(MacDonald, 2015)</w:t>
      </w:r>
      <w:r w:rsidR="00566A19">
        <w:rPr>
          <w:lang w:val="it-IT"/>
        </w:rPr>
        <w:fldChar w:fldCharType="end"/>
      </w:r>
      <w:r w:rsidR="00F94080" w:rsidRPr="00F94080">
        <w:t xml:space="preserve">. Complacency entails a low perception of the risks associated with potential diseases and can lead to considering vaccines as unnecessary. Confidence in vaccines is determined by the degree of trust given to the institutions developing and administering them, and by their perceived effectiveness. Finally, convenience refers to the availability and affordability of these products. More recently, COVID-19-related vaccine hesitancy was analyzed through the epidemiological triad of environmental, agent, and host factors </w:t>
      </w:r>
      <w:r w:rsidR="00566A19">
        <w:fldChar w:fldCharType="begin"/>
      </w:r>
      <w:r w:rsidR="00566A19">
        <w:instrText xml:space="preserve"> ADDIN ZOTERO_ITEM CSL_CITATION {"citationID":"4I8uoCct","properties":{"formattedCitation":"(Sallam, 2021)","plainCitation":"(Sallam, 2021)","noteIndex":0},"citationItems":[{"id":406,"uris":["http://zotero.org/users/10425122/items/9I5C248C"],"itemData":{"id":406,"type":"article-journal","abstract":"Utility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566A19">
        <w:fldChar w:fldCharType="separate"/>
      </w:r>
      <w:r w:rsidR="00566A19">
        <w:rPr>
          <w:noProof/>
        </w:rPr>
        <w:t>(Sallam, 2021)</w:t>
      </w:r>
      <w:r w:rsidR="00566A19">
        <w:fldChar w:fldCharType="end"/>
      </w:r>
      <w:r w:rsidR="00F94080" w:rsidRPr="00F94080">
        <w:t>. The first category includes socio-political factors such as national policies, social norms, and media stimuli. The second one comprehends considerations related to vaccine safety and effectiveness. Host factors are individual characteristics, like educational level and income. This classification effectively describes the determinants of hesitancy. However, it is informed by a restricted number of studies, since it was carried out in the preliminary phases of the pandemic.</w:t>
      </w:r>
    </w:p>
    <w:p w14:paraId="58635024" w14:textId="7194287E" w:rsidR="00F94080" w:rsidRPr="00F94080" w:rsidRDefault="00F94080" w:rsidP="00B5111A">
      <w:r w:rsidRPr="00F94080">
        <w:t xml:space="preserve"> </w:t>
      </w:r>
    </w:p>
    <w:p w14:paraId="09447C41" w14:textId="5E170BA5" w:rsidR="00D30721" w:rsidRDefault="00F94080" w:rsidP="00B5111A">
      <w:r w:rsidRPr="00F94080">
        <w:t>Hence, this article builds on the theoretical classification proposed by the scoping review of Aw and colleagues</w:t>
      </w:r>
      <w:r w:rsidR="00566A19" w:rsidRPr="00566A19">
        <w:t xml:space="preserve"> </w:t>
      </w:r>
      <w:r w:rsidR="00566A19">
        <w:fldChar w:fldCharType="begin"/>
      </w:r>
      <w:r w:rsidR="00566A19">
        <w:instrText xml:space="preserve"> ADDIN ZOTERO_ITEM CSL_CITATION {"citationID":"QmnVDYNy","properties":{"formattedCitation":"(Aw et al., 2021)","plainCitation":"(Aw et al.,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566A19">
        <w:fldChar w:fldCharType="separate"/>
      </w:r>
      <w:r w:rsidR="00566A19">
        <w:rPr>
          <w:noProof/>
        </w:rPr>
        <w:t>(Aw et al., 2021)</w:t>
      </w:r>
      <w:r w:rsidR="00566A19">
        <w:fldChar w:fldCharType="end"/>
      </w:r>
      <w:r w:rsidRPr="00F94080">
        <w:t xml:space="preserve">, which scrutinizes 97 peer-review articles published in Medline®, Embase®, CINAHL®, and Scopus® databases between December 2019 and March 2021. The review only includes papers having vaccine hesitancy as the dependent variable, English as the publication language,  and high-income countries as the research setting (GNI per capita greater than US $12,535). Their sample mostly features analyses carried out in Europe or North America, with U.S.A. and Italy being the most studied countries. More than 77% of the contributions are based on a cross-sectional design, 14 adopt a mixed-method approach, and only two are based on Randomized Controlled Trials. The authors classify the determinants </w:t>
      </w:r>
      <w:r w:rsidR="00892175">
        <w:t>into</w:t>
      </w:r>
      <w:r w:rsidRPr="00F94080">
        <w:t xml:space="preserve"> Contextual, </w:t>
      </w:r>
      <w:r w:rsidR="00DE2745">
        <w:t>I</w:t>
      </w:r>
      <w:r w:rsidRPr="00F94080">
        <w:t xml:space="preserve">ndividual, and Vaccine related factors. The interested reader is suggested to consult Aw et al. (2021) for an exhaustive list. </w:t>
      </w:r>
    </w:p>
    <w:p w14:paraId="23B8B139" w14:textId="77777777" w:rsidR="00D30721" w:rsidRDefault="00D30721" w:rsidP="00B5111A"/>
    <w:p w14:paraId="3AC34E00" w14:textId="5A2B4D94" w:rsidR="00F94080" w:rsidRPr="00F94080" w:rsidRDefault="00F94080" w:rsidP="00B5111A">
      <w:r w:rsidRPr="00F94080">
        <w:t>Contextual determinants include media factors, political preferences, religion, socio-demographic variables, geographical barriers, and institutional trust. Far-right political attitudes</w:t>
      </w:r>
      <w:r w:rsidR="00566A19" w:rsidRPr="00566A19">
        <w:t xml:space="preserve"> </w:t>
      </w:r>
      <w:r w:rsidR="00566A19">
        <w:rPr>
          <w:lang w:val="it-IT"/>
        </w:rPr>
        <w:fldChar w:fldCharType="begin"/>
      </w:r>
      <w:r w:rsidR="00566A19">
        <w:instrText xml:space="preserve"> ADDIN ZOTERO_ITEM CSL_CITATION {"citationID":"089AsdXs","properties":{"formattedCitation":"(Head et al., 2020; Reiter et al., 2020; Ruiz &amp; Bell, 2021; Schmelz, 2021; Shekhar et al., 2021)","plainCitation":"(Head et al., 2020; Reiter et al., 2020; Ruiz &amp; Bell, 2021; Schmelz, 2021; Shekhar et al., 2021)","noteIndex":0},"citationItems":[{"id":387,"uris":["http://zotero.org/users/10425122/items/95FEYB8B"],"itemData":{"id":387,"type":"article-journal","abstract":"With SARS-CoV-2 vaccines under development, research is needed to assess intention to vaccinate. We conducted a survey (N = 3,159) with U.S. adults in May 2020 assessing SARS-CoV-2 vaccine intentions, intentions with a provider recommendation, and sociodemographic and psychosocial variables. Participants had high SARS-CoV-2 vaccine intentions (M = 5.23/7-point scale), which increased significantly with a provider recommendation (M = 5.47). Hierarchical linear regression showed that less education and working in health care were associated with lower intent, and liberal political views, altruism, and COVID-19-related health beliefs were associated with higher intent. This work can inform interventions to increase vaccine uptake, ultimately reducing COVID-19-related morbidity and mortality.","container-title":"Science Communication","DOI":"10.1177/1075547020960463","ISSN":"1075-5470","issue":"5","note":"PMCID: PMC7520657","page":"698–723","title":"A National Survey Assessing SARS-CoV-2 Vaccination Intentions: Implications for Future Public Health Communication Efforts","volume":"42","author":[{"family":"Head","given":"Katharine J."},{"family":"Kasting","given":"Monica L."},{"family":"Sturm","given":"Lynne A."},{"family":"Hartsock","given":"Jane A."},{"family":"Zimet","given":"Gregory D."}],"issued":{"date-parts":[["2020"]]}}},{"id":398,"uris":["http://zotero.org/users/10425122/items/RRJ23NFB"],"itemData":{"id":398,"type":"article-journal","abstract":"Background Coronavirus disease 2019 (COVID-19) was declared a pandemic in March 2020. Several prophylactic vaccines against COVID-19 are currently in development, yet little is known about people’s acceptability of a COVID-19 vaccine. Methods We conducted an online survey of adults ages 18 and older in the United States (n = 2,006) in May 2020. Multivariable relative risk regression identified correlates of participants’ willingness to get a COVID-19 vaccine (i.e., vaccine acceptability). Results Overall, 69% of participants were willing to get a COVID-19 vaccine. Participants were more likely to be willing to get vaccinated if they thought their healthcare provider would recommend vaccination (RR = 1.73, 95% CI: 1.49–2.02) or if they were moderate (RR = 1.09, 95% CI: 1.02–1.16) or liberal (RR = 1.14, 95% CI: 1.07–1.22) in their political leaning. Participants were also more likely to be willing to get vaccinated if they reported higher levels of perceived likelihood getting a COVID-19 infection in the future (RR = 1.05, 95% CI: 1.01–1.09), perceived severity of COVID-19 infection (RR = 1.08, 95% CI: 1.04–1.11), or perceived effectiveness of a COVID-19 vaccine (RR = 1.46, 95% CI: 1.40–1.52). Participants were less likely to be willing to get vaccinated if they were non-Latinx black (RR = 0.81, 95% CI: 0.74–0.90) or reported a higher level of perceived potential vaccine harms (RR = 0.95, 95% CI: 0.92–0.98). Conclusions Many adults are willing to get a COVID-19 vaccine, though acceptability should be monitored as vaccine development continues. Our findings can help guide future efforts to increase COVID-19 vaccine acceptability (and uptake if a vaccine becomes available).","container-title":"Vaccine","DOI":"10.1016/j.vaccine.2020.08.043","ISSN":"0264-410X","issue":"42","note":"PMID: 32863069\nPMCID: PMC7440153","page":"6500–6507","title":"Acceptability of a COVID-19 vaccine among adults in the United States: How many people would get vaccinated?","volume":"38","author":[{"family":"Reiter","given":"Paul L."},{"family":"Pennell","given":"Michael L."},{"family":"Katz","given":"Mira L."}],"issued":{"date-parts":[["2020"]]}}},{"id":397,"uris":["http://zotero.org/users/10425122/items/RPMG8W9J"],"itemData":{"id":397,"type":"article-journal","abstract":"Background Public polling indicates that vaccine uptake will be suboptimal when COVID-19 vaccines become available. Formative research seeking an understanding of weak vaccination intentions is urgently needed. Methods Nationwide online survey of 804 U.S. English-speaking adults. Compensated participants were recruited from the U.S. through an internet survey panel of 2.5 million residents developed by a commercial survey firm. Recruitment was based on quota sampling to produce a U.S. Census-matched sample representative of the nation with regard to region of residence, sex, and age. Results COVID-19 vaccination intentions were weak, with 14.8% of respondents being unlikely to get vaccinated and another 23.0% unsure. Intent to vaccinate was highest for men, older people, individuals who identified as white and non-Hispanic, the affluent and college-educated, Democrats, those who were married or partnered, people with pre-existing medical conditions, and those vaccinated against influenza during the 2019–2020 flu season. In a multiple linear regression, significant predictors of vaccination intent were general vaccine knowledge (β = 0.311, p &lt; .001), rejection of vaccine conspiracies (β = −0.117, p = .003), perceived severity of COVID-19 (β = 0.273, p &lt; .001), influenza vaccine uptake (β = 0.178, p &lt; .001), having ≥ 5 pre-existing conditions (β = 0.098, p = .003), being male (β = 0.119, p &lt; .001), household income of ≥ $120,000 (β = 0.110, p = .004), identifying as a Democrat (β = 0.075, p &lt; .029), and not relying upon social media for virus information (β = -0.090, p </w:instrText>
      </w:r>
      <w:r w:rsidR="00566A19">
        <w:rPr>
          <w:rFonts w:ascii="MS Gothic" w:eastAsia="MS Gothic" w:hAnsi="MS Gothic" w:cs="MS Gothic" w:hint="eastAsia"/>
        </w:rPr>
        <w:instrText>〈</w:instrText>
      </w:r>
      <w:r w:rsidR="00566A19">
        <w:instrText xml:space="preserve">002). Intent to vaccinate was lower for Fox News (57.3%) than CNN/MSNBC viewers (76.4%) (χ2(1) = 12.68, p &lt; .001). Political party differences in threat appraisals and vaccine conspiracy beliefs are described. Conclusions Demographic characteristics, vaccine knowledge, perceived vulnerability to COVID-19, risk factors for COVID-19, and politics likely contribute to vaccination hesitancy.","container-title":"Vaccine","DOI":"10.1016/j.vaccine.2021.01.010","ISSN":"0264-410X","issue":"7","note":"PMID: 33461833\nPMCID: PMC7794597","page":"1080–1086","title":"Predictors of intention to vaccinate against COVID-19: Results of a nationwide survey","volume":"39","author":[{"family":"Ruiz","given":"Jeanette B."},{"family":"Bell","given":"Robert A."}],"issued":{"date-parts":[["2021"]]}}},{"id":396,"uris":["http://zotero.org/users/10425122/items/U7KLPY3R"],"itemData":{"id":396,"type":"article-journal","abstract":"Effective states govern by some combination of enforcement and voluntary compliance. To contain the COVID-19 pandemic, a critical decision is the extent to which policy makers rely on voluntary as opposed to enforced compliance, and nations vary along this dimension. While enforcement may secure higher compliance, there is experimental and other evidence that it may also crowd out voluntary motivation. How does enforcement affect citizens’ support for anti–COVID-19 policies? A survey conducted with 4,799 respondents toward the end of the first lockdown in Germany suggests that a substantial share of the population will support measures more under voluntary than under enforced implementation. Negative responses to enforcement—termed control aversion—vary across the nature of the policy intervention (e.g., they are rare for masks and frequent for vaccination and a cell-phone tracing app). Control aversion is less common among those with greater trust in the government and the information it provides, and among those who were brought up under the coercive regime of East Germany. Taking account of the likely effectiveness of enforcement and the extent to which near-universal compliance is crucial, the differing degrees of opposition to enforcement across policies suggest that for some anti–COVID-19 policies an enforced mandate would be unwise, while for others it would be essential. Similar reasoning may also be relevant for policies to address future pandemics and other societal challenges like climate change.","container-title":"Proceedings of the National Academy of Sciences","DOI":"10.1073/pnas.2016385118","ISSN":"0027-8424","issue":"1","note":"PMID: 33443149\nPMCID: PMC7817206","page":"e2016385118","title":"Enforcement may crowd out voluntary support for COVID-19 policies, especially where trust in government is weak and in a liberal society","volume":"118","author":[{"family":"Schmelz","given":"Katrin"}],"issued":{"date-parts":[["2021"]]}}},{"id":395,"uris":["http://zotero.org/users/10425122/items/ESUPBUF6"],"itemData":{"id":395,"type":"article-journal","abstract":"Background: Acceptance of the COVID-19 vaccine will play a major role in combating the pandemic. Healthcare workers (HCWs) are among the first group to receive vaccination, so it is important to consider their attitudes about COVID-19 vaccination to better address barriers to widespread vaccination acceptance. Methods: We conducted a cross sectional study to assess the attitude of HCWs toward COVID-19 vaccination. Data were collected between 7 October and 9 November 2020. We received 4080 responses out of which 3479 were complete responses and were included in the final analysis. Results: 36% of respondents were willing to take the vaccine as soon as it became available while 56% were not sure or would wait to review more data. Only 8% of HCWs do not plan to get vaccine. Vaccine acceptance increased with increasing age, education, and income level. A smaller percentage of female (31%), Black (19%), Lantinx (30%), and rural (26%) HCWs were willing to take the vaccine as soon as it became available than the overall study population. Direct medical care providers had higher vaccine acceptance (49%). Safety (69%), effectiveness (69%), and speed of development/approval (74%) were noted as the most common concerns regarding COVID-19 vaccination in our survey.","container-title":"Vaccines","DOI":"10.3390/vaccines9020119","ISSN":"2076-393X","issue":"2","note":"PMID: 33546165\nPMCID: PMC7913135","page":"119","title":"COVID-19 Vaccine Acceptance among Health Care Workers in the United States","volume":"9","author":[{"family":"Shekhar","given":"Rahul"},{"family":"Sheikh","given":"Abu Baker"},{"family":"Upadhyay","given":"Shubhra"},{"family":"Singh","given":"Mriganka"},{"family":"Kottewar","given":"Saket"},{"family":"Mir","given":"Hamza"},{"family":"Barrett","given":"Eileen"},{"family":"Pal","given":"Suman"}],"issued":{"date-parts":[["2021"]]}}}],"schema":"https://github.com/citation-style-language/schema/raw/master/csl-citation.json"} </w:instrText>
      </w:r>
      <w:r w:rsidR="00566A19">
        <w:rPr>
          <w:lang w:val="it-IT"/>
        </w:rPr>
        <w:fldChar w:fldCharType="separate"/>
      </w:r>
      <w:r w:rsidR="00566A19">
        <w:rPr>
          <w:noProof/>
        </w:rPr>
        <w:t>(Head et al., 2020; Reiter et al., 2020; Ruiz &amp; Bell, 2021; Schmelz, 2021; Shekhar et al., 2021)</w:t>
      </w:r>
      <w:r w:rsidR="00566A19">
        <w:rPr>
          <w:lang w:val="it-IT"/>
        </w:rPr>
        <w:fldChar w:fldCharType="end"/>
      </w:r>
      <w:r w:rsidRPr="00F94080">
        <w:t xml:space="preserve"> and populist inclinations </w:t>
      </w:r>
      <w:r w:rsidR="00566A19">
        <w:fldChar w:fldCharType="begin"/>
      </w:r>
      <w:r w:rsidR="00566A19">
        <w:instrText xml:space="preserve"> ADDIN ZOTERO_ITEM CSL_CITATION {"citationID":"xKND4pPI","properties":{"formattedCitation":"(Kennedy, 2019; Recio-Rom\\uc0\\u225{}n et al., 2021)","plainCitation":"(Kennedy, 2019; Recio-Román et al., 2021)","noteIndex":0},"citationItems":[{"id":407,"uris":["http://zotero.org/users/10425122/items/3HDKDWNE"],"itemData":{"id":407,"type":"article-journal","abstract":"Parents' reluctance to vaccinate their children undermines the effectiveness of vaccination programmes in Western Europe. There is anecdotal evidence suggesting a connection between the rise of political populism and vaccine hesitancy.","container-title":"European Journal of Public Health","DOI":"10.1093/eurpub/ckz004","ISSN":"1101-1262","issue":"3","note":"PMID: 30801109","page":"512–516","title":"Populist politics and vaccine hesitancy in Western Europe: an analysis of national-level data","volume":"29","author":[{"family":"Kennedy","given":"Jonathan"}],"issued":{"date-parts":[["2019"]]}}},{"id":390,"uris":["http://zotero.org/users/10425122/items/SUP9J79B"],"itemData":{"id":390,"type":"article-journal","abstract":"Vaccine-hesitancy and political populism are positively associated across Europe: those countries in which their citizens present higher populist attitudes are those that also have higher vaccine-hesitancy rates. The same key driver fuels them: distrust in institutions, elites, and experts. The reluctance of citizens to be vaccinated fits perfectly in populist political agendas because is a source of instability that has a distinctive characteristic known as the “small pockets” issue. It means that the level at which immunization coverage needs to be maintained to be effective is so high that a small number of vaccine-hesitants have enormous adverse effects on herd immunity and epidemic spread. In pandemic and post-pandemic scenarios, vaccine-hesitancy could be used by populists as one of the most effective tools for generating distrust. This research presents an invariant measurement model applied to 27 EU + UK countries (27,524 participants) that segments the different behaviours found, and gives social-marketing recommendations for coping with the vaccine-hesitancy problem when used for generating distrust.","container-title":"International Journal of Environmental Research and Public Health","DOI":"10.3390/ijerph182412953","ISSN":"1661-7827","issue":"24","note":"PMID: 34948573\nPMCID: PMC8701982","page":"12953","title":"Vaccine Hesitancy and Political Populism. An Invariant Cross-European Perspective","volume":"18","author":[{"family":"Recio-Román","given":"Almudena"},{"family":"Recio-Menéndez","given":"Manuel"},{"family":"Román-González","given":"María Victoría"}],"issued":{"date-parts":[["2021"]]}}}],"schema":"https://github.com/citation-style-language/schema/raw/master/csl-citation.json"} </w:instrText>
      </w:r>
      <w:r w:rsidR="00566A19">
        <w:fldChar w:fldCharType="separate"/>
      </w:r>
      <w:r w:rsidR="00566A19" w:rsidRPr="00566A19">
        <w:rPr>
          <w:kern w:val="0"/>
          <w:lang w:val="en-GB"/>
        </w:rPr>
        <w:t>(Kennedy, 2019; Recio-Román et al., 2021)</w:t>
      </w:r>
      <w:r w:rsidR="00566A19">
        <w:fldChar w:fldCharType="end"/>
      </w:r>
      <w:r w:rsidRPr="00F94080">
        <w:t xml:space="preserve"> are associated with hesitancy. Distrust of national governments </w:t>
      </w:r>
      <w:r w:rsidR="00566A19">
        <w:fldChar w:fldCharType="begin"/>
      </w:r>
      <w:r w:rsidR="00566A19">
        <w:instrText xml:space="preserve"> ADDIN ZOTERO_ITEM CSL_CITATION {"citationID":"mdrABGUZ","properties":{"formattedCitation":"(Alabdulla et al., 2021; Bogart et al., 2021; Unroe et al., 2021)","plainCitation":"(Alabdulla et al., 2021; Bogart et al., 2021; Unroe et al., 2021)","noteIndex":0},"citationItems":[{"id":394,"uris":["http://zotero.org/users/10425122/items/QFPV8ZZW"],"itemData":{"id":394,"type":"article-journal","abstract":"Vaccine hesitancy is a global threat undermining control of preventable infections. Emerging evidence suggests that hesitancy to COVID‐19 vaccination varies globally. Qatar has a unique population with around 90% of the population being economic migrants, and the degree and determinants of hesitancy are not known. This study was carried out to evaluate the degree of vaccine hesitancy and its socio‐demographic and attitudinal determinants across a representative sample. A national cross‐sectional study using validated hesitancy measurement tool was carried out from October 15, 2020, to November 15, 2020. A total of 7821 adults completed the survey. Relevant socio‐demographic data along with attitudes and beliefs around COVID‐19 vaccination were collected from the respondents. 20.2% of the respondents stated they would not take the vaccine and 19.8% reported being unsure about taking the prospective COVID‐19 vaccine. Citizens and females were more likely to be vaccine hesitators than immigrants and males, respectively. Concerns around the safety of COVID‐19 vaccine and its longer‐term side effects were the main concerns cited. Personal research around COVID‐19 and vaccine were by far the most preferred methods that would increase confidence in accepting the vaccine across all demographic groups. This study reports an overall vaccine hesitancy of 20% toward the COVID‐19 vaccine and the influence of social media on attitudes toward vaccination which is in keeping with emerging evidence. This finding comes at a time that is close to the start of mass immunization and reports from a migrant‐majority population highlighting important socio‐demographic determinants around vaccine hesitancy.","container-title":"Influenza and Other Respiratory Viruses","DOI":"10.1111/irv.12847","ISSN":"1750-2640","issue":"3","note":"PMID: 33605010\nPMCID: PMC8014858","page":"361–370","title":"COVID‐19 vaccine hesitancy and attitudes in Qatar: A national cross‐sectional survey of a migrant‐majority population","volume":"15","author":[{"family":"Alabdulla","given":"Majid"},{"family":"Reagu","given":"Shuja Mohd"},{"family":"Al‐Khal","given":"Abdullatif"},{"family":"Elzain","given":"Marwa"},{"family":"Jones","given":"Roland M."}],"issued":{"date-parts":[["2021"]]}}},{"id":392,"uris":["http://zotero.org/users/10425122/items/MRCIK3TM"],"itemData":{"id":392,"type":"article-journal","abstract":"Medical mistrust, a result of systemic racism, is prevalent among Black Americans and may play a role in COVID-19 inequities. In a convenience sample of HIV-positive Black Americans, we examined associations of COVID-19-related medical mistrust with COVID-19 vaccine and COVID-19 treatment hesitancy and negative impacts of COVID-19 on antiretroviral therapy (ART) adherence. Participants were 101 HIV-positive Black Americans (age: M = 50.3 years; SD = 11.5; 86% cisgender men; 77% sexual minority) enrolled in a randomized controlled trial of a community-based ART adherence intervention in Los Angeles County, CA. From May to July 2020, participants completed telephone interviews on negative COVID-19 impacts, general COVID-19 mistrust (eg, about the government withholding information), COVID-19 vaccine and treatment hesitancy, and trust in COVID-19 information sources. Adherence was monitored electronically with the Medication Event Monitoring System. Nearly all participants (97%) endorsed at least one general COVID-19 mistrust belief, and more than half endorsed at least one COVID-19 vaccine or treatment hesitancy belief. Social service and health care providers were the most trusted sources. Greater COVID-19 mistrust was related to greater vaccine and treatment hesitancy [b (SE) = 0.85 (0.14), P &lt; 0.0001 and b (SE) = 0.88 (0.14), P &lt; 0.0001, respectively]. Participants experiencing more negative COVID-19 impacts showed lower ART adherence, assessed among a subset of 49 participants [b (SE) = −5.19 (2.08), P = 0.02]. To prevent widening health inequities, health care providers should engage with communities to tailor strategies to overcome mistrust and deliver evidence-based information, to encourage COVID-19 vaccine and treatment uptake.","container-title":"Journal of Acquired Immune Deficiency Syndromes (1999)","DOI":"10.1097/qai.0000000000002570","ISSN":"1525-4135","issue":"2","note":"PMID: 33196555\nPMCID: PMC7808278","page":"200–207","title":"COVID-19 Related Medical Mistrust, Health Impacts, and Potential Vaccine Hesitancy Among Black Americans Living With HIV","volume":"86","author":[{"family":"Bogart","given":"Laura M."},{"family":"Ojikutu","given":"Bisola O."},{"family":"Tyagi","given":"Keshav"},{"family":"Klein","given":"David J."},{"family":"Mutchler","given":"Matt G."},{"family":"Dong","given":"Lu"},{"family":"Lawrence","given":"Sean J."},{"family":"Thomas","given":"Damone R."},{"family":"Kellman","given":"Sarah"}],"issued":{"date-parts":[["2021"]]}}},{"id":393,"uris":["http://zotero.org/users/10425122/items/9RB3B2AA"],"itemData":{"id":393,"type":"article-journal","abstract":"To plan for coronavirus infectious disease 2019 (COVID‐19) vaccine distribution, the Indiana Department of Health surveyed nursing home and assisted living facility staff. Cross‐sectional analysis of an anonymous survey sent via text message link to personal cell phones and emails. Nursing home and assisted living facility staff in Indiana. Staff characteristics including age, gender, race, ethnicity, role in the facility, experience in long‐term care, and geographic location of facility were self‐reported along with prior infection and willingness to receive an approved vaccine as soon as it is available. Responses were weighted to represent staff statewide. Weighted frequencies and logit regression estimated characteristics associated with vaccine willingness. There were 8,243 responses to the survey. For nursing home staff (survey delivered via 23,232 working phone numbers), there was a 33% response rate). There were 2,372 (29%) in nurse aide or similar roles and 1,602 nurses providing direct clinical care (19%). Overall, 45% of respondents indicated they would receive an approved COVID‐19 vaccine as soon as available. Of those unwilling to take the vaccine when first available, 44% would consider in the future. Concerns about side effects was the primary reason for vaccine hesitancy (70%). Characteristics associated with increased willingness were age over 60, male, and white race (P &lt; .0001). No statistically significant differences were observed among staff self‐reporting prior SARS‐CoV‐2 infection. The willingness to receive the COVID‐19 vaccine immediately or in the future may be as high as 69%, but varies among subgroups of nursing home staff which has implications for distribution. Educating staff on the vaccine may be critical for increasing uptake. Widespread vaccination holds the promise of protection against serious illness and death and a return of visitors and activities that support improved quality of life. This promise will not be realized without strong uptake of the vaccines.","container-title":"Journal of the American Geriatrics Society","DOI":"10.1111/jgs.17022","ISSN":"0002-8614","issue":"3","note":"PMID: 33370448","page":"593–599","title":"Willingness of Long‐Term Care Staff to Receive a COVID‐19 Vaccine: A Single State Survey","volume":"69","author":[{"family":"Unroe","given":"Kathleen T."},{"family":"Evans","given":"Russell"},{"family":"Weaver","given":"Lindsay"},{"family":"Rusyniak","given":"Dan"},{"family":"Blackburn","given":"Justin"}],"issued":{"date-parts":[["2021"]]}}}],"schema":"https://github.com/citation-style-language/schema/raw/master/csl-citation.json"} </w:instrText>
      </w:r>
      <w:r w:rsidR="00566A19">
        <w:fldChar w:fldCharType="separate"/>
      </w:r>
      <w:r w:rsidR="00566A19">
        <w:rPr>
          <w:noProof/>
        </w:rPr>
        <w:t>(Alabdulla et al., 2021; Bogart et al., 2021; Unroe et al., 2021)</w:t>
      </w:r>
      <w:r w:rsidR="00566A19">
        <w:fldChar w:fldCharType="end"/>
      </w:r>
      <w:r w:rsidRPr="00F94080">
        <w:t xml:space="preserve"> and of socio-political institutions</w:t>
      </w:r>
      <w:r w:rsidR="00DE2745">
        <w:t>,</w:t>
      </w:r>
      <w:r w:rsidRPr="00F94080">
        <w:t xml:space="preserve"> </w:t>
      </w:r>
      <w:r w:rsidR="00566A19">
        <w:fldChar w:fldCharType="begin"/>
      </w:r>
      <w:r w:rsidR="00566A19">
        <w:instrText xml:space="preserve"> ADDIN ZOTERO_ITEM CSL_CITATION {"citationID":"Ua3WjEcu","properties":{"formattedCitation":"(Jennings et al., 2021; Recio-Rom\\uc0\\u225{}n et al., 2021)","plainCitation":"(Jennings et al., 2021; Recio-Román et al., 2021)","noteIndex":0},"citationItems":[{"id":391,"uris":["http://zotero.org/users/10425122/items/ZY5TC89R"],"itemData":{"id":391,"type":"article-journal","abstract":"As COVID-19 vaccines are rolled out across the world, there are growing concerns about the roles that trust, belief in conspiracy theories, and spread of misinformation through social media play in impacting vaccine hesitancy. We use a nationally representative survey of 1476 adults in the UK between 12 and 18 December 2020, along with 5 focus groups conducted during the same period. Trust is a core predictor, with distrust in vaccines in general and mistrust in government raising vaccine hesitancy. Trust in health institutions and experts and perceived personal threat are vital, with focus groups revealing that COVID-19 vaccine hesitancy is driven by a misunderstanding of herd immunity as providing protection, fear of rapid vaccine development and side effects, and beliefs that the virus is man-made and used for population control. In particular, those who obtain information from relatively unregulated social media sources—such as YouTube—that have recommendations tailored by watch history, and who hold general conspiratorial beliefs, are less willing to be vaccinated. Since an increasing number of individuals use social media for gathering health information, interventions require action from governments, health officials, and social media companies. More attention needs to be devoted to helping people understand their own risks, unpacking complex concepts, and filling knowledge voids.","container-title":"Vaccines","DOI":"10.3390/vaccines9060593","ISSN":"2076-393X","issue":"6","note":"PMID: 34204971\nPMCID: PMC8226842","page":"593","title":"Lack of Trust, Conspiracy Beliefs, and Social Media Use Predict COVID-19 Vaccine Hesitancy","volume":"9","author":[{"family":"Jennings","given":"Will"},{"family":"Stoker","given":"Gerry"},{"family":"Bunting","given":"Hannah"},{"family":"Valgarðsson","given":"Viktor Orri"},{"family":"Gaskell","given":"Jennifer"},{"family":"Devine","given":"Daniel"},{"family":"McKay","given":"Lawrence"},{"family":"Mills","given":"Melinda C."}],"issued":{"date-parts":[["2021"]]}}},{"id":390,"uris":["http://zotero.org/users/10425122/items/SUP9J79B"],"itemData":{"id":390,"type":"article-journal","abstract":"Vaccine-hesitancy and political populism are positively associated across Europe: those countries in which their citizens present higher populist attitudes are those that also have higher vaccine-hesitancy rates. The same key driver fuels them: distrust in institutions, elites, and experts. The reluctance of citizens to be vaccinated fits perfectly in populist political agendas because is a source of instability that has a distinctive characteristic known as the “small pockets” issue. It means that the level at which immunization coverage needs to be maintained to be effective is so high that a small number of vaccine-hesitants have enormous adverse effects on herd immunity and epidemic spread. In pandemic and post-pandemic scenarios, vaccine-hesitancy could be used by populists as one of the most effective tools for generating distrust. This research presents an invariant measurement model applied to 27 EU + UK countries (27,524 participants) that segments the different behaviours found, and gives social-marketing recommendations for coping with the vaccine-hesitancy problem when used for generating distrust.","container-title":"International Journal of Environmental Research and Public Health","DOI":"10.3390/ijerph182412953","ISSN":"1661-7827","issue":"24","note":"PMID: 34948573\nPMCID: PMC8701982","page":"12953","title":"Vaccine Hesitancy and Political Populism. An Invariant Cross-European Perspective","volume":"18","author":[{"family":"Recio-Román","given":"Almudena"},{"family":"Recio-Menéndez","given":"Manuel"},{"family":"Román-González","given":"María Victoría"}],"issued":{"date-parts":[["2021"]]}}}],"schema":"https://github.com/citation-style-language/schema/raw/master/csl-citation.json"} </w:instrText>
      </w:r>
      <w:r w:rsidR="00566A19">
        <w:fldChar w:fldCharType="separate"/>
      </w:r>
      <w:r w:rsidR="00566A19" w:rsidRPr="00566A19">
        <w:rPr>
          <w:kern w:val="0"/>
          <w:lang w:val="en-GB"/>
        </w:rPr>
        <w:t>(Jennings et al., 2021; Recio-Román et al., 2021)</w:t>
      </w:r>
      <w:r w:rsidR="00566A19">
        <w:fldChar w:fldCharType="end"/>
      </w:r>
      <w:r w:rsidRPr="00F94080">
        <w:t xml:space="preserve"> also predict greater hesitancy. Other contextual determinants are individual religiosity in general </w:t>
      </w:r>
      <w:r w:rsidR="00566A19">
        <w:fldChar w:fldCharType="begin"/>
      </w:r>
      <w:r w:rsidR="00566A19">
        <w:instrText xml:space="preserve"> ADDIN ZOTERO_ITEM CSL_CITATION {"citationID":"vnXlGGUr","properties":{"formattedCitation":"(Callaghan et al., 2021; Vezzoni et al., 2022)","plainCitation":"(Callaghan et al., 2021; Vezzoni et al., 2022)","noteIndex":0},"citationItems":[{"id":389,"uris":["http://zotero.org/users/10425122/items/XCV2RB6U"],"itemData":{"id":389,"type":"article-journal","container-title":"Social Science &amp; Medicine","DOI":"10.1016/j.socscimed.2020.113638","ISSN":"0277-9536","note":"PMID: 33414032\nPMCID: PMC7834845","page":"113638","title":"Correlates and disparities of intention to vaccinate against COVID-19","volume":"272","author":[{"family":"Callaghan","given":"Timothy"},{"family":"Moghtaderi","given":"Ali"},{"family":"Lueck","given":"Jennifer A."},{"family":"Hotez","given":"Peter"},{"family":"Strych","given":"Ulrich"},{"family":"Dor","given":"Avi"},{"family":"Fowler","given":"Erika Franklin"},{"family":"Motta","given":"Matthew"}],"issued":{"date-parts":[["2021"]]}}},{"id":409,"uris":["http://zotero.org/users/10425122/items/XV2S643U"],"itemData":{"id":409,"type":"article-journal","abstract":"While official science has given its answer to the question on the origin of the Coronavirus (animal to human transmission), alternative theories on human creation of the virus – purposely or inadvertently – have flourished. Those alternative theories can be easily located among the family of conspiracy theories, as they always assume some secretive activity of some groups acting on their self-interest and against the good of the many. The article assesses the prevalence of these beliefs during the COVID-19 pandemic in Italy, studies its development during the pandemic, and investigates its potential determinants. In particular, it analyses the relationship between beliefs in alternative theories on the origin of the virus and political orientation, by arguing that the association cannot be attributed to (politically) motivated reasoning, as the issue has not been highly politicized in the Italian context. Alternatively, the article suggests that the main factor driving beliefs in alternative accounts on the origins of the virus is institutional trust. Political orientation moderates its effects, depending on specific conditions (e.g. cue taking, position of the supported party either in government or opposition), and eventually reinforcing scepticism towards epistemic authorities for those with low trust in institutions. Data come from the ResPOnsE COVID-19 survey, carried out with daily samples from April to July 2020 (N &gt; 15.000) to monitor the development of the Italian public opinion during the Coronavirus pandemic.","container-title":"Italian Political Science Review/Rivista Italiana di Scienza Politica","DOI":"10.1017/ipo.2021.19","ISSN":"0048-8402","issue":"1","page":"51–65","title":"Where does the Coronavirus come from? On the mechanisms underlying the endorsement of conspiracy theories on the origin of SARS-CoV-2","volume":"52","author":[{"family":"Vezzoni","given":"Cristiano"},{"family":"Sani","given":"Giulia M. Dotti"},{"family":"Chiesi","given":"Antonio M."},{"family":"Ladini","given":"Riccardo"},{"family":"Biolcati","given":"Ferruccio"},{"family":"Guglielmi","given":"Simona"},{"family":"Maggini","given":"Nicola"},{"family":"Maraffi","given":"Marco"},{"family":"Molteni","given":"Francesco"},{"family":"Pedrazzani","given":"Andrea"},{"family":"Segatti","given":"Paolo"}],"issued":{"date-parts":[["2022"]]}}}],"schema":"https://github.com/citation-style-language/schema/raw/master/csl-citation.json"} </w:instrText>
      </w:r>
      <w:r w:rsidR="00566A19">
        <w:fldChar w:fldCharType="separate"/>
      </w:r>
      <w:r w:rsidR="00566A19">
        <w:rPr>
          <w:noProof/>
        </w:rPr>
        <w:t>(Callaghan et al., 2021; Vezzoni et al., 2022)</w:t>
      </w:r>
      <w:r w:rsidR="00566A19">
        <w:fldChar w:fldCharType="end"/>
      </w:r>
      <w:r w:rsidRPr="00F94080">
        <w:t>, believing in divine immanence in particular</w:t>
      </w:r>
      <w:r w:rsidR="00566A19" w:rsidRPr="00566A19">
        <w:t xml:space="preserve"> </w:t>
      </w:r>
      <w:r w:rsidR="00566A19">
        <w:rPr>
          <w:lang w:val="it-IT"/>
        </w:rPr>
        <w:fldChar w:fldCharType="begin"/>
      </w:r>
      <w:r w:rsidR="00566A19" w:rsidRPr="00566A19">
        <w:instrText xml:space="preserve"> ADDIN ZOTERO_ITEM CSL_CITATION {"citationID":"ne7VOY0F","properties":{"formattedCitation":"(Ladini &amp; Vezzoni, 2022)","plainCitation":"(Ladini &amp; Vezzoni, 2022)","noteIndex":0},"citationItems":[{"id":410,"uris":["http://zotero.org/users/10425122/items/6LPI7DV4"],"itemData":{"id":410,"type":"article-journal","abstract":"This article analyzes the relationship between religiosity and vaccine hesitancy by highlighting the role of a specific dimension of religiosity that makes some people more prone to explaining health conditions as a divine agency—the belief in the immanent presence of the divine in everyday life. Accordingly, these people may undervalue the role of vaccination as a solution to cope with a pandemic and may be more skeptical of vaccines. We suggest a mechanism explaining the relationship between religiosity and vaccine hesitancy by focusing on the mediating role of beliefs in conspiracy theories, given that belief in divine immanence and conspiracy theories share the common trait of attributing agency to hidden forces. Beliefs in conspiracy theories, in turn, have been shown to be among the strongest predictors of vaccine hesitancy. By using a moderated mediation analysis on Italian survey data collected during the Covid‐19 pandemic, we show that such a mechanism helps explain the relationship between believing in divine immanence and vaccine hesitancy among people not adhering to institutional religiosity. In contrast, this mechanism does not apply when the immanent conception of the divine is framed within a system of beliefs belonging to institutional religion.","container-title":"Politics and Governance","DOI":"10.17645/pag.v10i4.5766","ISSN":"2183-2463","issue":"4","language":"en","title":"When Believing in Divine Immanence Explains Vaccine Hesitancy: A Matter of Conspiracy Beliefs?","title-short":"When Believing in Divine Immanence Explains Vaccine Hesitancy","URL":"https://www.cogitatiopress.com/politicsandgovernance/article/view/5766","volume":"10","author":[{"family":"Ladini","given":"Riccardo"},{"family":"Vezzoni","given":"Cristiano"}],"issued":{"date-parts":[["2022",10]]}}}],"schema":"https://github.com/citation-style-language/schema/raw/master/csl-citation.json"} </w:instrText>
      </w:r>
      <w:r w:rsidR="00566A19">
        <w:rPr>
          <w:lang w:val="it-IT"/>
        </w:rPr>
        <w:fldChar w:fldCharType="separate"/>
      </w:r>
      <w:r w:rsidR="00566A19" w:rsidRPr="00566A19">
        <w:rPr>
          <w:noProof/>
        </w:rPr>
        <w:t>(Ladini &amp; Vezzoni, 2022)</w:t>
      </w:r>
      <w:r w:rsidR="00566A19">
        <w:rPr>
          <w:lang w:val="it-IT"/>
        </w:rPr>
        <w:fldChar w:fldCharType="end"/>
      </w:r>
      <w:r w:rsidRPr="00F94080">
        <w:t xml:space="preserve">, and the use of digital media as the main source of information </w:t>
      </w:r>
      <w:r w:rsidR="00566A19">
        <w:fldChar w:fldCharType="begin"/>
      </w:r>
      <w:r w:rsidR="00566A19">
        <w:instrText xml:space="preserve"> ADDIN ZOTERO_ITEM CSL_CITATION {"citationID":"Bkcm4SlY","properties":{"formattedCitation":"(Attwell et al., 2021; Barri\\uc0\\u232{}re et al., 2021; Feleszko et al., 2021; Group et al., 2020; Jennings et al., 2021)","plainCitation":"(Attwell et al., 2021; Barrière et al., 2021; Feleszko et al., 2021; Group et al., 2020; Jennings et al., 2021)","noteIndex":0},"citationItems":[{"id":401,"uris":["http://zotero.org/users/10425122/items/94BG9D4K"],"itemData":{"id":401,"type":"article-journal","abstract":"Broad community acceptance of a COVID-19 vaccination will be critical for effectively halting the spread of the virus. In this study, we focus on factors that differentiate those who are undecided from those who are either willing or unwilling to accept a prospective COVID-19 vaccine. An online survey in May 2020 assessed Australian adults’ willingness to receive a COVID-19 vaccine (yes, maybe, no). A multinomial logistical regression of responses (N = 1,313) was used to identify correlates of vaccine willingness between the three groups. 65% were willing to vaccinate, with 27% being in the ‘maybe’ category. Respondents were more likely to be in the ‘maybe’ than the ‘yes’ group when they perceived COVID-19 to be less severe, had less trust in science, were less willing to vaccinate for influenza, and were female. They were more likely to be in the ‘maybe’ than ‘no’ group when they perceived COVID-19 as severe, and less likely to be a hoax, had more trust in science, and greater willingness to vaccinate for influenza. A repeat of the survey in November 2020 with a subset of participants found fewer of them saying yes to the vaccine (56%) and more saying maybe (31%). The effectiveness of any COVID-19 vaccine rollout will be reliant on maximizing uptake. The significant number of people who remain undecided about whether or not to get a COVID-19 vaccine, despite the ongoing devastating consequences of the virus for individuals, communities, and economies, is concerning. Our findings aid current research seeking to inform policy regarding how to convince the undecided to vaccinate.","container-title":"PLoS ONE","DOI":"10.1371/journal.pone.0245907","issue":"1","note":"PMID: 33471821\nPMCID: PMC7817004","page":"e0245907","title":"Converting the maybes: Crucial for a successful COVID-19 vaccination strategy","volume":"16","author":[{"family":"Attwell","given":"Katie"},{"family":"Lake","given":"Joshua"},{"family":"Sneddon","given":"Joanne"},{"family":"Gerrans","given":"Paul"},{"family":"Blyth","given":"Chris"},{"family":"Lee","given":"Julie"}],"issued":{"date-parts":[["2021"]]}}},{"id":400,"uris":["http://zotero.org/users/10425122/items/SUARP5IG"],"itemData":{"id":400,"type":"article-journal","container-title":"Annals of Oncology","DOI":"10.1016/j.annonc.2021.01.066","ISSN":"0923-7534","issue":"5","note":"PMID: 33529740\nPMCID: PMC7846886","page":"673–674","title":"Acceptance of SARS-CoV-2 vaccination among French patients with cancer: a cross-sectional survey","volume":"32","author":[{"family":"Barrière","given":"J."},{"family":"Gal","given":"J."},{"family":"Hoch","given":"B."},{"family":"Cassuto","given":"O."},{"family":"Leysalle","given":"A."},{"family":"Chamorey","given":"E."},{"family":"Borchiellini","given":"D."}],"issued":{"date-parts":[["2021"]]}}},{"id":399,"uris":["http://zotero.org/users/10425122/items/73ZIBAET"],"itemData":{"id":399,"type":"article-journal","abstract":"Background: If globally implemented, a safe coronavirus disease 2019 (COVID-19) vaccination program will have broad clinical and socioeconomic benefits. However, individuals who anticipate that the coronavirus vaccine will bring life back to normality may be disappointed, due to the emerging antivaccination attitude within the general population. Methods: We surveyed a sample of adult Polish citizens (n = 1066), and compared it with the data on international COVID-19 vaccine reluctance. Results: In 20 national surveys, the vaccine averseness for the anticipated COVID-19 vaccine varied from meager (2–6% China) to very high (43%, Czech Republic, and 44%, Turkey) and in most countries was much higher than regular vaccination reluctance, which varies between 3% (Egypt) and 55% (Russia). Conclusions: These results suggest that a 67% herd immunity may be possible only if mandatory preventive vaccination programs start early and are combined with coordinated education efforts supported by legislative power and social campaigns.","container-title":"Vaccines","DOI":"10.3390/vaccines9010044","ISSN":"2076-393X","issue":"1","note":"PMID: 33451104\nPMCID: PMC7828585","page":"44","title":"Flattening the Curve of COVID-19 Vaccine Rejection—An International Overview","volume":"9","author":[{"family":"Feleszko","given":"Wojciech"},{"family":"Lewulis","given":"Piotr"},{"family":"Czarnecki","given":"Adam"},{"family":"Waszkiewicz","given":"Paweł"}],"issued":{"date-parts":[["2021"]]}}},{"id":402,"uris":["http://zotero.org/users/10425122/items/ZREIPXJN"],"itemData":{"id":402,"type":"article-journal","container-title":"The Lancet Infectious Diseases","DOI":"10.1016/s1473-3099(20)30426-6","ISSN":"1473-3099","issue":"7","note":"PMID: 32445713\nPMCID: PMC7239623","page":"769–770","title":"A future vaccination campaign against COVID-19 at risk of vaccine hesitancy and politicisation","volume":"20","author":[{"family":"Group","given":"The COCONEL"},{"family":"Peretti-Watel","given":"Patrick"},{"family":"Seror","given":"Valérie"},{"family":"Cortaredona","given":"Sébastien"},{"family":"Launay","given":"Odile"},{"family":"Raude","given":"Jocelyn"},{"family":"Verger","given":"Pierrea"},{"family":"Fressard","given":"Lisa"},{"family":"Beck","given":"François"},{"family":"Legleye","given":"Stéphane"},{"family":"L'Haridon","given":"Olivier"},{"family":"Léger","given":"Damien"},{"family":"Ward","given":"Jeremy Keith"}],"issued":{"date-parts":[["2020"]]}}},{"id":391,"uris":["http://zotero.org/users/10425122/items/ZY5TC89R"],"itemData":{"id":391,"type":"article-journal","abstract":"As COVID-19 vaccines are rolled out across the world, there are growing concerns about the roles that trust, belief in conspiracy theories, and spread of misinformation through social media play in impacting vaccine hesitancy. We use a nationally representative survey of 1476 adults in the UK between 12 and 18 December 2020, along with 5 focus groups conducted during the same period. Trust is a core predictor, with distrust in vaccines in general and mistrust in government raising vaccine hesitancy. Trust in health institutions and experts and perceived personal threat are vital, with focus groups revealing that COVID-19 vaccine hesitancy is driven by a misunderstanding of herd immunity as providing protection, fear of rapid vaccine development and side effects, and beliefs that the virus is man-made and used for population control. In particular, those who obtain information from relatively unregulated social media sources—such as YouTube—that have recommendations tailored by watch history, and who hold general conspiratorial beliefs, are less willing to be vaccinated. Since an increasing number of individuals use social media for gathering health information, interventions require action from governments, health officials, and social media companies. More attention needs to be devoted to helping people understand their own risks, unpacking complex concepts, and filling knowledge voids.","container-title":"Vaccines","DOI":"10.3390/vaccines9060593","ISSN":"2076-393X","issue":"6","note":"PMID: 34204971\nPMCID: PMC8226842","page":"593","title":"Lack of Trust, Conspiracy Beliefs, and Social Media Use Predict COVID-19 Vaccine Hesitancy","volume":"9","author":[{"family":"Jennings","given":"Will"},{"family":"Stoker","given":"Gerry"},{"family":"Bunting","given":"Hannah"},{"family":"Valgarðsson","given":"Viktor Orri"},{"family":"Gaskell","given":"Jennifer"},{"family":"Devine","given":"Daniel"},{"family":"McKay","given":"Lawrence"},{"family":"Mills","given":"Melinda C."}],"issued":{"date-parts":[["2021"]]}}}],"schema":"https://github.com/citation-style-language/schema/raw/master/csl-citation.json"} </w:instrText>
      </w:r>
      <w:r w:rsidR="00566A19">
        <w:fldChar w:fldCharType="separate"/>
      </w:r>
      <w:r w:rsidR="00566A19" w:rsidRPr="00566A19">
        <w:rPr>
          <w:kern w:val="0"/>
          <w:lang w:val="en-GB"/>
        </w:rPr>
        <w:t>(Attwell et al., 2021; Barrière et al., 2021; Feleszko et al., 2021; Group et al., 2020; Jennings et al., 2021)</w:t>
      </w:r>
      <w:r w:rsidR="00566A19">
        <w:fldChar w:fldCharType="end"/>
      </w:r>
      <w:r w:rsidRPr="00F94080">
        <w:t xml:space="preserve">. There is an overwhelming consensus on the greater hesitancy of women (37 supporting studies, 12 without statistical significance, only one disconfirmation), and on the negative relationship between educational level and hesitancy (19 supporting </w:t>
      </w:r>
      <w:r w:rsidRPr="00F94080">
        <w:lastRenderedPageBreak/>
        <w:t xml:space="preserve">studies, 13 without significance) (Aw et al., 2021). The role of income, age, and area of residence is more ambiguous instead. Hesitancy correlates with feminine sex, younger age, and rurality, but the evidence is less conclusive (ibid.). A second class of determinants is associated with group or individual characteristics. Low worry about COVID-19 infection </w:t>
      </w:r>
      <w:r w:rsidR="00566A19">
        <w:fldChar w:fldCharType="begin"/>
      </w:r>
      <w:r w:rsidR="00480BE7">
        <w:instrText xml:space="preserve"> ADDIN ZOTERO_ITEM CSL_CITATION {"citationID":"gpxxBnyA","properties":{"formattedCitation":"(Bogart et al., 2021; Head et al., 2020; Yoda &amp; Katsuyama, 2021)","plainCitation":"(Bogart et al., 2021; Head et al., 2020; Yoda &amp; Katsuyama, 2021)","noteIndex":0},"citationItems":[{"id":392,"uris":["http://zotero.org/users/10425122/items/MRCIK3TM"],"itemData":{"id":392,"type":"article-journal","abstract":"Medical mistrust, a result of systemic racism, is prevalent among Black Americans and may play a role in COVID-19 inequities. In a convenience sample of HIV-positive Black Americans, we examined associations of COVID-19-related medical mistrust with COVID-19 vaccine and COVID-19 treatment hesitancy and negative impacts of COVID-19 on antiretroviral therapy (ART) adherence. Participants were 101 HIV-positive Black Americans (age: M = 50.3 years; SD = 11.5; 86% cisgender men; 77% sexual minority) enrolled in a randomized controlled trial of a community-based ART adherence intervention in Los Angeles County, CA. From May to July 2020, participants completed telephone interviews on negative COVID-19 impacts, general COVID-19 mistrust (eg, about the government withholding information), COVID-19 vaccine and treatment hesitancy, and trust in COVID-19 information sources. Adherence was monitored electronically with the Medication Event Monitoring System. Nearly all participants (97%) endorsed at least one general COVID-19 mistrust belief, and more than half endorsed at least one COVID-19 vaccine or treatment hesitancy belief. Social service and health care providers were the most trusted sources. Greater COVID-19 mistrust was related to greater vaccine and treatment hesitancy [b (SE) = 0.85 (0.14), P &lt; 0.0001 and b (SE) = 0.88 (0.14), P &lt; 0.0001, respectively]. Participants experiencing more negative COVID-19 impacts showed lower ART adherence, assessed among a subset of 49 participants [b (SE) = −5.19 (2.08), P = 0.02]. To prevent widening health inequities, health care providers should engage with communities to tailor strategies to overcome mistrust and deliver evidence-based information, to encourage COVID-19 vaccine and treatment uptake.","container-title":"Journal of Acquired Immune Deficiency Syndromes (1999)","DOI":"10.1097/qai.0000000000002570","ISSN":"1525-4135","issue":"2","note":"PMID: 33196555\nPMCID: PMC7808278","page":"200–207","title":"COVID-19 Related Medical Mistrust, Health Impacts, and Potential Vaccine Hesitancy Among Black Americans Living With HIV","volume":"86","author":[{"family":"Bogart","given":"Laura M."},{"family":"Ojikutu","given":"Bisola O."},{"family":"Tyagi","given":"Keshav"},{"family":"Klein","given":"David J."},{"family":"Mutchler","given":"Matt G."},{"family":"Dong","given":"Lu"},{"family":"Lawrence","given":"Sean J."},{"family":"Thomas","given":"Damone R."},{"family":"Kellman","given":"Sarah"}],"issued":{"date-parts":[["2021"]]}}},{"id":387,"uris":["http://zotero.org/users/10425122/items/95FEYB8B"],"itemData":{"id":387,"type":"article-journal","abstract":"With SARS-CoV-2 vaccines under development, research is needed to assess intention to vaccinate. We conducted a survey (N = 3,159) with U.S. adults in May 2020 assessing SARS-CoV-2 vaccine intentions, intentions with a provider recommendation, and sociodemographic and psychosocial variables. Participants had high SARS-CoV-2 vaccine intentions (M = 5.23/7-point scale), which increased significantly with a provider recommendation (M = 5.47). Hierarchical linear regression showed that less education and working in health care were associated with lower intent, and liberal political views, altruism, and COVID-19-related health beliefs were associated with higher intent. This work can inform interventions to increase vaccine uptake, ultimately reducing COVID-19-related morbidity and mortality.","container-title":"Science Communication","DOI":"10.1177/1075547020960463","ISSN":"1075-5470","issue":"5","note":"PMCID: PMC7520657","page":"698–723","title":"A National Survey Assessing SARS-CoV-2 Vaccination Intentions: Implications for Future Public Health Communication Efforts","volume":"42","author":[{"family":"Head","given":"Katharine J."},{"family":"Kasting","given":"Monica L."},{"family":"Sturm","given":"Lynne A."},{"family":"Hartsock","given":"Jane A."},{"family":"Zimet","given":"Gregory D."}],"issued":{"date-parts":[["2020"]]}}},{"id":386,"uris":["http://zotero.org/users/10425122/items/SRK6475A"],"itemData":{"id":386,"type":"article-journal","abstract":"In the wake of the COVID-19 pandemic, vaccines are being developed by many countries for the safety of their population. However, people of various nations have revealed hesitancy towards being vaccinated, citing reasons such as side effects, safety, a lack of trust in vaccine effectiveness, etc. This study aimed to explore the willingness of people in Japan to be vaccinated or not be vaccinated and the reasons for either decision. A sample of 1100 respondents was drawn from an internet research panel, and a questionnaire survey was administered to evaluate their willingness to be vaccinated by gender, age group, place of living, and underlying illness history. After using descriptive statistics and the chi-squared test to evaluate categorical variables, 65.7% of the participants indicated a willingness to be vaccinated; among them were older age groups, those in rural areas, and those with underlying medical conditions. In addition, males showed less hesitancy towards being vaccinated. Although selectivity bias exists, this study is the first to examine the willingness of Japanese people to be vaccinated. Since vaccine hesitancy and refusal ratio were found to be higher in Japan than in other countries, policy efforts are needed to make the country’s vaccination program viable.","container-title":"Vaccines","DOI":"10.3390/vaccines9010048","ISSN":"2076-393X","issue":"1","note":"PMID: 33466675\nPMCID: PMC7828811","page":"48","title":"Willingness to Receive COVID-19 Vaccination in Japan","volume":"9","author":[{"family":"Yoda","given":"Takeshi"},{"family":"Katsuyama","given":"Hironobu"}],"issued":{"date-parts":[["2021"]]}}}],"schema":"https://github.com/citation-style-language/schema/raw/master/csl-citation.json"} </w:instrText>
      </w:r>
      <w:r w:rsidR="00566A19">
        <w:fldChar w:fldCharType="separate"/>
      </w:r>
      <w:r w:rsidR="00480BE7">
        <w:rPr>
          <w:noProof/>
        </w:rPr>
        <w:t>(Bogart et al., 2021; Head et al., 2020; Yoda &amp; Katsuyama, 2021)</w:t>
      </w:r>
      <w:r w:rsidR="00566A19">
        <w:fldChar w:fldCharType="end"/>
      </w:r>
      <w:r w:rsidR="00480BE7" w:rsidRPr="00480BE7">
        <w:t xml:space="preserve"> </w:t>
      </w:r>
      <w:r w:rsidRPr="00F94080">
        <w:t xml:space="preserve">low perception of risk </w:t>
      </w:r>
      <w:r w:rsidR="00480BE7">
        <w:fldChar w:fldCharType="begin"/>
      </w:r>
      <w:r w:rsidR="00480BE7">
        <w:instrText xml:space="preserve"> ADDIN ZOTERO_ITEM CSL_CITATION {"citationID":"Hu8ke8BN","properties":{"formattedCitation":"(Group et al., 2020; Latkin et al., 2021; Malik et al., 2020)","plainCitation":"(Group et al., 2020; Latkin et al., 2021; Malik et al., 2020)","noteIndex":0},"citationItems":[{"id":402,"uris":["http://zotero.org/users/10425122/items/ZREIPXJN"],"itemData":{"id":402,"type":"article-journal","container-title":"The Lancet Infectious Diseases","DOI":"10.1016/s1473-3099(20)30426-6","ISSN":"1473-3099","issue":"7","note":"PMID: 32445713\nPMCID: PMC7239623","page":"769–770","title":"A future vaccination campaign against COVID-19 at risk of vaccine hesitancy and politicisation","volume":"20","author":[{"family":"Group","given":"The COCONEL"},{"family":"Peretti-Watel","given":"Patrick"},{"family":"Seror","given":"Valérie"},{"family":"Cortaredona","given":"Sébastien"},{"family":"Launay","given":"Odile"},{"family":"Raude","given":"Jocelyn"},{"family":"Verger","given":"Pierrea"},{"family":"Fressard","given":"Lisa"},{"family":"Beck","given":"François"},{"family":"Legleye","given":"Stéphane"},{"family":"L'Haridon","given":"Olivier"},{"family":"Léger","given":"Damien"},{"family":"Ward","given":"Jeremy Keith"}],"issued":{"date-parts":[["2020"]]}}},{"id":385,"uris":["http://zotero.org/users/10425122/items/AL2IGIMS"],"itemData":{"id":385,"type":"article-journal","abstract":"Vaccine hesitancy could become a significant impediment to addressing the COVID-19 pandemic. The current study examined the prevalence of COVID-19 vaccine hesitancy and factors associated with vaccine intentions. A national panel survey by the National Opinion Research Center (NORC) was designed to be representative of the US household population. Sampled respondents were invited to complete the survey between May 14 and 18, 2020 in English or Spanish. 1,056 respondents completed the survey—942 via the web and 114 via telephone. The dependent variable was assessed by the item “If a vaccine against the coronavirus becomes available, do you plan to get vaccinated, or not?” Approximately half (53.6%) reported intending to be vaccinated, 16.7% did not intend, and 29.7% were unsure. In the adjusted stepwise multinominal logistic regression, Black and Hispanic respondents were significantly less likely to report intending to be vaccinated as were respondents who were females, younger, and those who were more politically conservative. Compared to those who reported positive vaccine intentions, respondents with negative vaccine intentions were significantly less likely to report that they engaged in the COVID-19 prevention behaviors of wearing masks (aOR = 0.53, CI = 0.37–0.76) and social distancing (aOR = 0.22, CI = 0.12–0.42). In a sub-analysis of reasons not to be vaccinated, significant race/ethnic differences were observed. This national survey indicated a modest level of COVID-19 vaccine intention. These data suggest that public health campaigns for vaccine uptake should assess in greater detail the vaccine concerns of Blacks, Hispanics, and women to tailor programs.","container-title":"PLoS ONE","DOI":"10.1371/journal.pone.0246970","issue":"2","note":"PMID: 33592035\nPMCID: PMC7886161","page":"e0246970","title":"Mask usage, social distancing, racial, and gender correlates of COVID-19 vaccine intentions among adults in the US","volume":"16","author":[{"family":"Latkin","given":"Carl A."},{"family":"Dayton","given":"Lauren"},{"family":"Yi","given":"Grace"},{"family":"Colon","given":"Brian"},{"family":"Kong","given":"Xiangrong"}],"issued":{"date-parts":[["2021"]]}}},{"id":384,"uris":["http://zotero.org/users/10425122/items/UQAYX5NC"],"itemData":{"id":384,"type":"article-journal","abstract":"Background The COVID-19 pandemic continues to adversely affect the U.S., which leads globally in total cases and deaths. As COVID-19 vaccines are under development, public health officials and policymakers need to create strategic vaccine-acceptance messaging to effectively control the pandemic and prevent thousands of additional deaths. Methods Using an online platform, we surveyed the U.S. adult population in May 2020 to understand risk perceptions about the COVID-19 pandemic, acceptance of a COVID-19 vaccine, and trust in sources of information. These factors were compared across basic demographics. Findings Of the 672 participants surveyed, 450 (67%) said they would accept a COVID-19 vaccine if it is recommended for them. Males (72%) compared to females, older adults (≥55 years; 78%) compared to younger adults, Asians (81%) compared to other racial and ethnic groups, and college and/or graduate degree holders (75%) compared to people with less than a college degree were more likely to accept the vaccine. When comparing reported influenza vaccine uptake to reported acceptance of the COVID-19 vaccine: 1) participants who did not complete high school had a very low influenza vaccine uptake (10%), while 60% of the same group said they would accept the COVID-19 vaccine; 2) unemployed participants reported lower influenza uptake and lower COVID-19 vaccine acceptance when compared to those employed or retired; and, 3) Black Americans reported lower influenza vaccine uptake and lower COVID-19 vaccine acceptance than all other racial groups reported in our study. Lastly, we identified geographic differences with Department of Health and Human Services (DHHS) regions 2 (New York) and 5 (Chicago) reporting less than 50 percent COVID-19 vaccine acceptance. Interpretation Although our study found a 67% acceptance of a COVID-19 vaccine, there were noticeable demographic and geographical disparities in vaccine acceptance. Before a COVID-19 vaccine is introduced to the U.S., public health officials and policymakers must prioritize effective COVID-19 vaccine-acceptance messaging for all Americans, especially those who are most vulnerable.","container-title":"EClinicalMedicine","DOI":"10.1016/j.eclinm.2020.100495","ISSN":"2589-5370","note":"PMID: 32838242\nPMCID: PMC7423333","page":"100495","title":"Determinants of COVID-19 vaccine acceptance in the US","volume":"26","author":[{"family":"Malik","given":"Amyn A."},{"family":"McFadden","given":"SarahAnn M."},{"family":"Elharake","given":"Jad"},{"family":"Omer","given":"Saad B."}],"issued":{"date-parts":[["2020"]]}}}],"schema":"https://github.com/citation-style-language/schema/raw/master/csl-citation.json"} </w:instrText>
      </w:r>
      <w:r w:rsidR="00480BE7">
        <w:fldChar w:fldCharType="separate"/>
      </w:r>
      <w:r w:rsidR="00480BE7">
        <w:rPr>
          <w:noProof/>
        </w:rPr>
        <w:t>(Group et al., 2020; Latkin et al., 2021; Malik et al., 2020)</w:t>
      </w:r>
      <w:r w:rsidR="00480BE7">
        <w:fldChar w:fldCharType="end"/>
      </w:r>
      <w:r w:rsidR="00480BE7" w:rsidRPr="00480BE7">
        <w:t xml:space="preserve"> </w:t>
      </w:r>
      <w:r w:rsidRPr="00F94080">
        <w:t xml:space="preserve">and endorsing conspiracy theories </w:t>
      </w:r>
      <w:r w:rsidR="00480BE7">
        <w:fldChar w:fldCharType="begin"/>
      </w:r>
      <w:r w:rsidR="00480BE7">
        <w:instrText xml:space="preserve"> ADDIN ZOTERO_ITEM CSL_CITATION {"citationID":"beoEHFlN","properties":{"formattedCitation":"(Barri\\uc0\\u232{}re et al., 2021; Detoc et al., 2020; Schmelz, 2021)","plainCitation":"(Barrière et al., 2021; Detoc et al., 2020; Schmelz, 2021)","noteIndex":0},"citationItems":[{"id":400,"uris":["http://zotero.org/users/10425122/items/SUARP5IG"],"itemData":{"id":400,"type":"article-journal","container-title":"Annals of Oncology","DOI":"10.1016/j.annonc.2021.01.066","ISSN":"0923-7534","issue":"5","note":"PMID: 33529740\nPMCID: PMC7846886","page":"673–674","title":"Acceptance of SARS-CoV-2 vaccination among French patients with cancer: a cross-sectional survey","volume":"32","author":[{"family":"Barrière","given":"J."},{"family":"Gal","given":"J."},{"family":"Hoch","given":"B."},{"family":"Cassuto","given":"O."},{"family":"Leysalle","given":"A."},{"family":"Chamorey","given":"E."},{"family":"Borchiellini","given":"D."}],"issued":{"date-parts":[["2021"]]}}},{"id":383,"uris":["http://zotero.org/users/10425122/items/346E4TCA"],"itemData":{"id":383,"type":"article-journal","abstract":"Introduction The world is facing the COVID-19 pandemic. The development of a vaccine is challenging. We aimed to determine the proportion of people who intend to get vaccinated against COVID-19 in France or to participate in a vaccine clinical trial. Methods We conducted an anonymous on-line survey from the 26th of March to the 20th of April 2020. Primary endpoints were the intention to get vaccinated against COVID-19 if a vaccine was available or participate in a vaccine clinical trial. Results Three thousand two hundred and fifty nine individuals answered the survey; women accounted for 67.4% of the respondents. According to their statements, 2.512 participants (77.6%, 95% CI 76.2–79%) will certainly or probably agree to get vaccinated against COVID-19. Older age, male gender, fear about COVID-19, being a healthcare worker and individual perceived risk were associated with COVID-19 vaccine acceptance. Vaccine hesitancy was associated with a decrease in COVID-19 vaccine acceptance. One thousand and five hundred and fifty respondents (47.6% 95% CI 45.9–49.3%) will certainly or probably agree to participate in a COVID-19 vaccine clinical trial. Older age, male gender, being a healthcare worker and individual perceived risk were associated with potential acceptance to participate in a COVID-19 vaccine clinical trial. Vaccine hesitancy was associated with refusal for participation in a COVID-19 vaccine clinical trial. Conclusions Nearly 75% and 48% of the survey respondents were respectively likely to accept vaccination or participation in a clinical trial against COVID-19. Vaccine hesitancy will be the major barrier to COVID-19 vaccine uptake.","container-title":"Vaccine","DOI":"10.1016/j.vaccine.2020.09.041","ISSN":"0264-410X","issue":"45","note":"PMID: 32988688\nPMCID: PMC7498238","page":"7002–7006","title":"Intention to participate in a COVID-19 vaccine clinical trial and to get vaccinated against COVID-19 in France during the pandemic","volume":"38","author":[{"family":"Detoc","given":"Maëlle"},{"family":"Bruel","given":"Sébastien"},{"family":"Frappe","given":"Paul"},{"family":"Tardy","given":"Bernard"},{"family":"Botelho-Nevers","given":"Elisabeth"},{"family":"Gagneux-Brunon","given":"Amandine"}],"issued":{"date-parts":[["2020"]]}}},{"id":396,"uris":["http://zotero.org/users/10425122/items/U7KLPY3R"],"itemData":{"id":396,"type":"article-journal","abstract":"Effective states govern by some combination of enforcement and voluntary compliance. To contain the COVID-19 pandemic, a critical decision is the extent to which policy makers rely on voluntary as opposed to enforced compliance, and nations vary along this dimension. While enforcement may secure higher compliance, there is experimental and other evidence that it may also crowd out voluntary motivation. How does enforcement affect citizens’ support for anti–COVID-19 policies? A survey conducted with 4,799 respondents toward the end of the first lockdown in Germany suggests that a substantial share of the population will support measures more under voluntary than under enforced implementation. Negative responses to enforcement—termed control aversion—vary across the nature of the policy intervention (e.g., they are rare for masks and frequent for vaccination and a cell-phone tracing app). Control aversion is less common among those with greater trust in the government and the information it provides, and among those who were brought up under the coercive regime of East Germany. Taking account of the likely effectiveness of enforcement and the extent to which near-universal compliance is crucial, the differing degrees of opposition to enforcement across policies suggest that for some anti–COVID-19 policies an enforced mandate would be unwise, while for others it would be essential. Similar reasoning may also be relevant for policies to address future pandemics and other societal challenges like climate change.","container-title":"Proceedings of the National Academy of Sciences","DOI":"10.1073/pnas.2016385118","ISSN":"0027-8424","issue":"1","note":"PMID: 33443149\nPMCID: PMC7817206","page":"e2016385118","title":"Enforcement may crowd out voluntary support for COVID-19 policies, especially where trust in government is weak and in a liberal society","volume":"118","author":[{"family":"Schmelz","given":"Katrin"}],"issued":{"date-parts":[["2021"]]}}}],"schema":"https://github.com/citation-style-language/schema/raw/master/csl-citation.json"} </w:instrText>
      </w:r>
      <w:r w:rsidR="00480BE7">
        <w:fldChar w:fldCharType="separate"/>
      </w:r>
      <w:r w:rsidR="00480BE7" w:rsidRPr="00480BE7">
        <w:rPr>
          <w:kern w:val="0"/>
          <w:lang w:val="en-GB"/>
        </w:rPr>
        <w:t>(Barrière et al., 2021; Detoc et al., 2020; Schmelz, 2021)</w:t>
      </w:r>
      <w:r w:rsidR="00480BE7">
        <w:fldChar w:fldCharType="end"/>
      </w:r>
      <w:r w:rsidR="00480BE7" w:rsidRPr="00480BE7">
        <w:t xml:space="preserve"> </w:t>
      </w:r>
      <w:r w:rsidRPr="00F94080">
        <w:t xml:space="preserve">all </w:t>
      </w:r>
      <w:r w:rsidR="00DE2745">
        <w:t>lead</w:t>
      </w:r>
      <w:r w:rsidRPr="00F94080">
        <w:t xml:space="preserve"> to increased hesitancy. Trust in </w:t>
      </w:r>
      <w:r w:rsidR="00892175">
        <w:t xml:space="preserve">the </w:t>
      </w:r>
      <w:r w:rsidRPr="00F94080">
        <w:t>alternative medicine</w:t>
      </w:r>
      <w:r w:rsidR="00DE2745">
        <w:t>s</w:t>
      </w:r>
      <w:r w:rsidRPr="00F94080">
        <w:t xml:space="preserve"> </w:t>
      </w:r>
      <w:r w:rsidR="00480BE7">
        <w:fldChar w:fldCharType="begin"/>
      </w:r>
      <w:r w:rsidR="00480BE7">
        <w:instrText xml:space="preserve"> ADDIN ZOTERO_ITEM CSL_CITATION {"citationID":"3z9A8QIU","properties":{"formattedCitation":"(Alabdulla et al., 2021; Attwell et al., 2021; Seale et al., 2021)","plainCitation":"(Alabdulla et al., 2021; Attwell et al., 2021; Seale et al., 2021)","noteIndex":0},"citationItems":[{"id":394,"uris":["http://zotero.org/users/10425122/items/QFPV8ZZW"],"itemData":{"id":394,"type":"article-journal","abstract":"Vaccine hesitancy is a global threat undermining control of preventable infections. Emerging evidence suggests that hesitancy to COVID‐19 vaccination varies globally. Qatar has a unique population with around 90% of the population being economic migrants, and the degree and determinants of hesitancy are not known. This study was carried out to evaluate the degree of vaccine hesitancy and its socio‐demographic and attitudinal determinants across a representative sample. A national cross‐sectional study using validated hesitancy measurement tool was carried out from October 15, 2020, to November 15, 2020. A total of 7821 adults completed the survey. Relevant socio‐demographic data along with attitudes and beliefs around COVID‐19 vaccination were collected from the respondents. 20.2% of the respondents stated they would not take the vaccine and 19.8% reported being unsure about taking the prospective COVID‐19 vaccine. Citizens and females were more likely to be vaccine hesitators than immigrants and males, respectively. Concerns around the safety of COVID‐19 vaccine and its longer‐term side effects were the main concerns cited. Personal research around COVID‐19 and vaccine were by far the most preferred methods that would increase confidence in accepting the vaccine across all demographic groups. This study reports an overall vaccine hesitancy of 20% toward the COVID‐19 vaccine and the influence of social media on attitudes toward vaccination which is in keeping with emerging evidence. This finding comes at a time that is close to the start of mass immunization and reports from a migrant‐majority population highlighting important socio‐demographic determinants around vaccine hesitancy.","container-title":"Influenza and Other Respiratory Viruses","DOI":"10.1111/irv.12847","ISSN":"1750-2640","issue":"3","note":"PMID: 33605010\nPMCID: PMC8014858","page":"361–370","title":"COVID‐19 vaccine hesitancy and attitudes in Qatar: A national cross‐sectional survey of a migrant‐majority population","volume":"15","author":[{"family":"Alabdulla","given":"Majid"},{"family":"Reagu","given":"Shuja Mohd"},{"family":"Al‐Khal","given":"Abdullatif"},{"family":"Elzain","given":"Marwa"},{"family":"Jones","given":"Roland M."}],"issued":{"date-parts":[["2021"]]}}},{"id":401,"uris":["http://zotero.org/users/10425122/items/94BG9D4K"],"itemData":{"id":401,"type":"article-journal","abstract":"Broad community acceptance of a COVID-19 vaccination will be critical for effectively halting the spread of the virus. In this study, we focus on factors that differentiate those who are undecided from those who are either willing or unwilling to accept a prospective COVID-19 vaccine. An online survey in May 2020 assessed Australian adults’ willingness to receive a COVID-19 vaccine (yes, maybe, no). A multinomial logistical regression of responses (N = 1,313) was used to identify correlates of vaccine willingness between the three groups. 65% were willing to vaccinate, with 27% being in the ‘maybe’ category. Respondents were more likely to be in the ‘maybe’ than the ‘yes’ group when they perceived COVID-19 to be less severe, had less trust in science, were less willing to vaccinate for influenza, and were female. They were more likely to be in the ‘maybe’ than ‘no’ group when they perceived COVID-19 as severe, and less likely to be a hoax, had more trust in science, and greater willingness to vaccinate for influenza. A repeat of the survey in November 2020 with a subset of participants found fewer of them saying yes to the vaccine (56%) and more saying maybe (31%). The effectiveness of any COVID-19 vaccine rollout will be reliant on maximizing uptake. The significant number of people who remain undecided about whether or not to get a COVID-19 vaccine, despite the ongoing devastating consequences of the virus for individuals, communities, and economies, is concerning. Our findings aid current research seeking to inform policy regarding how to convince the undecided to vaccinate.","container-title":"PLoS ONE","DOI":"10.1371/journal.pone.0245907","issue":"1","note":"PMID: 33471821\nPMCID: PMC7817004","page":"e0245907","title":"Converting the maybes: Crucial for a successful COVID-19 vaccination strategy","volume":"16","author":[{"family":"Attwell","given":"Katie"},{"family":"Lake","given":"Joshua"},{"family":"Sneddon","given":"Joanne"},{"family":"Gerrans","given":"Paul"},{"family":"Blyth","given":"Chris"},{"family":"Lee","given":"Julie"}],"issued":{"date-parts":[["2021"]]}}},{"id":382,"uris":["http://zotero.org/users/10425122/items/3B6GV9TE"],"itemData":{"id":382,"type":"article-journal","abstract":"As immunisation program launches have previously demonstrated, it is essential that careful planning occurs now to ensure the readiness of the public for a COVID-19 vaccine. As part of that process, this study aimed to understand the public perceptions regarding a future COVID-19 vaccine in Australia. A national cross-sectional online survey of 1420 Australian adults (18 years and older) was undertaken between 18 and 24 March 2020. The statistical analysis of the data included univariate and multivariable logistic regression model analysis. Respondents generally held positive views towards vaccination. Eighty percent (n = 1143) agreed with the statement that getting myself vaccinated for COVID-19 would be a good way to protect myself against infection. Females (n = 614, 83%) were more likely to agree with the statement than males (n = 529, 78%) (aOR = 1.4 (95% CI: 1.1–1.8); P = 0.03), while 91% of those aged 70 years and above agreed compared to 76% of 18–29-year-olds (aOR = 2.3 (95% CI:1.2–4.1); P = 0.008). Agreement was also higher for those with a self-reported chronic disease (aOR = 1.4 (95% CI: 1.1–2.0); P = 0.04) and among those who held private health insurance (aOR = 1.7 (95% CI: 1.3–2.3); P &lt; 0.001). Beyond individual perceptions, 78% stated that their decision to vaccinate would be supported by family and friends. This study presents an early indication of public perceptions towards a future COVID-19 vaccine and represents a starting point for mapping vaccine perceptions. To support an effective launch of these new vaccines, governments need to use this time to understand the communities concerns and to identify the strategies that will support engagement.","container-title":"BMC Infectious Diseases","DOI":"10.1186/s12879-021-05833-1","issue":"1","note":"PMID: 33509104\nPMCID: PMC7840792","page":"120","title":"Examining Australian public perceptions and behaviors towards a future COVID-19 vaccine","volume":"21","author":[{"family":"Seale","given":"Holly"},{"family":"Heywood","given":"Anita E."},{"family":"Leask","given":"Julie"},{"family":"Sheel","given":"Meru"},{"family":"Durrheim","given":"David N."},{"family":"Bolsewicz","given":"Katarzyna"},{"family":"Kaur","given":"Rajneesh"}],"issued":{"date-parts":[["2021"]]}}}],"schema":"https://github.com/citation-style-language/schema/raw/master/csl-citation.json"} </w:instrText>
      </w:r>
      <w:r w:rsidR="00480BE7">
        <w:fldChar w:fldCharType="separate"/>
      </w:r>
      <w:r w:rsidR="00480BE7">
        <w:rPr>
          <w:noProof/>
        </w:rPr>
        <w:t>(Alabdulla et al., 2021; Attwell et al., 2021; Seale et al., 2021)</w:t>
      </w:r>
      <w:r w:rsidR="00480BE7">
        <w:fldChar w:fldCharType="end"/>
      </w:r>
      <w:r w:rsidRPr="00F94080">
        <w:t xml:space="preserve">, distrust of the healthcare system </w:t>
      </w:r>
      <w:r w:rsidR="00480BE7">
        <w:fldChar w:fldCharType="begin"/>
      </w:r>
      <w:r w:rsidR="00480BE7">
        <w:instrText xml:space="preserve"> ADDIN ZOTERO_ITEM CSL_CITATION {"citationID":"yoZVV7oi","properties":{"formattedCitation":"(Chu &amp; Liu, 2021; Pogue et al., 2020; Sherman et al., 2021)","plainCitation":"(Chu &amp; Liu, 2021; Pogue et al., 2020; Sherman et al., 2021)","noteIndex":0},"citationItems":[{"id":379,"uris":["http://zotero.org/users/10425122/items/W6WXTPU6"],"itemData":{"id":379,"type":"article-journal","abstract":"Objective Integrating constructs from three prominent health behavior theories including the extended parallel process model, the health belief model, and the theory of planned behavior, this study seeks to identify sociopsychological factors that influenced American’s intention to receive a COVID-19 vaccine. Method An online survey was delivered to a U.S. sample (N = 934), assessing the influences of risk perception and fear associated with COVID-19, beliefs about and attitudes toward COVID-19 vaccines, self-efficacy, social and psychological contexts, and demographic characteristics on people’s intention to get COVID-19 vaccines. Results Most respondents intended to get vaccinated. However, they tended to underestimate their risks of contracting COVID-19. Disease exposure led to higher uptake intent via the mediation of fear. Safety concerns negatively influenced vaccination intention, while perceived community benefits were positively associated with vaccination intention. Positive attitudes toward vaccines and recent vaccine history were positively linked to vaccination intent. Conclusion This study attests the effectiveness of HBT constructs in predicting people’s intention to receive a COVID-19 vaccine. Practice Implications The results point to the importance of fostering confidence in vaccine safety and countering overoptimism of individual susceptibility to the disease in interventions promoting COVID-19 vaccines uptake.","container-title":"Patient Education and Counseling","DOI":"10.1016/j.pec.2021.02.031","ISSN":"0738-3991","issue":"8","note":"PMID: 33632632\nPMCID: PMC7889032","page":"1878–1886","title":"Integrating health behavior theories to predict American’s intention to receive a COVID-19 vaccine","volume":"104","author":[{"family":"Chu","given":"Haoran"},{"family":"Liu","given":"Sixiao"}],"issued":{"date-parts":[["2021"]]}}},{"id":381,"uris":["http://zotero.org/users/10425122/items/PT4JWQQB"],"itemData":{"id":381,"type":"article-journal","abstract":"The COVID-19 pandemic continues to ravage the world, with the United States being highly affected. A vaccine provides the best hope for a permanent solution to controlling the pandemic. However, to be effective, a vaccine must be accepted and used by a large majority of the population. The aim of this study was to understand the attitudes towards and obstacles facing vaccination with a potential COVID-19 vaccine. To measure these attitudes a survey was administered to 316 respondents across the United States by a survey corporation. Structural equation modeling was used to analyze the relationships of several factors with attitudes toward potential COVID-19 vaccination. Prior vaccine usage and attitudes predicted attitudes towards COVID-19 vaccination. Assessment of the severity of COVID-19 for the United States was also predictive. Approximately 68% of all respondents were supportive of being vaccinated for COVID-19, but side effects, efficacy and length of testing remained concerns. Longer testing, increased efficacy and development in the United States were significantly associated with increased vaccine acceptance. Messages promoting COVID-19 vaccination should seek to alleviate the concerns of those who are already vaccine-hesitant. Messaging directed at the benefits of vaccination for the United States as a country would address the second predictive factor. Enough time should be taken to allay concerns about both short- and long-term side effects before a vaccine is released.","container-title":"Vaccines","DOI":"10.3390/vaccines8040582","ISSN":"2076-393X","issue":"4","note":"PMID: 33022917\nPMCID: PMC7711655","page":"582","title":"Influences on Attitudes Regarding Potential COVID-19 Vaccination in the United States","volume":"8","author":[{"family":"Pogue","given":"Kendall"},{"family":"Jensen","given":"Jamie L."},{"family":"Stancil","given":"Carter K."},{"family":"Ferguson","given":"Daniel G."},{"family":"Hughes","given":"Savannah J."},{"family":"Mello","given":"Emily J."},{"family":"Burgess","given":"Ryan"},{"family":"Berges","given":"Bradford K."},{"family":"Quaye","given":"Abraham"},{"family":"Poole","given":"Brian D."}],"issued":{"date-parts":[["2020"]]}}},{"id":380,"uris":["http://zotero.org/users/10425122/items/ZL9JWRG2"],"itemData":{"id":380,"type":"article-journal","abstract":"To investigate factors associated with intention to be vaccinated against COVID-19 we conducted a cross-sectional survey of 1,500 UK adults, recruited from an existing online research panel. Data were collected between 14th and 17th July 2020. We used linear regression analyses to investigate associations between intention to be vaccinated for COVID-19 “when a vaccine becomes available to you” and sociodemographic factors, previous influenza vaccination, general vaccine attitudes and beliefs, attitudes and beliefs about COVID-19, and attitudes and beliefs about a COVID-19 vaccination. 64% of participants reported being very likely to be vaccinated against COVID-19, 27% were unsure, and 9% reported being very unlikely to be vaccinated. Personal and clinical characteristics, previous influenza vaccination, general vaccination beliefs, and beliefs and attitudes about COVID-19 and a COVID-19 vaccination explained 76% of the variance in vaccination intention. Intention to be vaccinated was associated with more positive general COVID-19 vaccination beliefs and attitudes, weaker beliefs that the vaccination would cause side effects or be unsafe, greater perceived information sufficiency to make an informed decision about COVID-19 vaccination, greater perceived risk of COVID-19 to others (but not risk to oneself), older age, and having been vaccinated for influenza last winter (2019/20). Despite uncertainty around the details of a COVID-19 vaccination, most participants reported intending to be vaccinated for COVID-19. Actual uptake may be lower. Vaccination intention reflects general vaccine beliefs and attitudes. Campaigns and messaging about a COVID-19 vaccination could consider emphasizing the risk of COVID-19 to others and necessity for everyone to be vaccinated.","container-title":"Human Vaccines &amp; Immunotherapeutics","DOI":"10.1080/21645515.2020.1846397","ISSN":"2164-5515","issue":"6","note":"PMID: 33242386\nPMCID: PMC8115754","page":"1612–1621","title":"COVID-19 vaccination intention in the UK: results from the COVID-19 vaccination acceptability study (CoVAccS), a nationally representative cross-sectional survey","volume":"17","author":[{"family":"Sherman","given":"Susan M."},{"family":"Smith","given":"Louise E."},{"family":"Sim","given":"Julius"},{"family":"Amlôt","given":"Richard"},{"family":"Cutts","given":"Megan"},{"family":"Dasch","given":"Hannah"},{"family":"Rubin","given":"G James"},{"family":"Sevdalis","given":"Nick"}],"issued":{"date-parts":[["2021"]]}}}],"schema":"https://github.com/citation-style-language/schema/raw/master/csl-citation.json"} </w:instrText>
      </w:r>
      <w:r w:rsidR="00480BE7">
        <w:fldChar w:fldCharType="separate"/>
      </w:r>
      <w:r w:rsidR="00480BE7">
        <w:rPr>
          <w:noProof/>
        </w:rPr>
        <w:t>(Chu &amp; Liu, 2021; Pogue et al., 2020; Sherman et al., 2021)</w:t>
      </w:r>
      <w:r w:rsidR="00480BE7">
        <w:fldChar w:fldCharType="end"/>
      </w:r>
      <w:r w:rsidR="00480BE7" w:rsidRPr="00480BE7">
        <w:t xml:space="preserve"> </w:t>
      </w:r>
      <w:r w:rsidRPr="00F94080">
        <w:t>and of science</w:t>
      </w:r>
      <w:r w:rsidR="00480BE7" w:rsidRPr="00480BE7">
        <w:t xml:space="preserve"> </w:t>
      </w:r>
      <w:r w:rsidR="00480BE7">
        <w:rPr>
          <w:lang w:val="it-IT"/>
        </w:rPr>
        <w:fldChar w:fldCharType="begin"/>
      </w:r>
      <w:r w:rsidR="00480BE7">
        <w:instrText xml:space="preserve"> ADDIN ZOTERO_ITEM CSL_CITATION {"citationID":"7DJpfM9V","properties":{"formattedCitation":"(Gagneux-Brunon et al., 2021; Sherman et al., 2021; Wong et al., 2021)","plainCitation":"(Gagneux-Brunon et al., 2021; Sherman et al., 2021; Wong et al., 2021)","noteIndex":0},"citationItems":[{"id":378,"uris":["http://zotero.org/users/10425122/items/5WVLRP8Y"],"itemData":{"id":378,"type":"article-journal","abstract":"Background Healthcare workers (HCWs) are at the frontline of the COVID-19 pandemic and identified as a priority target group for COVID-19 vaccines. We aimed to determine COVID-19 vaccine acceptance rate in HCWs in France. Methods We conducted an anonymous survey from 26th March to 2nd July 2020. The primary endpoint was the intention to get vaccinated against COVID-19 if a vaccine was available. Results Two-thousand and forty-seven HCWs answered the survey; women accounted for 74% of respondents. Among respondents, 1.554 (76.9%, 95% confidence interval 75.1–78.9) would accept a COVID-19 vaccine. Older age, male gender, fear about COVID-19, individual perceived risk and flu vaccination during previous season were associated with hypothetical COVID-19 vaccine acceptance. Nurses and assistant nurses were less prone to accept vaccination against COVID-19 than physicians. Vaccine hesitancy was associated with a decrease in COVID-19 vaccine acceptance. Flu vaccine rate was 57.3% during the previous season, and 54.6% of the respondents had the intention to get a flu vaccine during the next season. Conclusions Intention to get vaccinated against COVID-19 reached 75% in HCWs with discrepancies between occupational categories. COVID-19 pandemic had no positive effect on flu vaccine acceptance rate.","container-title":"Journal of Hospital Infection","DOI":"10.1016/j.jhin.2020.11.020","ISSN":"0195-6701","note":"PMID: 33259883\nPMCID: PMC7699157","page":"168–173","title":"Intention to get vaccinations against COVID-19 in French healthcare workers during the first pandemic wave: a cross-sectional survey","volume":"108","author":[{"family":"Gagneux-Brunon","given":"A."},{"family":"Detoc","given":"M."},{"family":"Bruel","given":"S."},{"family":"Tardy","given":"B."},{"family":"Rozaire","given":"O."},{"family":"Frappe","given":"P."},{"family":"Botelho-Nevers","given":"E."}],"issued":{"date-parts":[["2021"]]}}},{"id":380,"uris":["http://zotero.org/users/10425122/items/ZL9JWRG2"],"itemData":{"id":380,"type":"article-journal","abstract":"To investigate factors associated with intention to be vaccinated against COVID-19 we conducted a cross-sectional survey of 1,500 UK adults, recruited from an existing online research panel. Data were collected between 14th and 17th July 2020. We used linear regression analyses to investigate associations between intention to be vaccinated for COVID-19 “when a vaccine becomes available to you” and sociodemographic factors, previous influenza vaccination, general vaccine attitudes and beliefs, attitudes and beliefs about COVID-19, and attitudes and beliefs about a COVID-19 vaccination. 64% of participants reported being very likely to be vaccinated against COVID-19, 27% were unsure, and 9% reported being very unlikely to be vaccinated. Personal and clinical characteristics, previous influenza vaccination, general vaccination beliefs, and beliefs and attitudes about COVID-19 and a COVID-19 vaccination explained 76% of the variance in vaccination intention. Intention to be vaccinated was associated with more positive general COVID-19 vaccination beliefs and attitudes, weaker beliefs that the vaccination would cause side effects or be unsafe, greater perceived information sufficiency to make an informed decision about COVID-19 vaccination, greater perceived risk of COVID-19 to others (but not risk to oneself), older age, and having been vaccinated for influenza last winter (2019/20). Despite uncertainty around the details of a COVID-19 vaccination, most participants reported intending to be vaccinated for COVID-19. Actual uptake may be lower. Vaccination intention reflects general vaccine beliefs and attitudes. Campaigns and messaging about a COVID-19 vaccination could consider emphasizing the risk of COVID-19 to others and necessity for everyone to be vaccinated.","container-title":"Human Vaccines &amp; Immunotherapeutics","DOI":"10.1080/21645515.2020.1846397","ISSN":"2164-5515","issue":"6","note":"PMID: 33242386\nPMCID: PMC8115754","page":"1612–1621","title":"COVID-19 vaccination intention in the UK: results from the COVID-19 vaccination acceptability study (CoVAccS), a nationally representative cross-sectional survey","volume":"17","author":[{"family":"Sherman","given":"Susan M."},{"family":"Smith","given":"Louise E."},{"family":"Sim","given":"Julius"},{"family":"Amlôt","given":"Richard"},{"family":"Cutts","given":"Megan"},{"family":"Dasch","given":"Hannah"},{"family":"Rubin","given":"G James"},{"family":"Sevdalis","given":"Nick"}],"issued":{"date-parts":[["2021"]]}}},{"id":377,"uris":["http://zotero.org/users/10425122/items/UHQ8WUEA"],"itemData":{"id":377,"type":"article-journal","abstract":"Background Vaccines for COVID-19 are anticipated to be available by 2021. Vaccine uptake rate is a crucial determinant for herd immunity. We examined factors associated with acceptance of vaccine based on (1). constructs of the Health Belief Model (HBM), (2). trust in the healthcare system, new vaccine platforms and manufacturers, and (3). self-reported health outcomes. Methods A population-based, random telephone survey was performed during the peak of the third wave of COVID-19 outbreak (27/07/2020 to 27/08/2020) in Hong Kong. All adults aged ≥ 18 years were eligible. The survey included sociodemographic details; self-report health conditions; trust scales; and self-reported health outcomes. Multivariable regression analyses were applied to examine independent associations. The primary outcome is the acceptance of the COVID-19 vaccine. Results We conducted 1200 successful telephone interviews (response rate 55%). The overall vaccine acceptance rate after adjustment for population distribution was 37.2% (95% C.I. 34.5–39.9%). The projected acceptance rates exhibited a “J-shaped” pattern with age, with higher rates among young adults (18–24 years), then increased linearly with age. Multivariable regression analyses revealed that perceived severity, perceived benefits of the vaccine, cues to action, self-reported health outcomes, and trust in healthcare system or vaccine manufacturers were positive correlates of acceptance; whilst perceived access barriers and harm were negative correlates. Remarkably, perceived susceptibility to infection carried no significant association, whereas recommendation from Government (aOR = 10.2, 95% C.I. 6.54 to 15.9, p &lt; 0.001) was as the strongest driving factor for acceptance. Other key obstacles of acceptance included lack of confidence on newer vaccine platforms (43.4%) and manufacturers without track record (52.2%), which are of particular relevance to the current context. Conclusions Governmental recommendation is an important driver, whereas perceived susceptibility is not associated with acceptance of COVID-19 vaccine. These HBM constructs and independent predictors inform evidence-based formulation and implementation of vaccination strategies.","container-title":"Vaccine","DOI":"10.1016/j.vaccine.2020.12.083","ISSN":"0264-410X","issue":"7","note":"PMID: 33461834\nPMCID: PMC7832076","page":"1148–1156","title":"Acceptance of the COVID-19 vaccine based on the health belief model: A population-based survey in Hong Kong","volume":"39","author":[{"family":"Wong","given":"Martin C.S."},{"family":"Wong","given":"Eliza L.Y."},{"family":"Huang","given":"Junjie"},{"family":"Cheung","given":"Annie W.L."},{"family":"Law","given":"Kevin"},{"family":"Chong","given":"Marc K.C."},{"family":"Ng","given":"Rita W.Y."},{"family":"Lai","given":"Christopher K.C."},{"family":"Boon","given":"Siaw S."},{"family":"Lau","given":"Joseph T.F."},{"family":"Chen","given":"Zigui"},{"family":"Chan","given":"Paul K.S."}],"issued":{"date-parts":[["2021"]]}}}],"schema":"https://github.com/citation-style-language/schema/raw/master/csl-citation.json"} </w:instrText>
      </w:r>
      <w:r w:rsidR="00480BE7">
        <w:rPr>
          <w:lang w:val="it-IT"/>
        </w:rPr>
        <w:fldChar w:fldCharType="separate"/>
      </w:r>
      <w:r w:rsidR="00480BE7">
        <w:rPr>
          <w:noProof/>
        </w:rPr>
        <w:t>(Gagneux-Brunon et al., 2021; Sherman et al., 2021; Wong et al., 2021)</w:t>
      </w:r>
      <w:r w:rsidR="00480BE7">
        <w:rPr>
          <w:lang w:val="it-IT"/>
        </w:rPr>
        <w:fldChar w:fldCharType="end"/>
      </w:r>
      <w:r w:rsidRPr="00F94080">
        <w:t xml:space="preserve"> are also associated with hesitancy. Moreover, individual characteristics play an important role. Health locus of control is the degree to which one conceptualizes her/his state of health as either a consequence of personal actions (internal locus of control) or as a product of collective activities (external) </w:t>
      </w:r>
      <w:r w:rsidR="00480BE7">
        <w:fldChar w:fldCharType="begin"/>
      </w:r>
      <w:r w:rsidR="00480BE7">
        <w:instrText xml:space="preserve"> ADDIN ZOTERO_ITEM CSL_CITATION {"citationID":"tv5q0ELt","properties":{"formattedCitation":"(Luszczynska &amp; Schwarzer, 2005)","plainCitation":"(Luszczynska &amp; Schwarzer, 2005)","noteIndex":0},"citationItems":[{"id":374,"uris":["http://zotero.org/users/10425122/items/2TZ2KI7E"],"itemData":{"id":374,"type":"article-journal","abstract":"In the present commentary, the theoretical construct of Multidimensional Health Locus of Control (MHLC) is described and evaluated in terms of its contributions to health psychology. This concept is compared to other control beliefs, in particular to perceived self-efficacy. It is argued that MHLC has supplied health psychology with essential insights and has offered a great deal of intellectual stimulation. Nevertheless, for some applications, different constructs might be more promising, in particular when it comes to predicting health behavior change. MHLC measurement, specifically its factorial structure, its proximity to health outcomes and health behaviors and its cultural sensitivity are addressed. Further refinement of the instrument is recommended, and the range of promising applications needs to be clearly defined.","container-title":"Journal of Health Psychology","DOI":"10.1177/1359105305055307","ISSN":"1359-1053","issue":"5","note":"PMID: 16033785","page":"633–642","title":"Multidimensional Health Locus of Control: Comments on the Construct and its Measurement","volume":"10","author":[{"family":"Luszczynska","given":"Aleksandra"},{"family":"Schwarzer","given":"Ralf"}],"issued":{"date-parts":[["2005"]]}}}],"schema":"https://github.com/citation-style-language/schema/raw/master/csl-citation.json"} </w:instrText>
      </w:r>
      <w:r w:rsidR="00480BE7">
        <w:fldChar w:fldCharType="separate"/>
      </w:r>
      <w:r w:rsidR="00480BE7">
        <w:rPr>
          <w:noProof/>
        </w:rPr>
        <w:t>(Luszczynska &amp; Schwarzer, 2005)</w:t>
      </w:r>
      <w:r w:rsidR="00480BE7">
        <w:fldChar w:fldCharType="end"/>
      </w:r>
      <w:r w:rsidR="00480BE7" w:rsidRPr="00480BE7">
        <w:t>.</w:t>
      </w:r>
      <w:r w:rsidRPr="00F94080">
        <w:t xml:space="preserve"> Internal health locus of control </w:t>
      </w:r>
      <w:r w:rsidR="00480BE7">
        <w:fldChar w:fldCharType="begin"/>
      </w:r>
      <w:r w:rsidR="00480BE7">
        <w:instrText xml:space="preserve"> ADDIN ZOTERO_ITEM CSL_CITATION {"citationID":"IxCBmUNr","properties":{"formattedCitation":"(Kouvari et al., 2022; Olagoke et al., 2021)","plainCitation":"(Kouvari et al., 2022; Olagoke et al., 2021)","noteIndex":0},"citationItems":[{"id":375,"uris":["http://zotero.org/users/10425122/items/Y3MXDETA"],"itemData":{"id":375,"type":"article-journal","abstract":"About 35% of adult Europeans remain not fully vaccinated against COVID-19. Health literacy (HL), health consciousness (HC), and health locus of control (HLC) have been linked to different health behaviors, yet their role in COVID-19 vaccination uptake remains unclear. Here, we report preliminary findings from a cross-sectional survey conducted in Greece and Cyprus, aiming to elucidate the aforementioned associations. Participant recruitment for the current analysis took place from January to June 2022, following proportional quota sampling. The current sample comprises 190 participants, with full information on COVID-19 vaccine hesitancy (composite scale outcome) and refusal (binary outcome), as well as HL (European Health Literacy Survey Questionnaire-Q16), HC (Health Consciousness Scale-G), and HLC (Multidimensional Health Locus of Control Form B). Linear and logistic regression analyses were used to determine associations between the aforementioned factors, using the standardized versions of the independent variables. After adjusting for sociodemographic factors and other predictors of vaccination status, HL (β, 95% CI: -2.56, -3.76; -1.36), ‘internal’ HLC (-2.76, -3.79; -1.73) and ‘health professionals’ HLC (-2.64, -3.66; -1.63) were strongly and negatively associated with vaccine hesitancy, while HC showed a weaker association in the same direction (-1.46, -2.58; -0.35). In contrast, ‘chance’ HLC was strongly and positively associated with vaccine hesitancy (4.40, 3.37; 5.43). Similar results were detected when vaccine refusal was used as a binary outcome. Health literacy and locus of control and to a lesser extent health consciousness, are independent predictors of COVID-19 vaccine hesitancy and refusal. Increasing vaccination uptake via programs aiming at enhancing health literacy and shifting health locus of control, can have a significant impact on COVID-19 pandemic management internationally. • Health literacy, locus of control and to a lesser extent consciousness, are novel predictors of vaccine hesitancy and refusal in two Eastern Mediterranean European populations. • Increasing health literacy and shifting health locus of control could render programs aiming to increase COVID-19 vaccine uptake more targeted and effective, internationally.","container-title":"The European Journal of Public Health","DOI":"10.1093/eurpub/ckac129.640","ISSN":"1101-1262","issue":"Suppl 3","note":"PMCID: PMC9593901","page":"ckac129.640","title":"Health literacy, consciousness, and locus of control in relation to vaccine hesitancy and refusal","volume":"32","author":[{"family":"Kouvari","given":"K"},{"family":"Hadjikou","given":"A"},{"family":"Heraclidou","given":"I"},{"family":"Heraclides","given":"A"}],"issued":{"date-parts":[["2022"]]}}},{"id":376,"uris":["http://zotero.org/users/10425122/items/G8PPH68U"],"itemData":{"id":376,"type":"article-journal","abstract":"The urgency to develop a vaccine against the 2019 coronavirus (COVID-19) has waxed stronger in speed, scale, and scope. However, wisdom dictates that we take a vantage position and start to examine the demographic predictors of COVID-19 vaccine hesitancy. The objective of this study was to examine the role of health locus of control (HLOC) in the relationship between religiosity and COVID-19 vaccination intention. In a cross-sectional survey (N = 501), we found a significantly negative association between religiosity and COVID-19 vaccination intention. This relationship was partially mediated by external HLOC. Collaborative efforts with religious institutions may influence COVID-19 vaccine uptake.","container-title":"Journal of Religion and Health","DOI":"10.1007/s10943-020-01090-9","ISSN":"0022-4197","issue":"1","note":"PMID: 33125543\nPMCID: PMC7596314","page":"65–80","title":"Intention to Vaccinate Against the Novel 2019 Coronavirus Disease: The Role of Health Locus of Control and Religiosity","volume":"60","author":[{"family":"Olagoke","given":"Ayokunle A."},{"family":"Olagoke","given":"Olakanmi O."},{"family":"Hughes","given":"Ashley M."}],"issued":{"date-parts":[["2021"]]}}}],"schema":"https://github.com/citation-style-language/schema/raw/master/csl-citation.json"} </w:instrText>
      </w:r>
      <w:r w:rsidR="00480BE7">
        <w:fldChar w:fldCharType="separate"/>
      </w:r>
      <w:r w:rsidR="00480BE7">
        <w:rPr>
          <w:noProof/>
        </w:rPr>
        <w:t>(Kouvari et al., 2022; Olagoke et al., 2021)</w:t>
      </w:r>
      <w:r w:rsidR="00480BE7">
        <w:fldChar w:fldCharType="end"/>
      </w:r>
      <w:r w:rsidRPr="00F94080">
        <w:t xml:space="preserve">, low compliance with preventive measures </w:t>
      </w:r>
      <w:r w:rsidR="00480BE7">
        <w:fldChar w:fldCharType="begin"/>
      </w:r>
      <w:r w:rsidR="00480BE7">
        <w:instrText xml:space="preserve"> ADDIN ZOTERO_ITEM CSL_CITATION {"citationID":"GBmuU9iR","properties":{"formattedCitation":"(Pogue et al., 2020; Schwarzinger et al., 2021)","plainCitation":"(Pogue et al., 2020; Schwarzinger et al., 2021)","noteIndex":0},"citationItems":[{"id":381,"uris":["http://zotero.org/users/10425122/items/PT4JWQQB"],"itemData":{"id":381,"type":"article-journal","abstract":"The COVID-19 pandemic continues to ravage the world, with the United States being highly affected. A vaccine provides the best hope for a permanent solution to controlling the pandemic. However, to be effective, a vaccine must be accepted and used by a large majority of the population. The aim of this study was to understand the attitudes towards and obstacles facing vaccination with a potential COVID-19 vaccine. To measure these attitudes a survey was administered to 316 respondents across the United States by a survey corporation. Structural equation modeling was used to analyze the relationships of several factors with attitudes toward potential COVID-19 vaccination. Prior vaccine usage and attitudes predicted attitudes towards COVID-19 vaccination. Assessment of the severity of COVID-19 for the United States was also predictive. Approximately 68% of all respondents were supportive of being vaccinated for COVID-19, but side effects, efficacy and length of testing remained concerns. Longer testing, increased efficacy and development in the United States were significantly associated with increased vaccine acceptance. Messages promoting COVID-19 vaccination should seek to alleviate the concerns of those who are already vaccine-hesitant. Messaging directed at the benefits of vaccination for the United States as a country would address the second predictive factor. Enough time should be taken to allay concerns about both short- and long-term side effects before a vaccine is released.","container-title":"Vaccines","DOI":"10.3390/vaccines8040582","ISSN":"2076-393X","issue":"4","note":"PMID: 33022917\nPMCID: PMC7711655","page":"582","title":"Influences on Attitudes Regarding Potential COVID-19 Vaccination in the United States","volume":"8","author":[{"family":"Pogue","given":"Kendall"},{"family":"Jensen","given":"Jamie L."},{"family":"Stancil","given":"Carter K."},{"family":"Ferguson","given":"Daniel G."},{"family":"Hughes","given":"Savannah J."},{"family":"Mello","given":"Emily J."},{"family":"Burgess","given":"Ryan"},{"family":"Berges","given":"Bradford K."},{"family":"Quaye","given":"Abraham"},{"family":"Poole","given":"Brian D."}],"issued":{"date-parts":[["2020"]]}}},{"id":373,"uris":["http://zotero.org/users/10425122/items/UBIWK7WH"],"itemData":{"id":373,"type":"article-journal","abstract":"Background Opinion polls on vaccination intentions suggest that COVID-19 vaccine hesitancy is increasing worldwide; however, the usefulness of opinion polls to prepare mass vaccination campaigns for specific new vaccines and to estimate acceptance in a country's population is limited. We therefore aimed to assess the effects of vaccine characteristics, information on herd immunity, and general practitioner (GP) recommendation on vaccine hesitancy in a representative working-age population in France. Methods In this survey experiment, adults aged 18–64 years residing in France, with no history of SARS-CoV-2 infection, were randomly selected from an online survey research panel in July, 2020, stratified by gender, age, education, household size, and region and area of residence to be representative of the French population. Participants completed an online questionnaire on their background and vaccination behaviour-related variables (including past vaccine compliance, risk factors for severe COVID-19, and COVID-19 perceptions and experience), and were then randomly assigned according to a full factorial design to one of three groups to receive differing information on herd immunity (&gt;50% of adults aged 18–64 years must be immunised [either by vaccination or infection]; &gt;50% of adults must be immunised [either by vaccination or infection]; or no information on herd immunity) and to one of two groups regarding GP recommendation of vaccination (GP recommends vaccination or expresses no opinion). Participants then completed a series of eight discrete choice tasks designed to assess vaccine acceptance or refusal based on hypothetical vaccine characteristics (efficacy [50%, 80%, 90%, or 100%], risk of serious side-effects [1 in 10 000 or 1 in 100 000], location of manufacture [EU, USA, or China], and place of administration [GP practice, local pharmacy, or mass vaccination centre]). Responses were analysed with a two-part model to disentangle outright vaccine refusal (irrespective of vaccine characteristics, defined as opting for no vaccination in all eight tasks) from vaccine hesitancy (acceptance depending on vaccine characteristics). Findings Survey responses were collected from 1942 working-age adults, of whom 560 (28·8%) opted for no vaccination in all eight tasks (outright vaccine refusal) and 1382 (71·2%) did not. In our model, outright vaccine refusal and vaccine hesitancy were both significantly associated with female gender, age (with an inverted U-shaped relationship), lower educational level, poor compliance with recommended vaccinations in the past, and no report of specified chronic conditions (ie, no hypertension [for vaccine hesitancy] or no chronic conditions other than hypertension [for outright vaccine refusal]). Outright vaccine refusal was also associated with a lower perceived severity of COVID-19, whereas vaccine hesitancy was lower when herd immunity benefits were communicated and in working versus non-working individuals, and those with experience of COVID-19 (had symptoms or knew someone with COVID-19). For a mass vaccination campaign involving mass vaccination centres and communication of herd immunity benefits, our model predicted outright vaccine refusal in 29·4% (95% CI 28·6–30·2) of the French working-age population. Predicted hesitancy was highest for vaccines manufactured in China with 50% efficacy and a 1 in 10 000 risk of serious side-effects (vaccine acceptance 27·4% [26·8–28·0]), and lowest for a vaccine manufactured in the EU with 90% efficacy and a 1 in 100 000 risk of serious side-effects (vaccine acceptance 61·3% [60·5–62·1]). Interpretation COVID-19 vaccine acceptance depends on the characteristics of new vaccines and the national vaccination strategy, among various other factors, in the working-age population in France. Funding French Public Health Agency (Santé Publique France).","container-title":"The Lancet Public Health","DOI":"10.1016/s2468-2667(21)00012-8","ISSN":"2468-2667","issue":"4","note":"PMID: 33556325\nPMCID: PMC7864787","page":"e210–e221","title":"COVID-19 vaccine hesitancy in a representative working-age population in France: a survey experiment based on vaccine characteristics","volume":"6","author":[{"family":"Schwarzinger","given":"Michaël"},{"family":"Watson","given":"Verity"},{"family":"Arwidson","given":"Pierre"},{"family":"Alla","given":"François"},{"family":"Luchini","given":"Stéphane"}],"issued":{"date-parts":[["2021"]]}}}],"schema":"https://github.com/citation-style-language/schema/raw/master/csl-citation.json"} </w:instrText>
      </w:r>
      <w:r w:rsidR="00480BE7">
        <w:fldChar w:fldCharType="separate"/>
      </w:r>
      <w:r w:rsidR="00480BE7">
        <w:rPr>
          <w:noProof/>
        </w:rPr>
        <w:t>(Pogue et al., 2020; Schwarzinger et al., 2021)</w:t>
      </w:r>
      <w:r w:rsidR="00480BE7">
        <w:fldChar w:fldCharType="end"/>
      </w:r>
      <w:r w:rsidR="00480BE7" w:rsidRPr="00480BE7">
        <w:t xml:space="preserve"> </w:t>
      </w:r>
      <w:r w:rsidRPr="00F94080">
        <w:t>and a lesser sense of collective responsibility are associated with vaccine hesitancy</w:t>
      </w:r>
      <w:r w:rsidR="00480BE7" w:rsidRPr="00480BE7">
        <w:t xml:space="preserve"> </w:t>
      </w:r>
      <w:r w:rsidR="00480BE7">
        <w:fldChar w:fldCharType="begin"/>
      </w:r>
      <w:r w:rsidR="00480BE7">
        <w:instrText xml:space="preserve"> ADDIN ZOTERO_ITEM CSL_CITATION {"citationID":"R0gsuavd","properties":{"formattedCitation":"(Barello et al., 2020; Bokemper et al., 2021; Loomba et al., 2021)","plainCitation":"(Barello et al., 2020; Bokemper et al., 2021; Loomba et al., 2021)","noteIndex":0},"citationItems":[{"id":371,"uris":["http://zotero.org/users/10425122/items/UYSM359D"],"itemData":{"id":371,"type":"article-journal","abstract":"The debate around vaccines has been in the spotlight over the last few years in Europe, both within the scientific community and the general public debate. In this regard, the case of the Italian vaccination debate is particularly worrying given that Italy has been one of the European countries with the highest number of measles cases in the recent past. According to this scenario, we conducted a cross-sectional study on a convenience sample of Italian university students aimed at: (1) exploring their attitudes towards a future vaccine to prevent COVID-19 and; (2) evaluating the impact of the university curricula (healthcare vs. non-healthcare curricula) on the intention to vaccinate. Descriptive analysis on the 735 students that answered to the question on the intention to vaccinate showed that 633 (86.1%) students reported that they would choose to have a vaccination for the COVID-19 coronavirus; on the other side, 102 (13.9%) students reported that they would not or be not sure to vaccine (low intention to vaccinate). This means that in our sample more than one student out of 10 shows low intention to vaccinate (vaccine hesitancy). Furthermore, when running analysis comparing healthcare students versus non-healthcare students we found no significant differences in responses’ percentage distribution (p = .097). Understanding the student’s perspective about the future COVID-19 vaccine and supporting their health engagement and consciousness may be useful in planning adequate response and multidisciplinary educational strategies—including the psychological perspective on vaccine hesitancy underlying factors - in the post-pandemic period.","container-title":"European Journal of Epidemiology","DOI":"10.1007/s10654-020-00670-z","ISSN":"0393-2990","issue":"8","note":"PMID: 32761440\nPMCID: PMC7409616","page":"781–783","title":"‘Vaccine hesitancy’ among university students in Italy during the COVID-19 pandemic","volume":"35","author":[{"family":"Barello","given":"Serena"},{"family":"Nania","given":"Tiziana"},{"family":"Dellafiore","given":"Federica"},{"family":"Graffigna","given":"Guendalina"},{"family":"Caruso","given":"Rosario"}],"issued":{"date-parts":[["2020"]]}}},{"id":369,"uris":["http://zotero.org/users/10425122/items/EF22HYK3"],"itemData":{"id":369,"type":"article-journal","abstract":"The global spread of COVID-19 has created an urgent need for a safe and effective vaccine. However, in the United States, the politicization of the vaccine approval process, including which public figures are endorsing it, could undermine beliefs about its safety and efficacy and willingness to receive it. Using a pair of randomized survey experiments, we show that announcing approval of a COVID-19 vaccine one week before the presidential election compared to one week after considerably reduces both beliefs about its safety and efficacy and intended uptake. However, endorsement by Dr. Anthony Fauci increases confidence and uptake among all partisan subgroups. Further, an endorsement by Dr. Fauci increased uptake and confidence in safety even if a vaccine receives pre-election approval. The results here suggest that perceptions of political influence in COVID-19 vaccine approval could significantly undermine the viability of a vaccine as a strategy to end the pandemic.","container-title":"Vaccine","DOI":"10.1016/j.vaccine.2020.12.048","ISSN":"0264-410X","issue":"5","note":"PMID: 33390295\nPMCID: PMC7744009","page":"825–829","title":"Timing of COVID-19 vaccine approval and endorsement by public figures","volume":"39","author":[{"family":"Bokemper","given":"Scott E."},{"family":"Huber","given":"Gregory A."},{"family":"Gerber","given":"Alan S."},{"family":"James","given":"Erin K."},{"family":"Omer","given":"Saad B."}],"issued":{"date-parts":[["2021"]]}}},{"id":370,"uris":["http://zotero.org/users/10425122/items/5Z634GYX"],"itemData":{"id":370,"type":"article-journal","abstract":"Widespread acceptance of a vaccine for severe acute respiratory syndrome coronavirus 2 (SARS-CoV-2) will be the next major step in fighting the coronavirus disease 2019 (COVID-19) pandemic, but achieving high uptake will be a challenge and may be impeded by online misinformation. To inform successful vaccination campaigns, we conducted a randomized controlled trial in the UK and the USA to quantify how exposure to online misinformation around COVID-19 vaccines affects intent to vaccinate to protect oneself or others. Here we </w:instrText>
      </w:r>
      <w:r w:rsidR="00480BE7" w:rsidRPr="00B5111A">
        <w:instrText xml:space="preserve">show that in both countries—as of September 2020—fewer people would ‘definitely’ take a vaccine than is likely required for herd immunity, and that, relative to factual information, recent misinformation induced a decline in intent of 6.2 percentage points (95th percentile interval 3.9 to 8.5) in the UK and 6.4 percentage points (95th percentile interval 4.0 to 8.8) in the USA among those who stated that they would definitely accept a vaccine. We also find that some sociodemographic groups are differentially impacted by exposure to misinformation. Finally, we show that scientific-sounding misinformation is more strongly associated with declines in vaccination intent. A randomized controlled trial reveals that exposure to recent online misinformation around a COVID-19 vaccine induces a decline in intent to vaccinate among adults in the UK and the USA.","container-title":"Nature Human Behaviour","DOI":"10.1038/s41562-021-01056-1","issue":"3","note":"PMID: 33547453","page":"337–348","title":"Measuring the impact of COVID-19 vaccine misinformation on vaccination intent in the UK and USA","volume":"5","author":[{"family":"Loomba","given":"Sahil"},{"family":"Figueiredo","given":"Alexandre","dropping-particle":"de"},{"family":"Piatek","given":"Simon J."},{"family":"Graaf","given":"Kristen","dropping-particle":"de"},{"family":"Larson","given":"Heidi J."}],"issued":{"date-parts":[["2021"]]}}}],"schema":"https://github.com/citation-style-language/schema/raw/master/csl-citation.json"} </w:instrText>
      </w:r>
      <w:r w:rsidR="00480BE7">
        <w:fldChar w:fldCharType="separate"/>
      </w:r>
      <w:r w:rsidR="00480BE7" w:rsidRPr="00B5111A">
        <w:rPr>
          <w:noProof/>
        </w:rPr>
        <w:t>(Barello et al., 2020; Bokemper et al., 2021; Loomba et al., 2021)</w:t>
      </w:r>
      <w:r w:rsidR="00480BE7">
        <w:fldChar w:fldCharType="end"/>
      </w:r>
      <w:r w:rsidRPr="00F94080">
        <w:t>. The last group of determinants is related to vaccines’ characteristics. Scholars highlight the role of negative attitudes toward vaccines, such as believing they are unsafe</w:t>
      </w:r>
      <w:r w:rsidR="00480BE7" w:rsidRPr="00480BE7">
        <w:t xml:space="preserve"> </w:t>
      </w:r>
      <w:r w:rsidR="00480BE7">
        <w:fldChar w:fldCharType="begin"/>
      </w:r>
      <w:r w:rsidR="00480BE7">
        <w:instrText xml:space="preserve"> ADDIN ZOTERO_ITEM CSL_CITATION {"citationID":"CzWuVgZf","properties":{"formattedCitation":"(Motta, 2021; Seale et al., 2021)","plainCitation":"(Motta, 2021; Seale et al., 2021)","noteIndex":0},"citationItems":[{"id":368,"uris":["http://zotero.org/users/10425122/items/ARGSAQK3"],"itemData":{"id":368,"type":"article-journal","abstract":"Objective A vaccine for the novel coronavirus (COVID-19) could prove critical in establishing herd immunity. While past work has documented the prevalence and correlates of vaccine refusal, I assess how a less explored topic – properties of vaccines themselves (e.g., national origin, efficacy, risk of side effects) – might influence vaccination intentions. This information can help public health officials preempt differential intentions to vaccinate, and inform health communication campaigns that encourage vaccine uptake. Rationale Previous research suggests that Americans should be more likely to intend to vaccinate if presented with a US-made vaccine that carries a low risk of minor side effects, is highly effective, is administered in just one dose, and has spent significant time in development. Methods I administered a conjoint experiment (N = 5940 trials) in a demographically representative survey (N = 990) of US adults to assess how variation in vaccine properties influence self-reported public vaccination intentions. Results I find that respondents prefer vaccines that are US-made, over 90% effective, and carry a less than 1% risk of minor side effects. This is potentially problematic, as some leading vaccine candidates are produced outside the US, and/or may be more likely to produce minor side effects than respondents would otherwise prefer. Worryingly, intended vaccine refusal rates exceed 30% for a vaccine meeting these optimal characteristics. Encouragingly, though, Americans show no clear preference for vaccines administered in one dose, or developed in under a year, and do not appear to draw a distinction between weakened viral vs. mRNA-based vaccines. Conclusion Americans’ preferences for a novel coronavirus vaccine may be at odds with the vaccine that ultimately hits the market, posing both policy and health communication challenges for vaccination uptake.","container-title":"Social Science &amp; Medicine","DOI":"10.1016/j.socscimed.2020.113642","ISSN":"0277-9536","note":"PMID: 33414031\nPMCID: PMC7832269","page":"113642","title":"Can a COVID-19 vaccine live up to Americans’ expectations? A conjoint analysis of how vaccine characteristics influence vaccination intentions","volume":"272","author":[{"family":"Motta","given":"Matt"}],"issued":{"date-parts":[["2021"]]}}},{"id":382,"uris":["http://zotero.org/users/10425122/items/3B6GV9TE"],"itemData":{"id":382,"type":"article-journal","abstract":"As immunisation program launches have previously demonstrated, it is essential that careful planning occurs now to ensure the readiness of the public for a COVID-19 vaccine. As part of that process, this study aimed to understand the public perceptions regarding a future COVID-19 vaccine in Australia. A national cross-sectional online survey of 1420 Australian adults (18 years and older) was undertaken between 18 and 24 March 2020. The statistical analysis of the data included univariate and multivariable logistic regression model analysis. Respondents generally held positive views towards vaccination. Eighty percent (n = 1143) agreed with the statement that getting myself vaccinated for COVID-19 would be a good way to protect myself against infection. Females (n = 614, 83%) were more likely to agree with the statement than males (n = 529, 78%) (aOR = 1.4 (95% CI: 1.1–1.8); P = 0.03), while 91% of those aged 70 years and above agreed compared to 76% of 18–29-year-olds (aOR = 2.3 (95% CI:1.2–4.1); P = 0.008). Agreement was also higher for those with a self-reported chronic disease (aOR = 1.4 (95% CI: 1.1–2.0); P = 0.04) and among those who held private health insurance (aOR = 1.7 (95% CI: 1.3–2.3); P &lt; 0.001). Beyond individual perceptions, 78% stated that their decision to vaccinate would be supported by family and friends. This study presents an early indication of public perceptions towards a future COVID-19 vaccine and represents a starting point for mapping vaccine perceptions. To support an effective launch of these new vaccines, governments need to use this time to understand the communities concerns and to identify the strategies that will support engagement.","container-title":"BMC Infectious Diseases","DOI":"10.1186/s12879-021-05833-1","issue":"1","note":"PMID: 33509104\nPMCID: PMC7840792","page":"120","title":"Examining Australian public perceptions and behaviors towards a future COVID-19 vaccine","volume":"21","author":[{"family":"Seale","given":"Holly"},{"family":"Heywood","given":"Anita E."},{"family":"Leask","given":"Julie"},{"family":"Sheel","given":"Meru"},{"family":"Durrheim","given":"David N."},{"family":"Bolsewicz","given":"Katarzyna"},{"family":"Kaur","given":"Rajneesh"}],"issued":{"date-parts":[["2021"]]}}}],"schema":"https://github.com/citation-style-language/schema/raw/master/csl-citation.json"} </w:instrText>
      </w:r>
      <w:r w:rsidR="00480BE7">
        <w:fldChar w:fldCharType="separate"/>
      </w:r>
      <w:r w:rsidR="00480BE7">
        <w:rPr>
          <w:noProof/>
        </w:rPr>
        <w:t>(Motta, 2021; Seale et al., 2021)</w:t>
      </w:r>
      <w:r w:rsidR="00480BE7">
        <w:fldChar w:fldCharType="end"/>
      </w:r>
      <w:r w:rsidRPr="00F94080">
        <w:t xml:space="preserve"> or too rapidly developed </w:t>
      </w:r>
      <w:r w:rsidR="00480BE7">
        <w:fldChar w:fldCharType="begin"/>
      </w:r>
      <w:r w:rsidR="00480BE7">
        <w:instrText xml:space="preserve"> ADDIN ZOTERO_ITEM CSL_CITATION {"citationID":"1fQTu5hV","properties":{"formattedCitation":"(Alabdulla et al., 2021; Pogue et al., 2020)","plainCitation":"(Alabdulla et al., 2021; Pogue et al., 2020)","noteIndex":0},"citationItems":[{"id":394,"uris":["http://zotero.org/users/10425122/items/QFPV8ZZW"],"itemData":{"id":394,"type":"article-journal","abstract":"Vaccine hesitancy is a global threat undermining control of preventable infections. Emerging evidence suggests that hesitancy to COVID‐19 vaccination varies globally. Qatar has a unique population with around 90% of the population being economic migrants, and the degree and determinants of hesitancy are not known. This study was carried out to evaluate the degree of vaccine hesitancy and its socio‐demographic and attitudinal determinants across a representative sample. A national cross‐sectional study using validated hesitancy measurement tool was carried out from October 15, 2020, to November 15, 2020. A total of 7821 adults completed the survey. Relevant socio‐demographic data along with attitudes and beliefs around COVID‐19 vaccination were collected from the respondents. 20.2% of the respondents stated they would not take the vaccine and 19.8% reported being unsure about taking the prospective COVID‐19 vaccine. Citizens and females were more likely to be vaccine hesitators than immigrants and males, respectively. Concerns around the safety of COVID‐19 vaccine and its longer‐term side effects were the main concerns cited. Personal research around COVID‐19 and vaccine were by far the most preferred methods that would increase confidence in accepting the vaccine across all demographic groups. This study reports an overall vaccine hesitancy of 20% toward the COVID‐19 vaccine and the influence of social media on attitudes toward vaccination which is in keeping with emerging evidence. This finding comes at a time that is close to the start of mass immunization and reports from a migrant‐majority population highlighting important socio‐demographic determinants around vaccine hesitancy.","container-title":"Influenza and Other Respiratory Viruses","DOI":"10.1111/irv.12847","ISSN":"1750-2640","issue":"3","note":"PMID: 33605010\nPMCID: PMC8014858","page":"361–370","title":"COVID‐19 vaccine hesitancy and attitudes in Qatar: A national cross‐sectional survey of a migrant‐majority population","volume":"15","author":[{"family":"Alabdulla","given":"Majid"},{"family":"Reagu","given":"Shuja Mohd"},{"family":"Al‐Khal","given":"Abdullatif"},{"family":"Elzain","given":"Marwa"},{"family":"Jones","given":"Roland M."}],"issued":{"date-parts":[["2021"]]}}},{"id":381,"uris":["http://zotero.org/users/10425122/items/PT4JWQQB"],"itemData":{"id":381,"type":"article-journal","abstract":"The COVID-19 pandemic continues to ravage the world, with the United States being highly affected. A vaccine provides the best hope for a permanent solution to controlling the pandemic. However, to be effective, a vaccine must be accepted and used by a large majority of the population. The aim of this study was to understand the attitudes towards and obstacles facing vaccination with a potential COVID-19 vaccine. To measure these attitudes a survey was administered to 316 respondents across the United States by a survey corporation. Structural equation modeling was used to analyze the relationships of several factors with attitudes toward potential COVID-19 vaccination. Prior vaccine usage and attitudes predicted attitudes towards COVID-19 vaccination. Assessment of the severity of COVID-19 for the United States was also predictive. Approximately 68% of all respondents were supportive of being vaccinated for COVID-19, but side effects, efficacy and length of testing remained concerns. Longer testing, increased efficacy and development in the United States were significantly associated with increased vaccine acceptance. Messages promoting COVID-19 vaccination should seek to alleviate the concerns of those who are already vaccine-hesitant. Messaging directed at the benefits of vaccination for the United States as a country would address the second predictive factor. Enough time should be taken to allay concerns about both short- and long-term side effects before a vaccine is released.","container-title":"Vaccines","DOI":"10.3390/vaccines8040582","ISSN":"2076-393X","issue":"4","note":"PMID: 33022917\nPMCID: PMC7711655","page":"582","title":"Influences on Attitudes Regarding Potential COVID-19 Vaccination in the United States","volume":"8","author":[{"family":"Pogue","given":"Kendall"},{"family":"Jensen","given":"Jamie L."},{"family":"Stancil","given":"Carter K."},{"family":"Ferguson","given":"Daniel G."},{"family":"Hughes","given":"Savannah J."},{"family":"Mello","given":"Emily J."},{"family":"Burgess","given":"Ryan"},{"family":"Berges","given":"Bradford K."},{"family":"Quaye","given":"Abraham"},{"family":"Poole","given":"Brian D."}],"issued":{"date-parts":[["2020"]]}}}],"schema":"https://github.com/citation-style-language/schema/raw/master/csl-citation.json"} </w:instrText>
      </w:r>
      <w:r w:rsidR="00480BE7">
        <w:fldChar w:fldCharType="separate"/>
      </w:r>
      <w:r w:rsidR="00480BE7">
        <w:rPr>
          <w:noProof/>
        </w:rPr>
        <w:t>(Alabdulla et al., 2021; Pogue et al., 2020)</w:t>
      </w:r>
      <w:r w:rsidR="00480BE7">
        <w:fldChar w:fldCharType="end"/>
      </w:r>
      <w:r w:rsidRPr="00F94080">
        <w:t xml:space="preserve">. Fear of needles </w:t>
      </w:r>
      <w:r w:rsidR="00480BE7">
        <w:fldChar w:fldCharType="begin"/>
      </w:r>
      <w:r w:rsidR="00480BE7">
        <w:instrText xml:space="preserve"> ADDIN ZOTERO_ITEM CSL_CITATION {"citationID":"nHSaKcho","properties":{"formattedCitation":"(Cherian et al., 2022)","plainCitation":"(Cherian et al., 2022)","noteIndex":0},"citationItems":[{"id":414,"uris":["http://zotero.org/users/10425122/items/CTLV6WU2"],"itemData":{"id":414,"type":"article-journal","abstract":"Background The immunization program has been an important part of Indian public health policy for three decades; yet only 62% of children are being fully immunized. Vaccine hesitancy is a major contributor to the immunization gap that needs to be addressed.\nMethods A cross-sectional descriptive study of prevalence and predictors of vaccine hesitancy was conducted in 350 households having at least one child in the age group of 13–24 months. Statistical analysis was done using chi-square test and logistic regression.\nResults The prevalence of vaccine hesitancy was 28.9%. Fear of needles, concern about pain during vaccination, lack of family support, and apprehension regarding side effects were ascertained as reasons for vaccine hesitancy. The type of family, time taken to reach the health facility and antenatal care received by the mother were significant predictors of vaccine hesitancy.\nConclusion The prevalence of vaccine hesitancy was found to be high. In 2019, the World Health Organization earmarked vaccine hesitancy as one of the major roadblocks to better global health. A better understanding of the subject can help public health agencies enhance vaccination coverage, not just in children but also as a tool to protect entire populations in this age of re-emerging epidemics.","container-title":"Journal of Public Health","DOI":"10.1093/pubmed/fdab007","ISSN":"1741-3842, 1741-3850","issue":"1","language":"en","page":"70-76","source":"DOI.org (Crossref)","title":"Prevalence and predictors of vaccine hesitancy in an urbanized agglomeration of New Delhi, India","volume":"44","author":[{"family":"Cherian","given":"Vinu"},{"family":"Saini","given":"Narinder Kumar"},{"family":"Sharma","given":"Arun Kumar"},{"family":"Philip","given":"Joel"}],"issued":{"date-parts":[["2022",3,7]]}}}],"schema":"https://github.com/citation-style-language/schema/raw/master/csl-citation.json"} </w:instrText>
      </w:r>
      <w:r w:rsidR="00480BE7">
        <w:fldChar w:fldCharType="separate"/>
      </w:r>
      <w:r w:rsidR="00480BE7">
        <w:rPr>
          <w:noProof/>
        </w:rPr>
        <w:t>(Cherian et al., 2022)</w:t>
      </w:r>
      <w:r w:rsidR="00480BE7">
        <w:fldChar w:fldCharType="end"/>
      </w:r>
      <w:r w:rsidR="00480BE7" w:rsidRPr="00480BE7">
        <w:t xml:space="preserve"> </w:t>
      </w:r>
      <w:r w:rsidRPr="00F94080">
        <w:t xml:space="preserve">and disapproval of mandatory vaccination policies </w:t>
      </w:r>
      <w:r w:rsidR="00480BE7">
        <w:fldChar w:fldCharType="begin"/>
      </w:r>
      <w:r w:rsidR="00480BE7">
        <w:instrText xml:space="preserve"> ADDIN ZOTERO_ITEM CSL_CITATION {"citationID":"Jw8lj4VH","properties":{"formattedCitation":"(Meier et al., 2019; Rieger et al., 2022)","plainCitation":"(Meier et al., 2019; Rieger et al., 2022)","noteIndex":0},"citationItems":[{"id":417,"uris":["http://zotero.org/users/10425122/items/C2ZYG7TD"],"itemData":{"id":417,"type":"article-journal","abstract":"Abstract\n            \n              Background\n              More and more countries are discussing the introduction of mandatory vaccination policies. Yet, little is known about individuals’ actual preferences for voluntary vs. mandatory vaccination policies, and the psychological processes underlying such preferences. Objective of the present research was to investigate the development of individual preferences for voluntary and mandatory vaccination policies.\n            \n            \n              Methods\n              We conducted a controlled laboratory study (N = 168) using a repeated interactive vaccination game with decision-contingent monetary incentives. In each round, participants decided in favour of either a voluntary or a mandatory vaccination policy, followed by the vaccination decision (voluntary policy) or vaccination (mandatory policy) which both resulted in actual (financial) consequences.\n            \n            \n              Results\n              We observe large heterogeneity in participants’ preferences for the voluntary vs. mandatory policy. Under voluntary vaccination, the preference for the mandatory policy increased with decreasing vaccination rates (and increasing risk of infection). In contrast, experiencing vaccine-adverse events under mandatory vaccination increased the preference for the voluntary policy. The latter effect was larger for individuals with a negative (vs. positive) attitude toward vaccination. Overall, as individuals gathered experiences under both the voluntary and the mandatory policy, the preference for voluntary vaccination policy increased over time.\n            \n            \n              Conclusions\n              Individuals are more willing to accept mandatory vaccination policies when vaccination rates are low. In the long run, the occurrence of vaccine-adverse events may spark opposition to mandatory vaccination.","container-title":"European Journal of Public Health","DOI":"10.1093/eurpub/ckz181","ISSN":"1101-1262, 1464-360X","language":"en","page":"ckz181","source":"DOI.org (Crossref)","title":"Individual preferences for voluntary vs. mandatory vaccination policies: an experimental analysis","title-short":"Individual preferences for voluntary vs. mandatory vaccination policies","author":[{"family":"Meier","given":"Nicolas W"},{"family":"Böhm","given":"Robert"},{"family":"Korn","given":"Lars"},{"family":"Betsch","given":"Cornelia"}],"issued":{"date-parts":[["2019",10,18]]}}},{"id":421,"uris":["http://zotero.org/users/10425122/items/DSSRMGFG"],"itemData":{"id":421,"type":"article-journal","abstract":"Background: Adequate immunity to COVID-19 apparently cannot be attained in Germany by voluntary vaccination alone, and therefore the introduction of mandatory COVID-19 vaccination is still under consideration. We present findings on the potential acceptance of such a requirement by the German population, and we report on the reasons given for accepting or rejecting it and how these reasons vary according to population subgroup.\nMethods: We used representative data from the Socio-Economic Panel for the period January to December 2021. We linked the respondents’ answers concerning mandatory COVID-19 vaccination to information about their sociodemographic characteristics, state of health, political attitudes, and degree of confidence in the judicial and political systems. We analyzed these data using univariate, bivariate, and multivariate statistical methods.\nResults: Just over half of the respondents (50.44% [49.08%; 51.79%]) favored mandatory COVID-19 vaccination. Among the supporters, the reason most frequently given (95.22% [94.45; 96.00]) was that, without such a requirement, not enough people would be vaccinated. Among the opponents of mandatory COVID-19 vaccination (49.56% [48.21%; 50.92%]), by far the most common reason given for opposing it was a desire to uphold individual freedom (91.36% [90.31%; 92.40%]). Persons supporting mandatory COVID-19 vaccination, on average, older than those who opposed it; they less commonly had an education beyond secondary school, were less healthy, tended to have no children, had centrist political views, and expressed more confidence in the political system. The largest difference between the two groups was that about 90% of supporters of mandatory COVID-19 vaccination were themselves vaccinated, compared to only about 62% of opponents.\nConclusion: The lack of consensus on this issue among politicians and physicians in Germany is reflected in a similar lack of consensus in the German population as a whole. A discussion of the appropriate understanding of individual freedom would be the most promising way to widen the acceptance of mandatory COVID-19 vaccination. A commonly expressed conception of freedom that permits the deliberate endangerment of other people’s health seems morally questionable.","container-title":"Deutsches Ärzteblatt international","DOI":"10.3238/arztebl.m2022.0174","ISSN":"1866-0452","language":"en","source":"DOI.org (Crossref)","title":"Attitudes toward mandatory COVID-19 vaccination in Germany","URL":"https://www.aerzteblatt.de/10.3238/arztebl.m2022.0174","author":[{"family":"Rieger","given":"Thomas"},{"family":"Schmidt-Petri","given":"Christoph"},{"family":"Schröder","given":"Carsten"}],"accessed":{"date-parts":[["2023",7,5]]},"issued":{"date-parts":[["2022",5,13]]}}}],"schema":"https://github.com/citation-style-language/schema/raw/master/csl-citation.json"} </w:instrText>
      </w:r>
      <w:r w:rsidR="00480BE7">
        <w:fldChar w:fldCharType="separate"/>
      </w:r>
      <w:r w:rsidR="00480BE7">
        <w:rPr>
          <w:noProof/>
        </w:rPr>
        <w:t>(Meier et al., 2019; Rieger et al., 2022)</w:t>
      </w:r>
      <w:r w:rsidR="00480BE7">
        <w:fldChar w:fldCharType="end"/>
      </w:r>
      <w:r w:rsidR="00480BE7" w:rsidRPr="00480BE7">
        <w:t xml:space="preserve"> </w:t>
      </w:r>
      <w:r w:rsidRPr="00F94080">
        <w:t>are important factors as well.</w:t>
      </w:r>
    </w:p>
    <w:p w14:paraId="760BBB73" w14:textId="77777777" w:rsidR="00F94080" w:rsidRDefault="00F94080" w:rsidP="00B5111A"/>
    <w:p w14:paraId="0A8627AB" w14:textId="203EC0DE" w:rsidR="00F94080" w:rsidRDefault="00DE2745" w:rsidP="00B5111A">
      <w:pPr>
        <w:pStyle w:val="Heading2"/>
      </w:pPr>
      <w:bookmarkStart w:id="1" w:name="_Toc140145259"/>
      <w:r>
        <w:t xml:space="preserve">2 </w:t>
      </w:r>
      <w:r w:rsidR="00F94080" w:rsidRPr="00F94080">
        <w:t>Node construction</w:t>
      </w:r>
      <w:bookmarkEnd w:id="1"/>
    </w:p>
    <w:p w14:paraId="72601D23" w14:textId="6684A211" w:rsidR="00F94080" w:rsidRDefault="00F94080" w:rsidP="00B5111A">
      <w:r>
        <w:t xml:space="preserve">Table 1 presents the Eigenvalues for three Principal Component Analysis </w:t>
      </w:r>
      <w:r w:rsidRPr="00F94080">
        <w:t>models</w:t>
      </w:r>
      <w:r>
        <w:t xml:space="preserve"> and </w:t>
      </w:r>
      <w:r w:rsidRPr="00F94080">
        <w:t>Cronbach’s α</w:t>
      </w:r>
      <w:r>
        <w:t xml:space="preserve"> of the resulting </w:t>
      </w:r>
      <w:r w:rsidR="005C7559">
        <w:t>indexes</w:t>
      </w:r>
      <w:r>
        <w:t xml:space="preserve">. </w:t>
      </w:r>
      <w:r w:rsidR="00DE2745" w:rsidRPr="00F94080">
        <w:t>Following the Kaiser-Guttman rule, all data structures are unidimensional.</w:t>
      </w:r>
      <w:r w:rsidR="00DE2745">
        <w:t xml:space="preserve"> </w:t>
      </w:r>
      <w:r w:rsidRPr="00F94080">
        <w:t xml:space="preserve">We compute mean </w:t>
      </w:r>
      <w:r w:rsidR="00DE2745">
        <w:t>indexes</w:t>
      </w:r>
      <w:r w:rsidR="00DE2745" w:rsidRPr="00F94080">
        <w:t xml:space="preserve"> </w:t>
      </w:r>
      <w:r w:rsidRPr="00F94080">
        <w:t>for variables regarding institutional trust (trust in the Italian and European Parliament), judgments on the Italian government (approval of governmental policies to fight COVID-19, general approval of the Draghi government), and variables tapping compliance to preventive behaviors (wearing face masks, observing social distancing, and washing hands</w:t>
      </w:r>
      <w:r w:rsidR="00DE2745">
        <w:t>.</w:t>
      </w:r>
      <w:r w:rsidRPr="00F94080">
        <w:t xml:space="preserve"> </w:t>
      </w:r>
      <w:r w:rsidR="00DE2745">
        <w:t xml:space="preserve">The resulting indexes are highly reliable. The original survey questions and the descriptives of these variables are reported in Table 2 and Table 3 of the main article. </w:t>
      </w:r>
    </w:p>
    <w:p w14:paraId="67FDDEAA" w14:textId="77777777" w:rsidR="00F94080" w:rsidRDefault="00F94080" w:rsidP="00B5111A"/>
    <w:tbl>
      <w:tblPr>
        <w:tblW w:w="0" w:type="auto"/>
        <w:tblCellMar>
          <w:top w:w="15" w:type="dxa"/>
          <w:left w:w="15" w:type="dxa"/>
          <w:bottom w:w="15" w:type="dxa"/>
          <w:right w:w="15" w:type="dxa"/>
        </w:tblCellMar>
        <w:tblLook w:val="04A0" w:firstRow="1" w:lastRow="0" w:firstColumn="1" w:lastColumn="0" w:noHBand="0" w:noVBand="1"/>
      </w:tblPr>
      <w:tblGrid>
        <w:gridCol w:w="3847"/>
        <w:gridCol w:w="1799"/>
        <w:gridCol w:w="1850"/>
        <w:gridCol w:w="1530"/>
      </w:tblGrid>
      <w:tr w:rsidR="00F94080" w14:paraId="2D607272" w14:textId="77777777" w:rsidTr="00D11F30">
        <w:trPr>
          <w:trHeight w:val="454"/>
        </w:trPr>
        <w:tc>
          <w:tcPr>
            <w:tcW w:w="0" w:type="auto"/>
            <w:gridSpan w:val="4"/>
            <w:tcBorders>
              <w:bottom w:val="single" w:sz="18" w:space="0" w:color="000000"/>
            </w:tcBorders>
            <w:tcMar>
              <w:top w:w="0" w:type="dxa"/>
              <w:left w:w="108" w:type="dxa"/>
              <w:bottom w:w="0" w:type="dxa"/>
              <w:right w:w="108" w:type="dxa"/>
            </w:tcMar>
            <w:vAlign w:val="center"/>
            <w:hideMark/>
          </w:tcPr>
          <w:p w14:paraId="773E556F" w14:textId="384D274F" w:rsidR="00F94080" w:rsidRPr="00DE2745" w:rsidRDefault="00F94080" w:rsidP="00DE2745">
            <w:pPr>
              <w:pStyle w:val="NormalWeb"/>
              <w:jc w:val="center"/>
              <w:rPr>
                <w:b/>
                <w:bCs/>
              </w:rPr>
            </w:pPr>
            <w:r w:rsidRPr="00DE2745">
              <w:rPr>
                <w:b/>
                <w:bCs/>
              </w:rPr>
              <w:t xml:space="preserve">Table 1: </w:t>
            </w:r>
            <w:r w:rsidR="00892175">
              <w:rPr>
                <w:b/>
                <w:bCs/>
              </w:rPr>
              <w:t>Results</w:t>
            </w:r>
            <w:r w:rsidRPr="00DE2745">
              <w:rPr>
                <w:b/>
                <w:bCs/>
              </w:rPr>
              <w:t xml:space="preserve"> of PCA</w:t>
            </w:r>
          </w:p>
        </w:tc>
      </w:tr>
      <w:tr w:rsidR="00F94080" w14:paraId="789C1DAF" w14:textId="77777777" w:rsidTr="00D11F30">
        <w:trPr>
          <w:trHeight w:val="454"/>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68134146" w14:textId="77777777" w:rsidR="00F94080" w:rsidRPr="008454BD" w:rsidRDefault="00F94080" w:rsidP="00B5111A">
            <w:pPr>
              <w:pStyle w:val="NormalWeb"/>
              <w:rPr>
                <w:i/>
                <w:iCs/>
              </w:rPr>
            </w:pPr>
            <w:r w:rsidRPr="008454BD">
              <w:rPr>
                <w:i/>
                <w:iCs/>
              </w:rPr>
              <w:t>Index</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5BC0DAB" w14:textId="7E42F01C" w:rsidR="00F94080" w:rsidRPr="008454BD" w:rsidRDefault="00F94080" w:rsidP="00B5111A">
            <w:pPr>
              <w:pStyle w:val="NormalWeb"/>
              <w:rPr>
                <w:i/>
                <w:iCs/>
              </w:rPr>
            </w:pPr>
            <w:r w:rsidRPr="008454BD">
              <w:rPr>
                <w:i/>
                <w:iCs/>
              </w:rPr>
              <w:t>1°component (ƛ)</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5A6540E5" w14:textId="77777777" w:rsidR="00F94080" w:rsidRPr="008454BD" w:rsidRDefault="00F94080" w:rsidP="00B5111A">
            <w:pPr>
              <w:pStyle w:val="NormalWeb"/>
              <w:rPr>
                <w:i/>
                <w:iCs/>
              </w:rPr>
            </w:pPr>
            <w:r w:rsidRPr="008454BD">
              <w:rPr>
                <w:i/>
                <w:iCs/>
              </w:rPr>
              <w:t>2° component (ƛ)</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797780FB" w14:textId="77777777" w:rsidR="00F94080" w:rsidRPr="008454BD" w:rsidRDefault="00F94080" w:rsidP="00B5111A">
            <w:pPr>
              <w:pStyle w:val="NormalWeb"/>
              <w:rPr>
                <w:i/>
                <w:iCs/>
              </w:rPr>
            </w:pPr>
            <w:r w:rsidRPr="008454BD">
              <w:rPr>
                <w:i/>
                <w:iCs/>
              </w:rPr>
              <w:t>Cronbach’s α</w:t>
            </w:r>
          </w:p>
        </w:tc>
      </w:tr>
      <w:tr w:rsidR="00F94080" w14:paraId="734810DA" w14:textId="77777777" w:rsidTr="00D11F30">
        <w:trPr>
          <w:trHeight w:val="397"/>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82BB032" w14:textId="77777777" w:rsidR="00F94080" w:rsidRDefault="00F94080" w:rsidP="009B11EA">
            <w:pPr>
              <w:pStyle w:val="NormalWeb"/>
              <w:jc w:val="left"/>
            </w:pPr>
            <w:r>
              <w:t>Compliance with preventive behaviors</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5F133E1C" w14:textId="77777777" w:rsidR="00F94080" w:rsidRDefault="00F94080" w:rsidP="009B11EA">
            <w:pPr>
              <w:pStyle w:val="NormalWeb"/>
              <w:jc w:val="center"/>
            </w:pPr>
            <w:r>
              <w:t>1.5</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0042B11C" w14:textId="77777777" w:rsidR="00F94080" w:rsidRDefault="00F94080" w:rsidP="009B11EA">
            <w:pPr>
              <w:pStyle w:val="NormalWeb"/>
              <w:jc w:val="center"/>
            </w:pPr>
            <w:r>
              <w:t>0.6</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9913918" w14:textId="77777777" w:rsidR="00F94080" w:rsidRDefault="00F94080" w:rsidP="009B11EA">
            <w:pPr>
              <w:pStyle w:val="NormalWeb"/>
              <w:jc w:val="center"/>
            </w:pPr>
            <w:r>
              <w:t>0.8</w:t>
            </w:r>
          </w:p>
        </w:tc>
      </w:tr>
      <w:tr w:rsidR="00F94080" w14:paraId="6D2ACCDE" w14:textId="77777777" w:rsidTr="00D11F30">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EBB802D" w14:textId="77777777" w:rsidR="00F94080" w:rsidRDefault="00F94080" w:rsidP="00B5111A">
            <w:pPr>
              <w:pStyle w:val="NormalWeb"/>
            </w:pPr>
            <w:r>
              <w:t>Disapproval of Government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A310980" w14:textId="77777777" w:rsidR="00F94080" w:rsidRDefault="00F94080" w:rsidP="009B11EA">
            <w:pPr>
              <w:pStyle w:val="NormalWeb"/>
              <w:jc w:val="center"/>
            </w:pPr>
            <w:r>
              <w:t>1.4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465474" w14:textId="77777777" w:rsidR="00F94080" w:rsidRDefault="00F94080" w:rsidP="009B11EA">
            <w:pPr>
              <w:pStyle w:val="NormalWeb"/>
              <w:jc w:val="center"/>
            </w:pPr>
            <w:r>
              <w:t>0.4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322E7FF" w14:textId="77777777" w:rsidR="00F94080" w:rsidRDefault="00F94080" w:rsidP="009B11EA">
            <w:pPr>
              <w:pStyle w:val="NormalWeb"/>
              <w:jc w:val="center"/>
            </w:pPr>
            <w:r>
              <w:t>0.9</w:t>
            </w:r>
          </w:p>
        </w:tc>
      </w:tr>
      <w:tr w:rsidR="00F94080" w14:paraId="6E81AB30" w14:textId="77777777" w:rsidTr="00D11F30">
        <w:trPr>
          <w:trHeight w:val="397"/>
        </w:trPr>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1E025970" w14:textId="77777777" w:rsidR="00F94080" w:rsidRDefault="00F94080" w:rsidP="00B5111A">
            <w:pPr>
              <w:pStyle w:val="NormalWeb"/>
            </w:pPr>
            <w:r>
              <w:t>Distrust of institutions</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5B2DE099" w14:textId="77777777" w:rsidR="00F94080" w:rsidRDefault="00F94080" w:rsidP="009B11EA">
            <w:pPr>
              <w:pStyle w:val="NormalWeb"/>
              <w:jc w:val="center"/>
            </w:pPr>
            <w:r>
              <w:t>1.3</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0A0E2F4B" w14:textId="77777777" w:rsidR="00F94080" w:rsidRDefault="00F94080" w:rsidP="009B11EA">
            <w:pPr>
              <w:pStyle w:val="NormalWeb"/>
              <w:jc w:val="center"/>
            </w:pPr>
            <w:r>
              <w:t>0.6</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5D38FE53" w14:textId="77777777" w:rsidR="00F94080" w:rsidRDefault="00F94080" w:rsidP="009B11EA">
            <w:pPr>
              <w:pStyle w:val="NormalWeb"/>
              <w:jc w:val="center"/>
            </w:pPr>
            <w:r>
              <w:t>0.8</w:t>
            </w:r>
          </w:p>
        </w:tc>
      </w:tr>
    </w:tbl>
    <w:p w14:paraId="6343F312" w14:textId="77777777" w:rsidR="00F94080" w:rsidRDefault="00F94080" w:rsidP="00B5111A"/>
    <w:p w14:paraId="2F9E9D6A" w14:textId="77777777" w:rsidR="00DE2745" w:rsidRDefault="00DE2745">
      <w:pPr>
        <w:jc w:val="left"/>
        <w:rPr>
          <w:rFonts w:asciiTheme="majorHAnsi" w:eastAsiaTheme="majorEastAsia" w:hAnsiTheme="majorHAnsi" w:cstheme="majorBidi"/>
          <w:color w:val="2F5496" w:themeColor="accent1" w:themeShade="BF"/>
          <w:sz w:val="26"/>
          <w:szCs w:val="26"/>
        </w:rPr>
      </w:pPr>
      <w:r>
        <w:br w:type="page"/>
      </w:r>
    </w:p>
    <w:p w14:paraId="76482F50" w14:textId="69F32350" w:rsidR="00050DDD" w:rsidRDefault="00DE2745" w:rsidP="00B5111A">
      <w:pPr>
        <w:pStyle w:val="Heading2"/>
      </w:pPr>
      <w:bookmarkStart w:id="2" w:name="_Toc140145260"/>
      <w:r>
        <w:lastRenderedPageBreak/>
        <w:t xml:space="preserve">3 </w:t>
      </w:r>
      <w:r w:rsidR="00050DDD">
        <w:t>Network estimation</w:t>
      </w:r>
      <w:bookmarkEnd w:id="2"/>
    </w:p>
    <w:p w14:paraId="6757BE84" w14:textId="4A17F898" w:rsidR="00050DDD" w:rsidRDefault="00050DDD" w:rsidP="00B5111A">
      <w:r w:rsidRPr="00050DDD">
        <w:t>We provide t</w:t>
      </w:r>
      <w:r>
        <w:t>he result of network estimation without the graphical filter omitting edges below 0.0</w:t>
      </w:r>
      <w:r w:rsidR="00476B02">
        <w:t>6</w:t>
      </w:r>
      <w:r>
        <w:t xml:space="preserve">. </w:t>
      </w:r>
      <w:r w:rsidR="001F0797">
        <w:t xml:space="preserve">We chose this value to include in the plot all edges involving </w:t>
      </w:r>
      <w:r w:rsidR="00DE2745">
        <w:t xml:space="preserve">the variable </w:t>
      </w:r>
      <w:r w:rsidR="001F0797">
        <w:t xml:space="preserve">hesitancy. </w:t>
      </w:r>
      <w:r>
        <w:t xml:space="preserve">Note that the filter is merely a graphical </w:t>
      </w:r>
      <w:r w:rsidR="00DE2745">
        <w:t>tool</w:t>
      </w:r>
      <w:r>
        <w:t xml:space="preserve">. The network plot presented in the main article (Figure 2) </w:t>
      </w:r>
      <w:r w:rsidR="00DE2745">
        <w:t>presents</w:t>
      </w:r>
      <w:r>
        <w:t xml:space="preserve"> less noise, but all network metrics were computed on the unfiltered graph presented here. </w:t>
      </w:r>
      <w:r w:rsidR="00DE2745">
        <w:t>Showing</w:t>
      </w:r>
      <w:r>
        <w:t xml:space="preserve"> a filtered graph is common in social network analysis, and was done also in other papers adopting a complex system approach to study </w:t>
      </w:r>
      <w:r w:rsidR="00DE2745">
        <w:t>COVID-19-related</w:t>
      </w:r>
      <w:r>
        <w:t xml:space="preserve"> issues </w:t>
      </w:r>
      <w:r>
        <w:fldChar w:fldCharType="begin"/>
      </w:r>
      <w:r>
        <w:instrText xml:space="preserve"> ADDIN ZOTERO_ITEM CSL_CITATION {"citationID":"qsgzKwvl","properties":{"formattedCitation":"(Chambon et al., 2021, 2022, 2023)","plainCitation":"(Chambon et al., 2021, 2022, 2023)","noteIndex":0},"citationItems":[{"id":134,"uris":["http://zotero.org/users/10425122/items/WC2LU89W"],"itemData":{"id":134,"type":"report","abstract":"This study examines how broad attitude networks are affected by tailored interventions aimed at variables selected based on their connectiveness with other variables. We first computed a broad attitude network based on a large-scale cross-sectional COVID-19 survey (N = 6,093). Over a period of approximately 10 weeks, participants were invited five times to complete this survey, with the third and fifth wave including interventions aimed at manipulating specific variables in the broad COVID-19 attitude network. Results suggest that targeted interventions that yield relatively strong effects on variables central to a broad attitude network have downstream effects on connected variables, which can be partially explained by the variables the interventions were aimed at. We conclude that broad attitude network structures can reveal important relations between variables that can help to design new interventions.","genre":"preprint","language":"en","note":"DOI: 10.31234/osf.io/fmu9w","publisher":"PsyArXiv","source":"DOI.org (Crossref)","title":"Tailored interventions into broad attitude networks towards the COVID-19 pandemic","URL":"https://osf.io/fmu9w","author":[{"family":"Chambon","given":"Monique"},{"family":"Dalege","given":"Jonas"},{"family":"Waldorp","given":"Lourens"},{"family":"Maas","given":"Han","non-dropping-particle":"van der"},{"family":"Borsboom","given":"Denny"},{"family":"Harreveld","given":"Frenk","non-dropping-particle":"van"}],"accessed":{"date-parts":[["2022",10,25]]},"issued":{"date-parts":[["2021",3,31]]}}},{"id":538,"uris":["http://zotero.org/users/10425122/items/UMBW2TAV"],"itemData":{"id":538,"type":"article-journal","abstract":"Preventive behaviors are crucial to prevent the spread of the coronavirus causing COVID-19. We adopted a complex psychological systems approach to obtain a descriptive account of the network of attitudes and behaviors related to COVID-19. A survey study (N = 1,022) was conducted with subsamples from the United Kingdom (n = 502) and the Netherlands (n = 520). The results highlight the importance of people’s support for, and perceived efficacy of, the measures and preventive behaviors. This also applies to the perceived norm of family and friends adopting these behaviors. The networks in both countries were largely similar but also showed notable differences. The interplay of psychological factors in the networks is also highlighted, resulting in our appeal to policy makers to take complexity and mutual dependence of psychological factors into account. Future research should study the effects of interventions aimed at these factors, including effects on the network, to make causal inferences.","container-title":"Social Psychological and Personality Science","DOI":"10.1177/19485506211002420","ISSN":"1948-5506","issue":"1","note":"PMCID: PMC8042407","page":"233–245","title":"A Psychological Network Approach to Attitudes and Preventive Behaviors During Pandemics: A COVID-19 Study in the United Kingdom and the Netherlands","volume":"13","author":[{"family":"Chambon","given":"Monique"},{"family":"Dalege","given":"Jonas"},{"family":"Elberse","given":"Janneke E."},{"family":"Harreveld","given":"Frenk","dropping-particle":"van"}],"issued":{"date-parts":[["2022"]]}}},{"id":469,"uris":["http://zotero.org/users/10425122/items/AIWB5PJK"],"itemData":{"id":469,"type":"article-journal","abstract":"In this longitudinal research, we adopt a complexity approach to examine the temporal dynamics of variables related to compliance with behavioural measures during the COVID‐19 pandemic. Dutch participants (N = 2399) completed surveys with COVID‐19‐related variables five times over a period of 10 weeks (23 April–30 June 2020). With these data, we estimated within‐person COVID‐19 attitude networks containing a broad set of psychological variables and their relations. These networks display variables' predictive effects over time between measurements and contemporaneous effects during measurements. Results show (1) bidirectional effects between multiple variables relevant for compliance, forming potential feedback loops, and (2) a positive reinforcing structure between compliance, support for behavioural measures, involvement in the pandemic and vaccination intention. These results can explain why levels of these variables decreased throughout the course of the study. The reinforcing structure points towards potentially amplifying effects of interventions on these variables and might inform processes of polarization. We conclude that adopting a complexity approach might contribute to understanding protective behaviour in the initial phase of pandemics by combining different theoretical models and modelling bidirectional effects between variables. Future research could build upon this research by studying causality with interventions and including additional variables in the networks.","container-title":"British Journal of Social Psychology","DOI":"10.1111/bjso.12572","ISSN":"0144-6665","issue":"1","note":"PMID: 36214155\nPMCID: PMC9874881","page":"302–321","title":"How compliance with behavioural measures during the initial phase of a pandemic develops over time: A longitudinal COVID‐19 study","volume":"62","author":[{"family":"Chambon","given":"Monique"},{"family":"Dalege","given":"Jonas"},{"family":"Borsboom","given":"Denny"},{"family":"Waldorp","given":"Lourens J."},{"family":"Maas","given":"Han L. J."},{"family":"Harreveld","given":"Frenk"}],"issued":{"date-parts":[["2023"]]}}}],"schema":"https://github.com/citation-style-language/schema/raw/master/csl-citation.json"} </w:instrText>
      </w:r>
      <w:r>
        <w:fldChar w:fldCharType="separate"/>
      </w:r>
      <w:r>
        <w:rPr>
          <w:noProof/>
        </w:rPr>
        <w:t>(Chambon et al., 2021, 2022, 2023)</w:t>
      </w:r>
      <w:r>
        <w:fldChar w:fldCharType="end"/>
      </w:r>
      <w:r>
        <w:t xml:space="preserve">. </w:t>
      </w:r>
      <w:r w:rsidR="001F0797">
        <w:t>Consistently</w:t>
      </w:r>
      <w:r>
        <w:t xml:space="preserve">, Figure 1 below </w:t>
      </w:r>
      <w:r w:rsidR="00DE2745">
        <w:t>avoids</w:t>
      </w:r>
      <w:r>
        <w:t xml:space="preserve"> reporting </w:t>
      </w:r>
      <w:r w:rsidR="001F0797">
        <w:t xml:space="preserve">results regarding </w:t>
      </w:r>
      <w:r w:rsidR="00DE2745">
        <w:t xml:space="preserve">nodes’ percentage of </w:t>
      </w:r>
      <w:r w:rsidR="001F0797">
        <w:t xml:space="preserve">variance explained (presented in the main article </w:t>
      </w:r>
      <w:r w:rsidR="00DE2745">
        <w:t>through the colored</w:t>
      </w:r>
      <w:r w:rsidR="001F0797">
        <w:t xml:space="preserve"> nodes’ border). These data are </w:t>
      </w:r>
      <w:r w:rsidR="00DE2745">
        <w:t xml:space="preserve">indeed </w:t>
      </w:r>
      <w:r w:rsidR="001F0797">
        <w:t xml:space="preserve">unchanged </w:t>
      </w:r>
      <w:r w:rsidR="00DE2745">
        <w:t>from the one shown</w:t>
      </w:r>
      <w:r w:rsidR="001F0797">
        <w:t xml:space="preserve"> in the main article. </w:t>
      </w:r>
    </w:p>
    <w:p w14:paraId="656ABD9A" w14:textId="77777777" w:rsidR="00050DDD" w:rsidRPr="00050DDD" w:rsidRDefault="00050DDD" w:rsidP="00B5111A"/>
    <w:p w14:paraId="7803F373" w14:textId="4164460A" w:rsidR="00050DDD" w:rsidRDefault="00050DDD" w:rsidP="00DE2745">
      <w:pPr>
        <w:jc w:val="center"/>
        <w:rPr>
          <w:lang w:eastAsia="en-GB"/>
        </w:rPr>
      </w:pPr>
      <w:r w:rsidRPr="00DE2745">
        <w:rPr>
          <w:b/>
          <w:bCs/>
          <w:lang w:eastAsia="en-GB"/>
        </w:rPr>
        <w:t>Figure 1: Unfiltered network plot</w:t>
      </w:r>
      <w:r w:rsidRPr="00050DDD">
        <w:rPr>
          <w:lang w:eastAsia="en-GB"/>
        </w:rPr>
        <w:t xml:space="preserve"> </w:t>
      </w:r>
      <w:r>
        <w:rPr>
          <w:noProof/>
          <w:lang w:eastAsia="en-GB"/>
        </w:rPr>
        <w:drawing>
          <wp:inline distT="0" distB="0" distL="0" distR="0" wp14:anchorId="28B504C4" wp14:editId="4ECD7BDB">
            <wp:extent cx="5731510" cy="4428894"/>
            <wp:effectExtent l="0" t="0" r="0" b="3810"/>
            <wp:docPr id="1583386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8673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4428894"/>
                    </a:xfrm>
                    <a:prstGeom prst="rect">
                      <a:avLst/>
                    </a:prstGeom>
                  </pic:spPr>
                </pic:pic>
              </a:graphicData>
            </a:graphic>
          </wp:inline>
        </w:drawing>
      </w:r>
    </w:p>
    <w:p w14:paraId="3796441E" w14:textId="77777777" w:rsidR="00105188" w:rsidRDefault="00105188" w:rsidP="00B5111A"/>
    <w:p w14:paraId="7E789978" w14:textId="77777777" w:rsidR="00DE2745" w:rsidRDefault="00DE2745">
      <w:pPr>
        <w:jc w:val="left"/>
        <w:rPr>
          <w:rFonts w:asciiTheme="majorHAnsi" w:eastAsiaTheme="majorEastAsia" w:hAnsiTheme="majorHAnsi" w:cstheme="majorBidi"/>
          <w:color w:val="2F5496" w:themeColor="accent1" w:themeShade="BF"/>
          <w:sz w:val="26"/>
          <w:szCs w:val="26"/>
        </w:rPr>
      </w:pPr>
      <w:r>
        <w:br w:type="page"/>
      </w:r>
    </w:p>
    <w:p w14:paraId="4EA2E688" w14:textId="23B8AAAE" w:rsidR="001F0797" w:rsidRPr="001F0797" w:rsidRDefault="00DE2745" w:rsidP="00B5111A">
      <w:pPr>
        <w:pStyle w:val="Heading2"/>
      </w:pPr>
      <w:bookmarkStart w:id="3" w:name="_Toc140145261"/>
      <w:r>
        <w:lastRenderedPageBreak/>
        <w:t xml:space="preserve">4 </w:t>
      </w:r>
      <w:r w:rsidR="001F0797" w:rsidRPr="001F0797">
        <w:t>Centrality metrics</w:t>
      </w:r>
      <w:bookmarkEnd w:id="3"/>
    </w:p>
    <w:p w14:paraId="31B7E13A" w14:textId="4A036CCF" w:rsidR="00050DDD" w:rsidRDefault="001F0797" w:rsidP="00B5111A">
      <w:r w:rsidRPr="001F0797">
        <w:t>Table 2 reports the exac</w:t>
      </w:r>
      <w:r>
        <w:t xml:space="preserve">t values of Strength and Degree centrality for each node in the network. </w:t>
      </w:r>
      <w:r w:rsidR="00105188">
        <w:t xml:space="preserve">Strength is calculated by summing the absolute values of all edge weights a node is connected with </w:t>
      </w:r>
      <w:r w:rsidR="00105188">
        <w:fldChar w:fldCharType="begin"/>
      </w:r>
      <w:r w:rsidR="00105188">
        <w:instrText xml:space="preserve"> ADDIN ZOTERO_ITEM CSL_CITATION {"citationID":"n6HJCU9d","properties":{"formattedCitation":"(Opsahl et al., 2010)","plainCitation":"(Opsahl et al., 2010)","noteIndex":0},"citationItems":[{"id":436,"uris":["http://zotero.org/users/10425122/items/ZBSGWY5N"],"itemData":{"id":436,"type":"article-journal","abstract":"Ties often have a strength naturally associated with them that differentiate them from each other. Tie strength has been operationalized as weights. A few network measures have been proposed for weighted networks, including three common measures of node centrality: degree, closeness, and betweenness. However, these generalizations have solely focused on tie weights, and not on the number of ties, which was the central component of the original measures. This paper proposes generalizations that combine both these aspects. We illustrate the benefits of this approach by applying one of them to Freeman’s EIES dataset.","container-title":"Social Networks","DOI":"10.1016/j.socnet.2010.03.006","ISSN":"0378-8733","issue":"3","page":"245–251","title":"Node centrality in weighted networks: Generalizing degree and shortest paths","volume":"32","author":[{"family":"Opsahl","given":"Tore"},{"family":"Agneessens","given":"Filip"},{"family":"Skvoretz","given":"John"}],"issued":{"date-parts":[["2010"]]}}}],"schema":"https://github.com/citation-style-language/schema/raw/master/csl-citation.json"} </w:instrText>
      </w:r>
      <w:r w:rsidR="00105188">
        <w:fldChar w:fldCharType="separate"/>
      </w:r>
      <w:r w:rsidR="00105188">
        <w:rPr>
          <w:noProof/>
        </w:rPr>
        <w:t>(Opsahl et al., 2010)</w:t>
      </w:r>
      <w:r w:rsidR="00105188">
        <w:fldChar w:fldCharType="end"/>
      </w:r>
      <w:r w:rsidR="00105188">
        <w:t xml:space="preserve">. Degree counts the number of ties of each node. </w:t>
      </w:r>
    </w:p>
    <w:p w14:paraId="322E3B35" w14:textId="77777777" w:rsidR="00105188" w:rsidRDefault="00105188" w:rsidP="00B5111A"/>
    <w:p w14:paraId="7A0465D8" w14:textId="77777777" w:rsidR="001F0797" w:rsidRDefault="001F0797" w:rsidP="00B5111A"/>
    <w:p w14:paraId="0B3D19D8" w14:textId="77777777" w:rsidR="006A2425" w:rsidRPr="006A2425" w:rsidRDefault="006A2425" w:rsidP="00B5111A"/>
    <w:tbl>
      <w:tblPr>
        <w:tblStyle w:val="TableGrid"/>
        <w:tblW w:w="8014"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0"/>
        <w:gridCol w:w="1588"/>
        <w:gridCol w:w="1316"/>
      </w:tblGrid>
      <w:tr w:rsidR="008454BD" w:rsidRPr="00105188" w14:paraId="63540765" w14:textId="77777777" w:rsidTr="00FA5C92">
        <w:trPr>
          <w:trHeight w:val="195"/>
          <w:jc w:val="center"/>
        </w:trPr>
        <w:tc>
          <w:tcPr>
            <w:tcW w:w="8014" w:type="dxa"/>
            <w:gridSpan w:val="3"/>
            <w:tcBorders>
              <w:top w:val="nil"/>
              <w:bottom w:val="single" w:sz="18" w:space="0" w:color="auto"/>
            </w:tcBorders>
          </w:tcPr>
          <w:p w14:paraId="6185C143" w14:textId="761D2CB9" w:rsidR="008454BD" w:rsidRPr="009B11EA" w:rsidRDefault="008454BD" w:rsidP="008454BD">
            <w:pPr>
              <w:jc w:val="center"/>
              <w:rPr>
                <w:b/>
                <w:bCs/>
              </w:rPr>
            </w:pPr>
            <w:r w:rsidRPr="00DE2745">
              <w:rPr>
                <w:b/>
                <w:bCs/>
              </w:rPr>
              <w:t xml:space="preserve">Table 2: Strength and Degree </w:t>
            </w:r>
            <w:r>
              <w:rPr>
                <w:b/>
                <w:bCs/>
              </w:rPr>
              <w:t>C</w:t>
            </w:r>
            <w:r w:rsidRPr="00DE2745">
              <w:rPr>
                <w:b/>
                <w:bCs/>
              </w:rPr>
              <w:t>entrality</w:t>
            </w:r>
          </w:p>
        </w:tc>
      </w:tr>
      <w:tr w:rsidR="00105188" w:rsidRPr="00105188" w14:paraId="65AB8993" w14:textId="77777777" w:rsidTr="008454BD">
        <w:trPr>
          <w:trHeight w:val="195"/>
          <w:jc w:val="center"/>
        </w:trPr>
        <w:tc>
          <w:tcPr>
            <w:tcW w:w="5110" w:type="dxa"/>
            <w:tcBorders>
              <w:top w:val="single" w:sz="18" w:space="0" w:color="auto"/>
              <w:bottom w:val="single" w:sz="18" w:space="0" w:color="auto"/>
            </w:tcBorders>
          </w:tcPr>
          <w:p w14:paraId="15A17CDD" w14:textId="37632787" w:rsidR="00105188" w:rsidRPr="008454BD" w:rsidRDefault="00105188" w:rsidP="00B5111A">
            <w:pPr>
              <w:pStyle w:val="NormalWeb"/>
              <w:rPr>
                <w:i/>
                <w:iCs/>
              </w:rPr>
            </w:pPr>
            <w:r w:rsidRPr="008454BD">
              <w:rPr>
                <w:i/>
                <w:iCs/>
              </w:rPr>
              <w:t>Variable</w:t>
            </w:r>
          </w:p>
        </w:tc>
        <w:tc>
          <w:tcPr>
            <w:tcW w:w="1588" w:type="dxa"/>
            <w:tcBorders>
              <w:top w:val="single" w:sz="18" w:space="0" w:color="auto"/>
              <w:bottom w:val="single" w:sz="18" w:space="0" w:color="auto"/>
            </w:tcBorders>
          </w:tcPr>
          <w:p w14:paraId="6F3FEA6C" w14:textId="7E184418" w:rsidR="00105188" w:rsidRPr="008454BD" w:rsidRDefault="00105188" w:rsidP="00B5111A">
            <w:pPr>
              <w:pStyle w:val="NormalWeb"/>
              <w:rPr>
                <w:i/>
                <w:iCs/>
              </w:rPr>
            </w:pPr>
            <w:r w:rsidRPr="008454BD">
              <w:rPr>
                <w:i/>
                <w:iCs/>
              </w:rPr>
              <w:t>Strength</w:t>
            </w:r>
          </w:p>
        </w:tc>
        <w:tc>
          <w:tcPr>
            <w:tcW w:w="1316" w:type="dxa"/>
            <w:tcBorders>
              <w:top w:val="single" w:sz="18" w:space="0" w:color="auto"/>
              <w:bottom w:val="single" w:sz="18" w:space="0" w:color="auto"/>
            </w:tcBorders>
          </w:tcPr>
          <w:p w14:paraId="02111DA9" w14:textId="7C81B5BF" w:rsidR="00105188" w:rsidRPr="008454BD" w:rsidRDefault="00105188" w:rsidP="00B5111A">
            <w:pPr>
              <w:pStyle w:val="NormalWeb"/>
              <w:rPr>
                <w:i/>
                <w:iCs/>
              </w:rPr>
            </w:pPr>
            <w:r w:rsidRPr="008454BD">
              <w:rPr>
                <w:i/>
                <w:iCs/>
              </w:rPr>
              <w:t>Degree</w:t>
            </w:r>
          </w:p>
        </w:tc>
      </w:tr>
      <w:tr w:rsidR="006A2425" w:rsidRPr="00105188" w14:paraId="3CC4C087" w14:textId="7D969F9E" w:rsidTr="006A2425">
        <w:trPr>
          <w:trHeight w:hRule="exact" w:val="284"/>
          <w:jc w:val="center"/>
        </w:trPr>
        <w:tc>
          <w:tcPr>
            <w:tcW w:w="5110" w:type="dxa"/>
            <w:tcBorders>
              <w:top w:val="single" w:sz="18" w:space="0" w:color="auto"/>
              <w:bottom w:val="single" w:sz="4" w:space="0" w:color="auto"/>
            </w:tcBorders>
          </w:tcPr>
          <w:p w14:paraId="32F6CF71" w14:textId="77777777" w:rsidR="00105188" w:rsidRPr="00105188" w:rsidRDefault="00105188" w:rsidP="00B5111A">
            <w:pPr>
              <w:pStyle w:val="NormalWeb"/>
            </w:pPr>
            <w:r w:rsidRPr="00105188">
              <w:t>Vaccine bad for health</w:t>
            </w:r>
          </w:p>
        </w:tc>
        <w:tc>
          <w:tcPr>
            <w:tcW w:w="1588" w:type="dxa"/>
            <w:tcBorders>
              <w:top w:val="single" w:sz="18" w:space="0" w:color="auto"/>
              <w:bottom w:val="single" w:sz="4" w:space="0" w:color="auto"/>
            </w:tcBorders>
          </w:tcPr>
          <w:p w14:paraId="5EABE456" w14:textId="365FF93A" w:rsidR="00105188" w:rsidRPr="00105188" w:rsidRDefault="00105188" w:rsidP="00B5111A">
            <w:pPr>
              <w:pStyle w:val="NormalWeb"/>
            </w:pPr>
            <w:r w:rsidRPr="00105188">
              <w:t>1.</w:t>
            </w:r>
            <w:r w:rsidR="009D2A1D">
              <w:t>61</w:t>
            </w:r>
          </w:p>
        </w:tc>
        <w:tc>
          <w:tcPr>
            <w:tcW w:w="1316" w:type="dxa"/>
            <w:tcBorders>
              <w:top w:val="single" w:sz="18" w:space="0" w:color="auto"/>
              <w:bottom w:val="single" w:sz="4" w:space="0" w:color="auto"/>
            </w:tcBorders>
          </w:tcPr>
          <w:p w14:paraId="16766896" w14:textId="4927976D" w:rsidR="00105188" w:rsidRPr="00105188" w:rsidRDefault="00105188" w:rsidP="00B5111A">
            <w:pPr>
              <w:pStyle w:val="NormalWeb"/>
            </w:pPr>
            <w:r w:rsidRPr="00105188">
              <w:t xml:space="preserve">10  </w:t>
            </w:r>
          </w:p>
        </w:tc>
      </w:tr>
      <w:tr w:rsidR="006A2425" w:rsidRPr="00105188" w14:paraId="2452F0AE" w14:textId="57970374" w:rsidTr="006A2425">
        <w:trPr>
          <w:trHeight w:hRule="exact" w:val="284"/>
          <w:jc w:val="center"/>
        </w:trPr>
        <w:tc>
          <w:tcPr>
            <w:tcW w:w="5110" w:type="dxa"/>
            <w:tcBorders>
              <w:top w:val="single" w:sz="4" w:space="0" w:color="auto"/>
              <w:bottom w:val="single" w:sz="4" w:space="0" w:color="auto"/>
            </w:tcBorders>
          </w:tcPr>
          <w:p w14:paraId="17D2EEDD" w14:textId="77777777" w:rsidR="00105188" w:rsidRPr="00105188" w:rsidRDefault="00105188" w:rsidP="00B5111A">
            <w:pPr>
              <w:pStyle w:val="NormalWeb"/>
            </w:pPr>
            <w:r w:rsidRPr="00105188">
              <w:t>Against mandatory vaccination</w:t>
            </w:r>
          </w:p>
        </w:tc>
        <w:tc>
          <w:tcPr>
            <w:tcW w:w="1588" w:type="dxa"/>
            <w:tcBorders>
              <w:top w:val="single" w:sz="4" w:space="0" w:color="auto"/>
              <w:bottom w:val="single" w:sz="4" w:space="0" w:color="auto"/>
            </w:tcBorders>
          </w:tcPr>
          <w:p w14:paraId="1E59FD73" w14:textId="404FE6C8" w:rsidR="00105188" w:rsidRPr="00105188" w:rsidRDefault="00105188" w:rsidP="00B5111A">
            <w:pPr>
              <w:pStyle w:val="NormalWeb"/>
            </w:pPr>
            <w:r w:rsidRPr="00105188">
              <w:t>1.34</w:t>
            </w:r>
          </w:p>
        </w:tc>
        <w:tc>
          <w:tcPr>
            <w:tcW w:w="1316" w:type="dxa"/>
            <w:tcBorders>
              <w:top w:val="single" w:sz="4" w:space="0" w:color="auto"/>
              <w:bottom w:val="single" w:sz="4" w:space="0" w:color="auto"/>
            </w:tcBorders>
          </w:tcPr>
          <w:p w14:paraId="576C657C" w14:textId="0EE90E69" w:rsidR="00105188" w:rsidRPr="00105188" w:rsidRDefault="00105188" w:rsidP="00B5111A">
            <w:pPr>
              <w:pStyle w:val="NormalWeb"/>
            </w:pPr>
            <w:r w:rsidRPr="00105188">
              <w:t xml:space="preserve">4  </w:t>
            </w:r>
          </w:p>
        </w:tc>
      </w:tr>
      <w:tr w:rsidR="00105188" w:rsidRPr="00105188" w14:paraId="7CE1D024" w14:textId="747E38E9" w:rsidTr="006A2425">
        <w:trPr>
          <w:trHeight w:hRule="exact" w:val="284"/>
          <w:jc w:val="center"/>
        </w:trPr>
        <w:tc>
          <w:tcPr>
            <w:tcW w:w="5110" w:type="dxa"/>
            <w:tcBorders>
              <w:top w:val="single" w:sz="4" w:space="0" w:color="auto"/>
              <w:bottom w:val="single" w:sz="4" w:space="0" w:color="auto"/>
            </w:tcBorders>
          </w:tcPr>
          <w:p w14:paraId="0A290D07" w14:textId="77777777" w:rsidR="00105188" w:rsidRPr="00105188" w:rsidRDefault="00105188" w:rsidP="00B5111A">
            <w:pPr>
              <w:pStyle w:val="NormalWeb"/>
            </w:pPr>
            <w:r w:rsidRPr="00105188">
              <w:t>Low worry about infection</w:t>
            </w:r>
          </w:p>
        </w:tc>
        <w:tc>
          <w:tcPr>
            <w:tcW w:w="1588" w:type="dxa"/>
            <w:tcBorders>
              <w:top w:val="single" w:sz="4" w:space="0" w:color="auto"/>
              <w:bottom w:val="single" w:sz="4" w:space="0" w:color="auto"/>
            </w:tcBorders>
          </w:tcPr>
          <w:p w14:paraId="6F9313C1" w14:textId="75BA35D1" w:rsidR="00105188" w:rsidRPr="00105188" w:rsidRDefault="00105188" w:rsidP="00B5111A">
            <w:pPr>
              <w:pStyle w:val="NormalWeb"/>
            </w:pPr>
            <w:r w:rsidRPr="00105188">
              <w:t>0.7</w:t>
            </w:r>
            <w:r w:rsidR="009D2A1D">
              <w:t>5</w:t>
            </w:r>
          </w:p>
        </w:tc>
        <w:tc>
          <w:tcPr>
            <w:tcW w:w="1316" w:type="dxa"/>
            <w:tcBorders>
              <w:top w:val="single" w:sz="4" w:space="0" w:color="auto"/>
              <w:bottom w:val="single" w:sz="4" w:space="0" w:color="auto"/>
            </w:tcBorders>
          </w:tcPr>
          <w:p w14:paraId="295A2DF2" w14:textId="2911C581" w:rsidR="00105188" w:rsidRPr="00105188" w:rsidRDefault="00BF3D7E" w:rsidP="00B5111A">
            <w:pPr>
              <w:pStyle w:val="NormalWeb"/>
            </w:pPr>
            <w:r>
              <w:t>6</w:t>
            </w:r>
            <w:r w:rsidR="00105188" w:rsidRPr="00105188">
              <w:t xml:space="preserve">  </w:t>
            </w:r>
          </w:p>
        </w:tc>
      </w:tr>
      <w:tr w:rsidR="00105188" w:rsidRPr="00105188" w14:paraId="4AF5F57E" w14:textId="03A15497" w:rsidTr="006A2425">
        <w:trPr>
          <w:trHeight w:hRule="exact" w:val="284"/>
          <w:jc w:val="center"/>
        </w:trPr>
        <w:tc>
          <w:tcPr>
            <w:tcW w:w="5110" w:type="dxa"/>
            <w:tcBorders>
              <w:top w:val="single" w:sz="4" w:space="0" w:color="auto"/>
              <w:bottom w:val="single" w:sz="4" w:space="0" w:color="auto"/>
            </w:tcBorders>
          </w:tcPr>
          <w:p w14:paraId="2197A633" w14:textId="77777777" w:rsidR="00105188" w:rsidRPr="00105188" w:rsidRDefault="00105188" w:rsidP="00B5111A">
            <w:pPr>
              <w:pStyle w:val="NormalWeb"/>
            </w:pPr>
            <w:r w:rsidRPr="00105188">
              <w:t>Low risk perception</w:t>
            </w:r>
          </w:p>
        </w:tc>
        <w:tc>
          <w:tcPr>
            <w:tcW w:w="1588" w:type="dxa"/>
            <w:tcBorders>
              <w:top w:val="single" w:sz="4" w:space="0" w:color="auto"/>
              <w:bottom w:val="single" w:sz="4" w:space="0" w:color="auto"/>
            </w:tcBorders>
          </w:tcPr>
          <w:p w14:paraId="0D896B70" w14:textId="68E28B23" w:rsidR="00105188" w:rsidRPr="00105188" w:rsidRDefault="00105188" w:rsidP="00B5111A">
            <w:pPr>
              <w:pStyle w:val="NormalWeb"/>
            </w:pPr>
            <w:r w:rsidRPr="00105188">
              <w:t>0.28</w:t>
            </w:r>
          </w:p>
        </w:tc>
        <w:tc>
          <w:tcPr>
            <w:tcW w:w="1316" w:type="dxa"/>
            <w:tcBorders>
              <w:top w:val="single" w:sz="4" w:space="0" w:color="auto"/>
              <w:bottom w:val="single" w:sz="4" w:space="0" w:color="auto"/>
            </w:tcBorders>
          </w:tcPr>
          <w:p w14:paraId="5F36D6C2" w14:textId="65A65B04" w:rsidR="00105188" w:rsidRPr="00105188" w:rsidRDefault="00105188" w:rsidP="00B5111A">
            <w:pPr>
              <w:pStyle w:val="NormalWeb"/>
            </w:pPr>
            <w:r w:rsidRPr="00105188">
              <w:t xml:space="preserve">2 </w:t>
            </w:r>
          </w:p>
        </w:tc>
      </w:tr>
      <w:tr w:rsidR="00105188" w:rsidRPr="00105188" w14:paraId="010241C2" w14:textId="55D9A944" w:rsidTr="006A2425">
        <w:trPr>
          <w:trHeight w:hRule="exact" w:val="284"/>
          <w:jc w:val="center"/>
        </w:trPr>
        <w:tc>
          <w:tcPr>
            <w:tcW w:w="5110" w:type="dxa"/>
            <w:tcBorders>
              <w:top w:val="single" w:sz="4" w:space="0" w:color="auto"/>
              <w:bottom w:val="single" w:sz="4" w:space="0" w:color="auto"/>
            </w:tcBorders>
          </w:tcPr>
          <w:p w14:paraId="6554FCC2" w14:textId="77777777" w:rsidR="00105188" w:rsidRPr="00105188" w:rsidRDefault="00105188" w:rsidP="00B5111A">
            <w:pPr>
              <w:pStyle w:val="NormalWeb"/>
            </w:pPr>
            <w:r w:rsidRPr="00105188">
              <w:t>Endorsing conspiracy theories</w:t>
            </w:r>
          </w:p>
        </w:tc>
        <w:tc>
          <w:tcPr>
            <w:tcW w:w="1588" w:type="dxa"/>
            <w:tcBorders>
              <w:top w:val="single" w:sz="4" w:space="0" w:color="auto"/>
              <w:bottom w:val="single" w:sz="4" w:space="0" w:color="auto"/>
            </w:tcBorders>
          </w:tcPr>
          <w:p w14:paraId="3E34F604" w14:textId="5DEDAB9E" w:rsidR="00105188" w:rsidRPr="00105188" w:rsidRDefault="00105188" w:rsidP="00B5111A">
            <w:pPr>
              <w:pStyle w:val="NormalWeb"/>
            </w:pPr>
            <w:r w:rsidRPr="00105188">
              <w:t>1.</w:t>
            </w:r>
            <w:r w:rsidR="00BF3D7E">
              <w:t>83</w:t>
            </w:r>
          </w:p>
        </w:tc>
        <w:tc>
          <w:tcPr>
            <w:tcW w:w="1316" w:type="dxa"/>
            <w:tcBorders>
              <w:top w:val="single" w:sz="4" w:space="0" w:color="auto"/>
              <w:bottom w:val="single" w:sz="4" w:space="0" w:color="auto"/>
            </w:tcBorders>
          </w:tcPr>
          <w:p w14:paraId="1A3F78E9" w14:textId="39FE8A89" w:rsidR="00105188" w:rsidRPr="00105188" w:rsidRDefault="00105188" w:rsidP="00B5111A">
            <w:pPr>
              <w:pStyle w:val="NormalWeb"/>
            </w:pPr>
            <w:r w:rsidRPr="00105188">
              <w:t xml:space="preserve">15 </w:t>
            </w:r>
          </w:p>
        </w:tc>
      </w:tr>
      <w:tr w:rsidR="00105188" w:rsidRPr="00105188" w14:paraId="10A9470F" w14:textId="100E4901" w:rsidTr="006A2425">
        <w:trPr>
          <w:trHeight w:hRule="exact" w:val="284"/>
          <w:jc w:val="center"/>
        </w:trPr>
        <w:tc>
          <w:tcPr>
            <w:tcW w:w="5110" w:type="dxa"/>
            <w:tcBorders>
              <w:top w:val="single" w:sz="4" w:space="0" w:color="auto"/>
              <w:bottom w:val="single" w:sz="4" w:space="0" w:color="auto"/>
            </w:tcBorders>
          </w:tcPr>
          <w:p w14:paraId="20F37597" w14:textId="77777777" w:rsidR="00105188" w:rsidRPr="00105188" w:rsidRDefault="00105188" w:rsidP="00B5111A">
            <w:pPr>
              <w:pStyle w:val="NormalWeb"/>
            </w:pPr>
            <w:r w:rsidRPr="00105188">
              <w:t>Trust in alternative medicine</w:t>
            </w:r>
          </w:p>
        </w:tc>
        <w:tc>
          <w:tcPr>
            <w:tcW w:w="1588" w:type="dxa"/>
            <w:tcBorders>
              <w:top w:val="single" w:sz="4" w:space="0" w:color="auto"/>
              <w:bottom w:val="single" w:sz="4" w:space="0" w:color="auto"/>
            </w:tcBorders>
          </w:tcPr>
          <w:p w14:paraId="6B5C639A" w14:textId="32C8BB18" w:rsidR="00105188" w:rsidRPr="00105188" w:rsidRDefault="00105188" w:rsidP="00B5111A">
            <w:pPr>
              <w:pStyle w:val="NormalWeb"/>
            </w:pPr>
            <w:r w:rsidRPr="00105188">
              <w:t>1.2</w:t>
            </w:r>
            <w:r w:rsidR="00BF3D7E">
              <w:t>7</w:t>
            </w:r>
          </w:p>
        </w:tc>
        <w:tc>
          <w:tcPr>
            <w:tcW w:w="1316" w:type="dxa"/>
            <w:tcBorders>
              <w:top w:val="single" w:sz="4" w:space="0" w:color="auto"/>
              <w:bottom w:val="single" w:sz="4" w:space="0" w:color="auto"/>
            </w:tcBorders>
          </w:tcPr>
          <w:p w14:paraId="0F137459" w14:textId="75157AB0" w:rsidR="00105188" w:rsidRPr="00105188" w:rsidRDefault="00105188" w:rsidP="00B5111A">
            <w:pPr>
              <w:pStyle w:val="NormalWeb"/>
            </w:pPr>
            <w:r w:rsidRPr="00105188">
              <w:t xml:space="preserve">15  </w:t>
            </w:r>
          </w:p>
        </w:tc>
      </w:tr>
      <w:tr w:rsidR="00105188" w:rsidRPr="00105188" w14:paraId="11FDCCDC" w14:textId="78632AA8" w:rsidTr="006A2425">
        <w:trPr>
          <w:trHeight w:hRule="exact" w:val="284"/>
          <w:jc w:val="center"/>
        </w:trPr>
        <w:tc>
          <w:tcPr>
            <w:tcW w:w="5110" w:type="dxa"/>
            <w:tcBorders>
              <w:top w:val="single" w:sz="4" w:space="0" w:color="auto"/>
              <w:bottom w:val="single" w:sz="4" w:space="0" w:color="auto"/>
            </w:tcBorders>
          </w:tcPr>
          <w:p w14:paraId="2D03B41C" w14:textId="77777777" w:rsidR="00105188" w:rsidRPr="00105188" w:rsidRDefault="00105188" w:rsidP="00B5111A">
            <w:pPr>
              <w:pStyle w:val="NormalWeb"/>
            </w:pPr>
            <w:r w:rsidRPr="00105188">
              <w:t>Internal health locus of control</w:t>
            </w:r>
          </w:p>
        </w:tc>
        <w:tc>
          <w:tcPr>
            <w:tcW w:w="1588" w:type="dxa"/>
            <w:tcBorders>
              <w:top w:val="single" w:sz="4" w:space="0" w:color="auto"/>
              <w:bottom w:val="single" w:sz="4" w:space="0" w:color="auto"/>
            </w:tcBorders>
          </w:tcPr>
          <w:p w14:paraId="2E95D043" w14:textId="130A73F0" w:rsidR="00105188" w:rsidRPr="00105188" w:rsidRDefault="00105188" w:rsidP="00B5111A">
            <w:pPr>
              <w:pStyle w:val="NormalWeb"/>
            </w:pPr>
            <w:r w:rsidRPr="00105188">
              <w:t>0.54</w:t>
            </w:r>
          </w:p>
        </w:tc>
        <w:tc>
          <w:tcPr>
            <w:tcW w:w="1316" w:type="dxa"/>
            <w:tcBorders>
              <w:top w:val="single" w:sz="4" w:space="0" w:color="auto"/>
              <w:bottom w:val="single" w:sz="4" w:space="0" w:color="auto"/>
            </w:tcBorders>
          </w:tcPr>
          <w:p w14:paraId="0F68754E" w14:textId="5410B8BC" w:rsidR="00105188" w:rsidRPr="00105188" w:rsidRDefault="00105188" w:rsidP="00B5111A">
            <w:pPr>
              <w:pStyle w:val="NormalWeb"/>
            </w:pPr>
            <w:r w:rsidRPr="00105188">
              <w:t xml:space="preserve">8 </w:t>
            </w:r>
          </w:p>
        </w:tc>
      </w:tr>
      <w:tr w:rsidR="00105188" w:rsidRPr="00105188" w14:paraId="3C6168AE" w14:textId="3568F7FF" w:rsidTr="006A2425">
        <w:trPr>
          <w:trHeight w:hRule="exact" w:val="284"/>
          <w:jc w:val="center"/>
        </w:trPr>
        <w:tc>
          <w:tcPr>
            <w:tcW w:w="5110" w:type="dxa"/>
            <w:tcBorders>
              <w:top w:val="single" w:sz="4" w:space="0" w:color="auto"/>
              <w:bottom w:val="single" w:sz="4" w:space="0" w:color="auto"/>
            </w:tcBorders>
          </w:tcPr>
          <w:p w14:paraId="75557878" w14:textId="77777777" w:rsidR="00105188" w:rsidRPr="00105188" w:rsidRDefault="00105188" w:rsidP="00B5111A">
            <w:pPr>
              <w:pStyle w:val="NormalWeb"/>
            </w:pPr>
            <w:r w:rsidRPr="00105188">
              <w:t>Low sense of collective responsability</w:t>
            </w:r>
          </w:p>
        </w:tc>
        <w:tc>
          <w:tcPr>
            <w:tcW w:w="1588" w:type="dxa"/>
            <w:tcBorders>
              <w:top w:val="single" w:sz="4" w:space="0" w:color="auto"/>
              <w:bottom w:val="single" w:sz="4" w:space="0" w:color="auto"/>
            </w:tcBorders>
          </w:tcPr>
          <w:p w14:paraId="33E057BE" w14:textId="788EE9AA" w:rsidR="00105188" w:rsidRPr="00105188" w:rsidRDefault="00105188" w:rsidP="00B5111A">
            <w:pPr>
              <w:pStyle w:val="NormalWeb"/>
            </w:pPr>
            <w:r w:rsidRPr="00105188">
              <w:t>0.7</w:t>
            </w:r>
            <w:r w:rsidR="00BF3D7E">
              <w:t>9</w:t>
            </w:r>
          </w:p>
        </w:tc>
        <w:tc>
          <w:tcPr>
            <w:tcW w:w="1316" w:type="dxa"/>
            <w:tcBorders>
              <w:top w:val="single" w:sz="4" w:space="0" w:color="auto"/>
              <w:bottom w:val="single" w:sz="4" w:space="0" w:color="auto"/>
            </w:tcBorders>
          </w:tcPr>
          <w:p w14:paraId="16FEB021" w14:textId="1222EFD2" w:rsidR="00105188" w:rsidRPr="00105188" w:rsidRDefault="00105188" w:rsidP="00B5111A">
            <w:pPr>
              <w:pStyle w:val="NormalWeb"/>
            </w:pPr>
            <w:r w:rsidRPr="00105188">
              <w:t>1</w:t>
            </w:r>
            <w:r w:rsidR="00BF3D7E">
              <w:t>1</w:t>
            </w:r>
            <w:r w:rsidRPr="00105188">
              <w:t xml:space="preserve">  </w:t>
            </w:r>
          </w:p>
        </w:tc>
      </w:tr>
      <w:tr w:rsidR="00105188" w:rsidRPr="00105188" w14:paraId="514E64BA" w14:textId="43B7A832" w:rsidTr="006A2425">
        <w:trPr>
          <w:trHeight w:hRule="exact" w:val="284"/>
          <w:jc w:val="center"/>
        </w:trPr>
        <w:tc>
          <w:tcPr>
            <w:tcW w:w="5110" w:type="dxa"/>
            <w:tcBorders>
              <w:top w:val="single" w:sz="4" w:space="0" w:color="auto"/>
              <w:bottom w:val="single" w:sz="4" w:space="0" w:color="auto"/>
            </w:tcBorders>
          </w:tcPr>
          <w:p w14:paraId="25F4AFD1" w14:textId="77777777" w:rsidR="00105188" w:rsidRPr="00105188" w:rsidRDefault="00105188" w:rsidP="00B5111A">
            <w:pPr>
              <w:pStyle w:val="NormalWeb"/>
            </w:pPr>
            <w:r w:rsidRPr="00105188">
              <w:t>Propensity to vote for L</w:t>
            </w:r>
          </w:p>
        </w:tc>
        <w:tc>
          <w:tcPr>
            <w:tcW w:w="1588" w:type="dxa"/>
            <w:tcBorders>
              <w:top w:val="single" w:sz="4" w:space="0" w:color="auto"/>
              <w:bottom w:val="single" w:sz="4" w:space="0" w:color="auto"/>
            </w:tcBorders>
          </w:tcPr>
          <w:p w14:paraId="5C215278" w14:textId="2FB1EFD3" w:rsidR="00105188" w:rsidRPr="00105188" w:rsidRDefault="00105188" w:rsidP="00B5111A">
            <w:pPr>
              <w:pStyle w:val="NormalWeb"/>
            </w:pPr>
            <w:r w:rsidRPr="00105188">
              <w:t>1.12</w:t>
            </w:r>
          </w:p>
        </w:tc>
        <w:tc>
          <w:tcPr>
            <w:tcW w:w="1316" w:type="dxa"/>
            <w:tcBorders>
              <w:top w:val="single" w:sz="4" w:space="0" w:color="auto"/>
              <w:bottom w:val="single" w:sz="4" w:space="0" w:color="auto"/>
            </w:tcBorders>
          </w:tcPr>
          <w:p w14:paraId="77BC6791" w14:textId="2F884564" w:rsidR="00105188" w:rsidRPr="00105188" w:rsidRDefault="00105188" w:rsidP="00B5111A">
            <w:pPr>
              <w:pStyle w:val="NormalWeb"/>
            </w:pPr>
            <w:r w:rsidRPr="00105188">
              <w:t xml:space="preserve">5  </w:t>
            </w:r>
          </w:p>
        </w:tc>
      </w:tr>
      <w:tr w:rsidR="00105188" w:rsidRPr="00105188" w14:paraId="00D8F53F" w14:textId="11DE2AFA" w:rsidTr="006A2425">
        <w:trPr>
          <w:trHeight w:hRule="exact" w:val="284"/>
          <w:jc w:val="center"/>
        </w:trPr>
        <w:tc>
          <w:tcPr>
            <w:tcW w:w="5110" w:type="dxa"/>
            <w:tcBorders>
              <w:top w:val="single" w:sz="4" w:space="0" w:color="auto"/>
              <w:bottom w:val="single" w:sz="4" w:space="0" w:color="auto"/>
            </w:tcBorders>
          </w:tcPr>
          <w:p w14:paraId="57B57BB1" w14:textId="77777777" w:rsidR="00105188" w:rsidRPr="00105188" w:rsidRDefault="00105188" w:rsidP="00B5111A">
            <w:pPr>
              <w:pStyle w:val="NormalWeb"/>
            </w:pPr>
            <w:r w:rsidRPr="00105188">
              <w:t>Propensity to vote for 5SM</w:t>
            </w:r>
          </w:p>
        </w:tc>
        <w:tc>
          <w:tcPr>
            <w:tcW w:w="1588" w:type="dxa"/>
            <w:tcBorders>
              <w:top w:val="single" w:sz="4" w:space="0" w:color="auto"/>
              <w:bottom w:val="single" w:sz="4" w:space="0" w:color="auto"/>
            </w:tcBorders>
          </w:tcPr>
          <w:p w14:paraId="2956F7D5" w14:textId="584A2F04" w:rsidR="00105188" w:rsidRPr="00105188" w:rsidRDefault="00105188" w:rsidP="00B5111A">
            <w:pPr>
              <w:pStyle w:val="NormalWeb"/>
            </w:pPr>
            <w:r w:rsidRPr="00105188">
              <w:t>0.74</w:t>
            </w:r>
          </w:p>
        </w:tc>
        <w:tc>
          <w:tcPr>
            <w:tcW w:w="1316" w:type="dxa"/>
            <w:tcBorders>
              <w:top w:val="single" w:sz="4" w:space="0" w:color="auto"/>
              <w:bottom w:val="single" w:sz="4" w:space="0" w:color="auto"/>
            </w:tcBorders>
          </w:tcPr>
          <w:p w14:paraId="132371B2" w14:textId="619DD531" w:rsidR="00105188" w:rsidRPr="00105188" w:rsidRDefault="00BF3D7E" w:rsidP="00B5111A">
            <w:pPr>
              <w:pStyle w:val="NormalWeb"/>
            </w:pPr>
            <w:r>
              <w:t>7</w:t>
            </w:r>
            <w:r w:rsidR="00105188" w:rsidRPr="00105188">
              <w:t xml:space="preserve">  </w:t>
            </w:r>
          </w:p>
        </w:tc>
      </w:tr>
      <w:tr w:rsidR="00105188" w:rsidRPr="00105188" w14:paraId="55BD1EF1" w14:textId="51CD67F8" w:rsidTr="006A2425">
        <w:trPr>
          <w:trHeight w:hRule="exact" w:val="284"/>
          <w:jc w:val="center"/>
        </w:trPr>
        <w:tc>
          <w:tcPr>
            <w:tcW w:w="5110" w:type="dxa"/>
            <w:tcBorders>
              <w:top w:val="single" w:sz="4" w:space="0" w:color="auto"/>
              <w:bottom w:val="single" w:sz="4" w:space="0" w:color="auto"/>
            </w:tcBorders>
          </w:tcPr>
          <w:p w14:paraId="5B390F2B" w14:textId="77777777" w:rsidR="00105188" w:rsidRPr="00105188" w:rsidRDefault="00105188" w:rsidP="00B5111A">
            <w:pPr>
              <w:pStyle w:val="NormalWeb"/>
            </w:pPr>
            <w:r w:rsidRPr="00105188">
              <w:t>Propensity to vote for BOI</w:t>
            </w:r>
          </w:p>
        </w:tc>
        <w:tc>
          <w:tcPr>
            <w:tcW w:w="1588" w:type="dxa"/>
            <w:tcBorders>
              <w:top w:val="single" w:sz="4" w:space="0" w:color="auto"/>
              <w:bottom w:val="single" w:sz="4" w:space="0" w:color="auto"/>
            </w:tcBorders>
          </w:tcPr>
          <w:p w14:paraId="0D0C91A3" w14:textId="0C26F223" w:rsidR="00105188" w:rsidRPr="00105188" w:rsidRDefault="00BF3D7E" w:rsidP="00B5111A">
            <w:pPr>
              <w:pStyle w:val="NormalWeb"/>
            </w:pPr>
            <w:r>
              <w:t>1.01</w:t>
            </w:r>
          </w:p>
        </w:tc>
        <w:tc>
          <w:tcPr>
            <w:tcW w:w="1316" w:type="dxa"/>
            <w:tcBorders>
              <w:top w:val="single" w:sz="4" w:space="0" w:color="auto"/>
              <w:bottom w:val="single" w:sz="4" w:space="0" w:color="auto"/>
            </w:tcBorders>
          </w:tcPr>
          <w:p w14:paraId="501A78AC" w14:textId="0A556811" w:rsidR="00105188" w:rsidRPr="00105188" w:rsidRDefault="00BF3D7E" w:rsidP="00B5111A">
            <w:pPr>
              <w:pStyle w:val="NormalWeb"/>
            </w:pPr>
            <w:r>
              <w:t>6</w:t>
            </w:r>
            <w:r w:rsidR="00105188" w:rsidRPr="00105188">
              <w:t xml:space="preserve"> </w:t>
            </w:r>
          </w:p>
        </w:tc>
      </w:tr>
      <w:tr w:rsidR="00105188" w:rsidRPr="00105188" w14:paraId="7BE8DA3B" w14:textId="229447B0" w:rsidTr="006A2425">
        <w:trPr>
          <w:trHeight w:hRule="exact" w:val="284"/>
          <w:jc w:val="center"/>
        </w:trPr>
        <w:tc>
          <w:tcPr>
            <w:tcW w:w="5110" w:type="dxa"/>
            <w:tcBorders>
              <w:top w:val="single" w:sz="4" w:space="0" w:color="auto"/>
              <w:bottom w:val="single" w:sz="4" w:space="0" w:color="auto"/>
            </w:tcBorders>
          </w:tcPr>
          <w:p w14:paraId="14AD85EF" w14:textId="77777777" w:rsidR="00105188" w:rsidRPr="00105188" w:rsidRDefault="00105188" w:rsidP="00B5111A">
            <w:pPr>
              <w:pStyle w:val="NormalWeb"/>
            </w:pPr>
            <w:r w:rsidRPr="00105188">
              <w:t>Distrust of science</w:t>
            </w:r>
          </w:p>
        </w:tc>
        <w:tc>
          <w:tcPr>
            <w:tcW w:w="1588" w:type="dxa"/>
            <w:tcBorders>
              <w:top w:val="single" w:sz="4" w:space="0" w:color="auto"/>
              <w:bottom w:val="single" w:sz="4" w:space="0" w:color="auto"/>
            </w:tcBorders>
          </w:tcPr>
          <w:p w14:paraId="323D0F38" w14:textId="1A62AA5B" w:rsidR="00105188" w:rsidRPr="00105188" w:rsidRDefault="00105188" w:rsidP="00B5111A">
            <w:pPr>
              <w:pStyle w:val="NormalWeb"/>
            </w:pPr>
            <w:r w:rsidRPr="00105188">
              <w:t>1.22</w:t>
            </w:r>
          </w:p>
        </w:tc>
        <w:tc>
          <w:tcPr>
            <w:tcW w:w="1316" w:type="dxa"/>
            <w:tcBorders>
              <w:top w:val="single" w:sz="4" w:space="0" w:color="auto"/>
              <w:bottom w:val="single" w:sz="4" w:space="0" w:color="auto"/>
            </w:tcBorders>
          </w:tcPr>
          <w:p w14:paraId="2D8EDF50" w14:textId="15E32779" w:rsidR="00105188" w:rsidRPr="00105188" w:rsidRDefault="00105188" w:rsidP="00B5111A">
            <w:pPr>
              <w:pStyle w:val="NormalWeb"/>
            </w:pPr>
            <w:r w:rsidRPr="00105188">
              <w:t xml:space="preserve">10 </w:t>
            </w:r>
          </w:p>
        </w:tc>
      </w:tr>
      <w:tr w:rsidR="00105188" w:rsidRPr="00105188" w14:paraId="4655A3EC" w14:textId="5D19D8A0" w:rsidTr="006A2425">
        <w:trPr>
          <w:trHeight w:hRule="exact" w:val="284"/>
          <w:jc w:val="center"/>
        </w:trPr>
        <w:tc>
          <w:tcPr>
            <w:tcW w:w="5110" w:type="dxa"/>
            <w:tcBorders>
              <w:top w:val="single" w:sz="4" w:space="0" w:color="auto"/>
              <w:bottom w:val="single" w:sz="4" w:space="0" w:color="auto"/>
            </w:tcBorders>
          </w:tcPr>
          <w:p w14:paraId="06A15C8A" w14:textId="77777777" w:rsidR="00105188" w:rsidRPr="00105188" w:rsidRDefault="00105188" w:rsidP="00B5111A">
            <w:pPr>
              <w:pStyle w:val="NormalWeb"/>
            </w:pPr>
            <w:r w:rsidRPr="00105188">
              <w:t>Religion, pray</w:t>
            </w:r>
          </w:p>
        </w:tc>
        <w:tc>
          <w:tcPr>
            <w:tcW w:w="1588" w:type="dxa"/>
            <w:tcBorders>
              <w:top w:val="single" w:sz="4" w:space="0" w:color="auto"/>
              <w:bottom w:val="single" w:sz="4" w:space="0" w:color="auto"/>
            </w:tcBorders>
          </w:tcPr>
          <w:p w14:paraId="4FBB4CFB" w14:textId="3DD6A958" w:rsidR="00105188" w:rsidRPr="00105188" w:rsidRDefault="00BF3D7E" w:rsidP="00B5111A">
            <w:pPr>
              <w:pStyle w:val="NormalWeb"/>
            </w:pPr>
            <w:r>
              <w:t>1.49</w:t>
            </w:r>
          </w:p>
        </w:tc>
        <w:tc>
          <w:tcPr>
            <w:tcW w:w="1316" w:type="dxa"/>
            <w:tcBorders>
              <w:top w:val="single" w:sz="4" w:space="0" w:color="auto"/>
              <w:bottom w:val="single" w:sz="4" w:space="0" w:color="auto"/>
            </w:tcBorders>
          </w:tcPr>
          <w:p w14:paraId="439866CA" w14:textId="786A061C" w:rsidR="00105188" w:rsidRPr="00105188" w:rsidRDefault="00105188" w:rsidP="00B5111A">
            <w:pPr>
              <w:pStyle w:val="NormalWeb"/>
            </w:pPr>
            <w:r w:rsidRPr="00105188">
              <w:t>1</w:t>
            </w:r>
            <w:r w:rsidR="00BF3D7E">
              <w:t>5</w:t>
            </w:r>
            <w:r w:rsidRPr="00105188">
              <w:t xml:space="preserve">  </w:t>
            </w:r>
          </w:p>
        </w:tc>
      </w:tr>
      <w:tr w:rsidR="00105188" w:rsidRPr="00105188" w14:paraId="120D4C90" w14:textId="48AC261A" w:rsidTr="006A2425">
        <w:trPr>
          <w:trHeight w:hRule="exact" w:val="284"/>
          <w:jc w:val="center"/>
        </w:trPr>
        <w:tc>
          <w:tcPr>
            <w:tcW w:w="5110" w:type="dxa"/>
            <w:tcBorders>
              <w:top w:val="single" w:sz="4" w:space="0" w:color="auto"/>
              <w:bottom w:val="single" w:sz="4" w:space="0" w:color="auto"/>
            </w:tcBorders>
          </w:tcPr>
          <w:p w14:paraId="34E5FDBF" w14:textId="77777777" w:rsidR="00105188" w:rsidRPr="00105188" w:rsidRDefault="00105188" w:rsidP="00B5111A">
            <w:pPr>
              <w:pStyle w:val="NormalWeb"/>
            </w:pPr>
            <w:r w:rsidRPr="00105188">
              <w:t>Digital media diet</w:t>
            </w:r>
          </w:p>
        </w:tc>
        <w:tc>
          <w:tcPr>
            <w:tcW w:w="1588" w:type="dxa"/>
            <w:tcBorders>
              <w:top w:val="single" w:sz="4" w:space="0" w:color="auto"/>
              <w:bottom w:val="single" w:sz="4" w:space="0" w:color="auto"/>
            </w:tcBorders>
          </w:tcPr>
          <w:p w14:paraId="0D5A7453" w14:textId="712422E9" w:rsidR="00105188" w:rsidRPr="00105188" w:rsidRDefault="00105188" w:rsidP="00B5111A">
            <w:pPr>
              <w:pStyle w:val="NormalWeb"/>
            </w:pPr>
            <w:r w:rsidRPr="00105188">
              <w:t>0.4</w:t>
            </w:r>
            <w:r w:rsidR="00BF3D7E">
              <w:t>8</w:t>
            </w:r>
          </w:p>
        </w:tc>
        <w:tc>
          <w:tcPr>
            <w:tcW w:w="1316" w:type="dxa"/>
            <w:tcBorders>
              <w:top w:val="single" w:sz="4" w:space="0" w:color="auto"/>
              <w:bottom w:val="single" w:sz="4" w:space="0" w:color="auto"/>
            </w:tcBorders>
          </w:tcPr>
          <w:p w14:paraId="0F3EA1AB" w14:textId="04C2F79F" w:rsidR="00105188" w:rsidRPr="00105188" w:rsidRDefault="00105188" w:rsidP="00B5111A">
            <w:pPr>
              <w:pStyle w:val="NormalWeb"/>
            </w:pPr>
            <w:r w:rsidRPr="00105188">
              <w:t xml:space="preserve">5 </w:t>
            </w:r>
          </w:p>
        </w:tc>
      </w:tr>
      <w:tr w:rsidR="00105188" w:rsidRPr="00105188" w14:paraId="0B08FD2B" w14:textId="70CCD803" w:rsidTr="006A2425">
        <w:trPr>
          <w:trHeight w:hRule="exact" w:val="284"/>
          <w:jc w:val="center"/>
        </w:trPr>
        <w:tc>
          <w:tcPr>
            <w:tcW w:w="5110" w:type="dxa"/>
            <w:tcBorders>
              <w:top w:val="single" w:sz="4" w:space="0" w:color="auto"/>
              <w:bottom w:val="single" w:sz="4" w:space="0" w:color="auto"/>
            </w:tcBorders>
          </w:tcPr>
          <w:p w14:paraId="3D232E87" w14:textId="77777777" w:rsidR="00105188" w:rsidRPr="00105188" w:rsidRDefault="00105188" w:rsidP="00B5111A">
            <w:pPr>
              <w:pStyle w:val="NormalWeb"/>
            </w:pPr>
            <w:r w:rsidRPr="00105188">
              <w:t>Sex, female</w:t>
            </w:r>
          </w:p>
        </w:tc>
        <w:tc>
          <w:tcPr>
            <w:tcW w:w="1588" w:type="dxa"/>
            <w:tcBorders>
              <w:top w:val="single" w:sz="4" w:space="0" w:color="auto"/>
              <w:bottom w:val="single" w:sz="4" w:space="0" w:color="auto"/>
            </w:tcBorders>
          </w:tcPr>
          <w:p w14:paraId="7D19490E" w14:textId="47D095A3" w:rsidR="00105188" w:rsidRPr="00105188" w:rsidRDefault="00BF3D7E" w:rsidP="00B5111A">
            <w:pPr>
              <w:pStyle w:val="NormalWeb"/>
            </w:pPr>
            <w:r>
              <w:t>1.01</w:t>
            </w:r>
          </w:p>
        </w:tc>
        <w:tc>
          <w:tcPr>
            <w:tcW w:w="1316" w:type="dxa"/>
            <w:tcBorders>
              <w:top w:val="single" w:sz="4" w:space="0" w:color="auto"/>
              <w:bottom w:val="single" w:sz="4" w:space="0" w:color="auto"/>
            </w:tcBorders>
          </w:tcPr>
          <w:p w14:paraId="7D87E272" w14:textId="46A24216" w:rsidR="00105188" w:rsidRPr="00105188" w:rsidRDefault="00105188" w:rsidP="00B5111A">
            <w:pPr>
              <w:pStyle w:val="NormalWeb"/>
            </w:pPr>
            <w:r w:rsidRPr="00105188">
              <w:t xml:space="preserve">10 </w:t>
            </w:r>
          </w:p>
        </w:tc>
      </w:tr>
      <w:tr w:rsidR="00105188" w:rsidRPr="00105188" w14:paraId="727ED360" w14:textId="61073D40" w:rsidTr="006A2425">
        <w:trPr>
          <w:trHeight w:hRule="exact" w:val="284"/>
          <w:jc w:val="center"/>
        </w:trPr>
        <w:tc>
          <w:tcPr>
            <w:tcW w:w="5110" w:type="dxa"/>
            <w:tcBorders>
              <w:top w:val="single" w:sz="4" w:space="0" w:color="auto"/>
              <w:bottom w:val="single" w:sz="4" w:space="0" w:color="auto"/>
            </w:tcBorders>
          </w:tcPr>
          <w:p w14:paraId="5BB62016" w14:textId="77777777" w:rsidR="00105188" w:rsidRPr="00105188" w:rsidRDefault="00105188" w:rsidP="00B5111A">
            <w:pPr>
              <w:pStyle w:val="NormalWeb"/>
            </w:pPr>
            <w:r w:rsidRPr="00105188">
              <w:t>Age, young</w:t>
            </w:r>
          </w:p>
        </w:tc>
        <w:tc>
          <w:tcPr>
            <w:tcW w:w="1588" w:type="dxa"/>
            <w:tcBorders>
              <w:top w:val="single" w:sz="4" w:space="0" w:color="auto"/>
              <w:bottom w:val="single" w:sz="4" w:space="0" w:color="auto"/>
            </w:tcBorders>
          </w:tcPr>
          <w:p w14:paraId="074B972B" w14:textId="462299F5" w:rsidR="00105188" w:rsidRPr="00105188" w:rsidRDefault="00105188" w:rsidP="00B5111A">
            <w:pPr>
              <w:pStyle w:val="NormalWeb"/>
            </w:pPr>
            <w:r w:rsidRPr="00105188">
              <w:t>1.</w:t>
            </w:r>
            <w:r w:rsidR="00BF3D7E">
              <w:t>24</w:t>
            </w:r>
          </w:p>
        </w:tc>
        <w:tc>
          <w:tcPr>
            <w:tcW w:w="1316" w:type="dxa"/>
            <w:tcBorders>
              <w:top w:val="single" w:sz="4" w:space="0" w:color="auto"/>
              <w:bottom w:val="single" w:sz="4" w:space="0" w:color="auto"/>
            </w:tcBorders>
          </w:tcPr>
          <w:p w14:paraId="6DC5BA9B" w14:textId="47C9A7C3" w:rsidR="00105188" w:rsidRPr="00105188" w:rsidRDefault="00105188" w:rsidP="00B5111A">
            <w:pPr>
              <w:pStyle w:val="NormalWeb"/>
            </w:pPr>
            <w:r w:rsidRPr="00105188">
              <w:t>1</w:t>
            </w:r>
            <w:r w:rsidR="00BF3D7E">
              <w:t>1</w:t>
            </w:r>
            <w:r w:rsidRPr="00105188">
              <w:t xml:space="preserve"> </w:t>
            </w:r>
          </w:p>
        </w:tc>
      </w:tr>
      <w:tr w:rsidR="00105188" w:rsidRPr="00105188" w14:paraId="2E6785AC" w14:textId="5594BDE6" w:rsidTr="006A2425">
        <w:trPr>
          <w:trHeight w:hRule="exact" w:val="284"/>
          <w:jc w:val="center"/>
        </w:trPr>
        <w:tc>
          <w:tcPr>
            <w:tcW w:w="5110" w:type="dxa"/>
            <w:tcBorders>
              <w:top w:val="single" w:sz="4" w:space="0" w:color="auto"/>
              <w:bottom w:val="single" w:sz="4" w:space="0" w:color="auto"/>
            </w:tcBorders>
          </w:tcPr>
          <w:p w14:paraId="77494771" w14:textId="77777777" w:rsidR="00105188" w:rsidRPr="00105188" w:rsidRDefault="00105188" w:rsidP="00B5111A">
            <w:pPr>
              <w:pStyle w:val="NormalWeb"/>
            </w:pPr>
            <w:r w:rsidRPr="00105188">
              <w:t>Educational level, low</w:t>
            </w:r>
          </w:p>
        </w:tc>
        <w:tc>
          <w:tcPr>
            <w:tcW w:w="1588" w:type="dxa"/>
            <w:tcBorders>
              <w:top w:val="single" w:sz="4" w:space="0" w:color="auto"/>
              <w:bottom w:val="single" w:sz="4" w:space="0" w:color="auto"/>
            </w:tcBorders>
          </w:tcPr>
          <w:p w14:paraId="7BD5DF8D" w14:textId="19FB6929" w:rsidR="00105188" w:rsidRPr="00105188" w:rsidRDefault="00105188" w:rsidP="00B5111A">
            <w:pPr>
              <w:pStyle w:val="NormalWeb"/>
            </w:pPr>
            <w:r w:rsidRPr="00105188">
              <w:t>1.0</w:t>
            </w:r>
            <w:r w:rsidR="00BF3D7E">
              <w:t>9</w:t>
            </w:r>
          </w:p>
        </w:tc>
        <w:tc>
          <w:tcPr>
            <w:tcW w:w="1316" w:type="dxa"/>
            <w:tcBorders>
              <w:top w:val="single" w:sz="4" w:space="0" w:color="auto"/>
              <w:bottom w:val="single" w:sz="4" w:space="0" w:color="auto"/>
            </w:tcBorders>
          </w:tcPr>
          <w:p w14:paraId="4646087B" w14:textId="5617C3FC" w:rsidR="00105188" w:rsidRPr="00105188" w:rsidRDefault="00105188" w:rsidP="00B5111A">
            <w:pPr>
              <w:pStyle w:val="NormalWeb"/>
            </w:pPr>
            <w:r w:rsidRPr="00105188">
              <w:t xml:space="preserve">10  </w:t>
            </w:r>
          </w:p>
        </w:tc>
      </w:tr>
      <w:tr w:rsidR="00105188" w:rsidRPr="00105188" w14:paraId="40762D1F" w14:textId="07C02E0E" w:rsidTr="006A2425">
        <w:trPr>
          <w:trHeight w:hRule="exact" w:val="284"/>
          <w:jc w:val="center"/>
        </w:trPr>
        <w:tc>
          <w:tcPr>
            <w:tcW w:w="5110" w:type="dxa"/>
            <w:tcBorders>
              <w:top w:val="single" w:sz="4" w:space="0" w:color="auto"/>
              <w:bottom w:val="single" w:sz="4" w:space="0" w:color="auto"/>
            </w:tcBorders>
          </w:tcPr>
          <w:p w14:paraId="4AF5335A" w14:textId="77777777" w:rsidR="00105188" w:rsidRPr="00105188" w:rsidRDefault="00105188" w:rsidP="00B5111A">
            <w:pPr>
              <w:pStyle w:val="NormalWeb"/>
            </w:pPr>
            <w:r w:rsidRPr="00105188">
              <w:t>Living in a rural region</w:t>
            </w:r>
          </w:p>
        </w:tc>
        <w:tc>
          <w:tcPr>
            <w:tcW w:w="1588" w:type="dxa"/>
            <w:tcBorders>
              <w:top w:val="single" w:sz="4" w:space="0" w:color="auto"/>
              <w:bottom w:val="single" w:sz="4" w:space="0" w:color="auto"/>
            </w:tcBorders>
          </w:tcPr>
          <w:p w14:paraId="07434F01" w14:textId="255A69C7" w:rsidR="00105188" w:rsidRPr="00105188" w:rsidRDefault="00105188" w:rsidP="00B5111A">
            <w:pPr>
              <w:pStyle w:val="NormalWeb"/>
            </w:pPr>
            <w:r w:rsidRPr="00105188">
              <w:t>0.</w:t>
            </w:r>
            <w:r w:rsidR="00BF3D7E">
              <w:t>47</w:t>
            </w:r>
          </w:p>
        </w:tc>
        <w:tc>
          <w:tcPr>
            <w:tcW w:w="1316" w:type="dxa"/>
            <w:tcBorders>
              <w:top w:val="single" w:sz="4" w:space="0" w:color="auto"/>
              <w:bottom w:val="single" w:sz="4" w:space="0" w:color="auto"/>
            </w:tcBorders>
          </w:tcPr>
          <w:p w14:paraId="72B37A9E" w14:textId="0F1F295C" w:rsidR="00105188" w:rsidRPr="00105188" w:rsidRDefault="00BF3D7E" w:rsidP="00B5111A">
            <w:pPr>
              <w:pStyle w:val="NormalWeb"/>
            </w:pPr>
            <w:r>
              <w:t>9</w:t>
            </w:r>
            <w:r w:rsidR="00105188" w:rsidRPr="00105188">
              <w:t xml:space="preserve">  </w:t>
            </w:r>
          </w:p>
        </w:tc>
      </w:tr>
      <w:tr w:rsidR="00105188" w:rsidRPr="00105188" w14:paraId="6137CF3E" w14:textId="6A73EDB1" w:rsidTr="006A2425">
        <w:trPr>
          <w:trHeight w:hRule="exact" w:val="284"/>
          <w:jc w:val="center"/>
        </w:trPr>
        <w:tc>
          <w:tcPr>
            <w:tcW w:w="5110" w:type="dxa"/>
            <w:tcBorders>
              <w:top w:val="single" w:sz="4" w:space="0" w:color="auto"/>
              <w:bottom w:val="single" w:sz="4" w:space="0" w:color="auto"/>
            </w:tcBorders>
          </w:tcPr>
          <w:p w14:paraId="7542F1E7" w14:textId="77777777" w:rsidR="00105188" w:rsidRPr="00105188" w:rsidRDefault="00105188" w:rsidP="00B5111A">
            <w:pPr>
              <w:pStyle w:val="NormalWeb"/>
            </w:pPr>
            <w:r w:rsidRPr="00105188">
              <w:t>Economic insecurity</w:t>
            </w:r>
          </w:p>
        </w:tc>
        <w:tc>
          <w:tcPr>
            <w:tcW w:w="1588" w:type="dxa"/>
            <w:tcBorders>
              <w:top w:val="single" w:sz="4" w:space="0" w:color="auto"/>
              <w:bottom w:val="single" w:sz="4" w:space="0" w:color="auto"/>
            </w:tcBorders>
          </w:tcPr>
          <w:p w14:paraId="3016E4CD" w14:textId="34C20EE5" w:rsidR="00105188" w:rsidRPr="00105188" w:rsidRDefault="00105188" w:rsidP="00B5111A">
            <w:pPr>
              <w:pStyle w:val="NormalWeb"/>
            </w:pPr>
            <w:r w:rsidRPr="00105188">
              <w:t>0.6</w:t>
            </w:r>
            <w:r w:rsidR="00BF3D7E">
              <w:t>4</w:t>
            </w:r>
          </w:p>
        </w:tc>
        <w:tc>
          <w:tcPr>
            <w:tcW w:w="1316" w:type="dxa"/>
            <w:tcBorders>
              <w:top w:val="single" w:sz="4" w:space="0" w:color="auto"/>
              <w:bottom w:val="single" w:sz="4" w:space="0" w:color="auto"/>
            </w:tcBorders>
          </w:tcPr>
          <w:p w14:paraId="7C728786" w14:textId="5B42D718" w:rsidR="00105188" w:rsidRPr="00105188" w:rsidRDefault="00BF3D7E" w:rsidP="00B5111A">
            <w:pPr>
              <w:pStyle w:val="NormalWeb"/>
            </w:pPr>
            <w:r>
              <w:t>9</w:t>
            </w:r>
            <w:r w:rsidR="00105188" w:rsidRPr="00105188">
              <w:t xml:space="preserve">  </w:t>
            </w:r>
          </w:p>
        </w:tc>
      </w:tr>
      <w:tr w:rsidR="00105188" w:rsidRPr="00105188" w14:paraId="7B65AAC3" w14:textId="50C612EB" w:rsidTr="006A2425">
        <w:trPr>
          <w:trHeight w:hRule="exact" w:val="284"/>
          <w:jc w:val="center"/>
        </w:trPr>
        <w:tc>
          <w:tcPr>
            <w:tcW w:w="5110" w:type="dxa"/>
            <w:tcBorders>
              <w:top w:val="single" w:sz="4" w:space="0" w:color="auto"/>
              <w:bottom w:val="single" w:sz="4" w:space="0" w:color="auto"/>
            </w:tcBorders>
          </w:tcPr>
          <w:p w14:paraId="356A393A" w14:textId="77777777" w:rsidR="00105188" w:rsidRPr="00105188" w:rsidRDefault="00105188" w:rsidP="00B5111A">
            <w:pPr>
              <w:pStyle w:val="NormalWeb"/>
            </w:pPr>
            <w:r w:rsidRPr="00105188">
              <w:t>Vaccine hesitancy</w:t>
            </w:r>
          </w:p>
        </w:tc>
        <w:tc>
          <w:tcPr>
            <w:tcW w:w="1588" w:type="dxa"/>
            <w:tcBorders>
              <w:top w:val="single" w:sz="4" w:space="0" w:color="auto"/>
              <w:bottom w:val="single" w:sz="4" w:space="0" w:color="auto"/>
            </w:tcBorders>
          </w:tcPr>
          <w:p w14:paraId="3392D782" w14:textId="1ACA89AC" w:rsidR="00105188" w:rsidRPr="00105188" w:rsidRDefault="00105188" w:rsidP="00B5111A">
            <w:pPr>
              <w:pStyle w:val="NormalWeb"/>
            </w:pPr>
            <w:r w:rsidRPr="00105188">
              <w:t>2.1</w:t>
            </w:r>
            <w:r w:rsidR="00BF3D7E">
              <w:t>3</w:t>
            </w:r>
          </w:p>
        </w:tc>
        <w:tc>
          <w:tcPr>
            <w:tcW w:w="1316" w:type="dxa"/>
            <w:tcBorders>
              <w:top w:val="single" w:sz="4" w:space="0" w:color="auto"/>
              <w:bottom w:val="single" w:sz="4" w:space="0" w:color="auto"/>
            </w:tcBorders>
          </w:tcPr>
          <w:p w14:paraId="59D0A925" w14:textId="5BE18DAA" w:rsidR="00105188" w:rsidRPr="00105188" w:rsidRDefault="00105188" w:rsidP="00B5111A">
            <w:pPr>
              <w:pStyle w:val="NormalWeb"/>
            </w:pPr>
            <w:r w:rsidRPr="00105188">
              <w:t xml:space="preserve">7 </w:t>
            </w:r>
          </w:p>
        </w:tc>
      </w:tr>
      <w:tr w:rsidR="00105188" w:rsidRPr="00105188" w14:paraId="1F824E4C" w14:textId="34F5E03C" w:rsidTr="006A2425">
        <w:trPr>
          <w:trHeight w:hRule="exact" w:val="284"/>
          <w:jc w:val="center"/>
        </w:trPr>
        <w:tc>
          <w:tcPr>
            <w:tcW w:w="5110" w:type="dxa"/>
            <w:tcBorders>
              <w:top w:val="single" w:sz="4" w:space="0" w:color="auto"/>
              <w:bottom w:val="single" w:sz="4" w:space="0" w:color="auto"/>
            </w:tcBorders>
          </w:tcPr>
          <w:p w14:paraId="01C5CE10" w14:textId="77777777" w:rsidR="00105188" w:rsidRPr="00105188" w:rsidRDefault="00105188" w:rsidP="00B5111A">
            <w:pPr>
              <w:pStyle w:val="NormalWeb"/>
            </w:pPr>
            <w:r w:rsidRPr="00105188">
              <w:t>Low compliance with preventive behaviors</w:t>
            </w:r>
          </w:p>
        </w:tc>
        <w:tc>
          <w:tcPr>
            <w:tcW w:w="1588" w:type="dxa"/>
            <w:tcBorders>
              <w:top w:val="single" w:sz="4" w:space="0" w:color="auto"/>
              <w:bottom w:val="single" w:sz="4" w:space="0" w:color="auto"/>
            </w:tcBorders>
          </w:tcPr>
          <w:p w14:paraId="0DFFC110" w14:textId="76F5A1E5" w:rsidR="00105188" w:rsidRPr="00105188" w:rsidRDefault="00105188" w:rsidP="00B5111A">
            <w:pPr>
              <w:pStyle w:val="NormalWeb"/>
            </w:pPr>
            <w:r w:rsidRPr="00105188">
              <w:t>1.4</w:t>
            </w:r>
            <w:r w:rsidR="00BF3D7E">
              <w:t>7</w:t>
            </w:r>
          </w:p>
        </w:tc>
        <w:tc>
          <w:tcPr>
            <w:tcW w:w="1316" w:type="dxa"/>
            <w:tcBorders>
              <w:top w:val="single" w:sz="4" w:space="0" w:color="auto"/>
              <w:bottom w:val="single" w:sz="4" w:space="0" w:color="auto"/>
            </w:tcBorders>
          </w:tcPr>
          <w:p w14:paraId="57A837EF" w14:textId="4CA77CD1" w:rsidR="00105188" w:rsidRPr="00105188" w:rsidRDefault="00105188" w:rsidP="00B5111A">
            <w:pPr>
              <w:pStyle w:val="NormalWeb"/>
            </w:pPr>
            <w:r w:rsidRPr="00105188">
              <w:t>1</w:t>
            </w:r>
            <w:r w:rsidR="00BF3D7E">
              <w:t>2</w:t>
            </w:r>
            <w:r w:rsidRPr="00105188">
              <w:t xml:space="preserve"> </w:t>
            </w:r>
          </w:p>
        </w:tc>
      </w:tr>
      <w:tr w:rsidR="00105188" w:rsidRPr="00105188" w14:paraId="3C3D64E4" w14:textId="6B76B95E" w:rsidTr="006A2425">
        <w:trPr>
          <w:trHeight w:hRule="exact" w:val="284"/>
          <w:jc w:val="center"/>
        </w:trPr>
        <w:tc>
          <w:tcPr>
            <w:tcW w:w="5110" w:type="dxa"/>
            <w:tcBorders>
              <w:top w:val="single" w:sz="4" w:space="0" w:color="auto"/>
              <w:bottom w:val="single" w:sz="4" w:space="0" w:color="auto"/>
            </w:tcBorders>
          </w:tcPr>
          <w:p w14:paraId="2DDCC017" w14:textId="77777777" w:rsidR="00105188" w:rsidRPr="00105188" w:rsidRDefault="00105188" w:rsidP="00B5111A">
            <w:pPr>
              <w:pStyle w:val="NormalWeb"/>
            </w:pPr>
            <w:r w:rsidRPr="00105188">
              <w:t>Disapproval of Government</w:t>
            </w:r>
          </w:p>
        </w:tc>
        <w:tc>
          <w:tcPr>
            <w:tcW w:w="1588" w:type="dxa"/>
            <w:tcBorders>
              <w:top w:val="single" w:sz="4" w:space="0" w:color="auto"/>
              <w:bottom w:val="single" w:sz="4" w:space="0" w:color="auto"/>
            </w:tcBorders>
          </w:tcPr>
          <w:p w14:paraId="7E9DA3A2" w14:textId="403BFECB" w:rsidR="00105188" w:rsidRPr="00105188" w:rsidRDefault="00105188" w:rsidP="00B5111A">
            <w:pPr>
              <w:pStyle w:val="NormalWeb"/>
            </w:pPr>
            <w:r w:rsidRPr="00105188">
              <w:t>1.</w:t>
            </w:r>
            <w:r w:rsidR="00BF3D7E">
              <w:t>50</w:t>
            </w:r>
          </w:p>
        </w:tc>
        <w:tc>
          <w:tcPr>
            <w:tcW w:w="1316" w:type="dxa"/>
            <w:tcBorders>
              <w:top w:val="single" w:sz="4" w:space="0" w:color="auto"/>
              <w:bottom w:val="single" w:sz="4" w:space="0" w:color="auto"/>
            </w:tcBorders>
          </w:tcPr>
          <w:p w14:paraId="44B23A6B" w14:textId="620612FC" w:rsidR="00105188" w:rsidRPr="00105188" w:rsidRDefault="00105188" w:rsidP="00B5111A">
            <w:pPr>
              <w:pStyle w:val="NormalWeb"/>
            </w:pPr>
            <w:r w:rsidRPr="00105188">
              <w:t>1</w:t>
            </w:r>
            <w:r w:rsidR="00BF3D7E">
              <w:t>6</w:t>
            </w:r>
          </w:p>
        </w:tc>
      </w:tr>
      <w:tr w:rsidR="00105188" w:rsidRPr="00105188" w14:paraId="52A5657E" w14:textId="0477EAAC" w:rsidTr="006A2425">
        <w:trPr>
          <w:trHeight w:hRule="exact" w:val="284"/>
          <w:jc w:val="center"/>
        </w:trPr>
        <w:tc>
          <w:tcPr>
            <w:tcW w:w="5110" w:type="dxa"/>
            <w:tcBorders>
              <w:top w:val="single" w:sz="4" w:space="0" w:color="auto"/>
              <w:bottom w:val="single" w:sz="18" w:space="0" w:color="auto"/>
            </w:tcBorders>
          </w:tcPr>
          <w:p w14:paraId="2FA3F7C3" w14:textId="77777777" w:rsidR="00105188" w:rsidRPr="00105188" w:rsidRDefault="00105188" w:rsidP="00B5111A">
            <w:pPr>
              <w:pStyle w:val="NormalWeb"/>
            </w:pPr>
            <w:r w:rsidRPr="00105188">
              <w:t>Distrust of institutions</w:t>
            </w:r>
          </w:p>
        </w:tc>
        <w:tc>
          <w:tcPr>
            <w:tcW w:w="1588" w:type="dxa"/>
            <w:tcBorders>
              <w:top w:val="single" w:sz="4" w:space="0" w:color="auto"/>
              <w:bottom w:val="single" w:sz="18" w:space="0" w:color="auto"/>
            </w:tcBorders>
          </w:tcPr>
          <w:p w14:paraId="6828B1DD" w14:textId="0FA81950" w:rsidR="00105188" w:rsidRPr="00105188" w:rsidRDefault="00105188" w:rsidP="00B5111A">
            <w:pPr>
              <w:pStyle w:val="NormalWeb"/>
            </w:pPr>
            <w:r w:rsidRPr="00105188">
              <w:t>1.</w:t>
            </w:r>
            <w:r w:rsidR="00BF3D7E">
              <w:t>20</w:t>
            </w:r>
          </w:p>
        </w:tc>
        <w:tc>
          <w:tcPr>
            <w:tcW w:w="1316" w:type="dxa"/>
            <w:tcBorders>
              <w:top w:val="single" w:sz="4" w:space="0" w:color="auto"/>
              <w:bottom w:val="single" w:sz="18" w:space="0" w:color="auto"/>
            </w:tcBorders>
          </w:tcPr>
          <w:p w14:paraId="07728D1F" w14:textId="65023746" w:rsidR="00105188" w:rsidRPr="00105188" w:rsidRDefault="00BF3D7E" w:rsidP="00B5111A">
            <w:pPr>
              <w:pStyle w:val="NormalWeb"/>
            </w:pPr>
            <w:r>
              <w:t>9</w:t>
            </w:r>
          </w:p>
        </w:tc>
      </w:tr>
    </w:tbl>
    <w:p w14:paraId="3CC6606E" w14:textId="77777777" w:rsidR="00105188" w:rsidRPr="001F0797" w:rsidRDefault="00105188" w:rsidP="00B5111A"/>
    <w:p w14:paraId="55535C94" w14:textId="77777777" w:rsidR="001F0797" w:rsidRPr="001F0797" w:rsidRDefault="001F0797" w:rsidP="00B5111A"/>
    <w:p w14:paraId="386901EF" w14:textId="77777777" w:rsidR="00DE2745" w:rsidRDefault="00DE2745">
      <w:pPr>
        <w:jc w:val="left"/>
        <w:rPr>
          <w:rFonts w:asciiTheme="majorHAnsi" w:eastAsiaTheme="majorEastAsia" w:hAnsiTheme="majorHAnsi" w:cstheme="majorBidi"/>
          <w:color w:val="2F5496" w:themeColor="accent1" w:themeShade="BF"/>
          <w:sz w:val="26"/>
          <w:szCs w:val="26"/>
        </w:rPr>
      </w:pPr>
      <w:r>
        <w:br w:type="page"/>
      </w:r>
    </w:p>
    <w:p w14:paraId="4E486236" w14:textId="24966337" w:rsidR="00050DDD" w:rsidRPr="00050DDD" w:rsidRDefault="00DE2745" w:rsidP="00B5111A">
      <w:pPr>
        <w:pStyle w:val="Heading2"/>
      </w:pPr>
      <w:bookmarkStart w:id="4" w:name="_Toc140145262"/>
      <w:r>
        <w:lastRenderedPageBreak/>
        <w:t xml:space="preserve">5 </w:t>
      </w:r>
      <w:r w:rsidR="00050DDD" w:rsidRPr="00050DDD">
        <w:t>Community detection</w:t>
      </w:r>
      <w:bookmarkEnd w:id="4"/>
      <w:r w:rsidR="00050DDD" w:rsidRPr="00050DDD">
        <w:t xml:space="preserve"> </w:t>
      </w:r>
    </w:p>
    <w:p w14:paraId="3DB1B171" w14:textId="6F1C1D21" w:rsidR="00050DDD" w:rsidRDefault="00050DDD" w:rsidP="00B5111A">
      <w:r>
        <w:t>To enhance the stability of the results, w</w:t>
      </w:r>
      <w:r w:rsidRPr="00050DDD">
        <w:t xml:space="preserve">e performed a thousand </w:t>
      </w:r>
      <w:r w:rsidR="00DE2745">
        <w:t>iterations</w:t>
      </w:r>
      <w:r w:rsidRPr="00050DDD">
        <w:t xml:space="preserve"> of the </w:t>
      </w:r>
      <w:r>
        <w:t xml:space="preserve">Walktrap Community detection algorithm </w:t>
      </w:r>
      <w:r>
        <w:fldChar w:fldCharType="begin"/>
      </w:r>
      <w:r>
        <w:instrText xml:space="preserve"> ADDIN ZOTERO_ITEM CSL_CITATION {"citationID":"L1KM7Guj","properties":{"formattedCitation":"(Pons &amp; Latapy, 2005)","plainCitation":"(Pons &amp; Latapy, 2005)","noteIndex":0},"citationItems":[{"id":717,"uris":["http://zotero.org/users/10425122/items/PLTXWSQA"],"itemData":{"id":717,"type":"article-journal","abstract":"Dense subgraphs of sparse graphs (communities), which appear in most real-world complex networks, play an important role in many contexts. Computing them however is generally expensive. We propose here a measure of similarities between vertices based on random walks which has several important advantages: it captures well the community structure in a network, it can be computed efficiently, it works at various scales, and it can be used in an agglomerative algorithm to compute efficiently the community structure of a network. We propose such an algorithm which runs in time O(mn2) and space O(n2) in the worst case, and in time O(n2log n) and space O(n2) in most real-world cases (n and m are respectively the number of vertices and edges in the input graph).","container-title":"Lecture Notes in Computer Science","DOI":"10.1007/11569596_31","ISSN":"0302-9743","page":"284–293","title":"Computer and Information Sciences - ISCIS 2005, 20th International Symposium, Istanbul, Turkey, October 26-28, 2005. Proceedings","author":[{"family":"Pons","given":"Pascal"},{"family":"Latapy","given":"Matthieu"}],"issued":{"date-parts":[["2005"]]}}}],"schema":"https://github.com/citation-style-language/schema/raw/master/csl-citation.json"} </w:instrText>
      </w:r>
      <w:r>
        <w:fldChar w:fldCharType="separate"/>
      </w:r>
      <w:r>
        <w:rPr>
          <w:noProof/>
        </w:rPr>
        <w:t>(Pons &amp; Latapy, 2005)</w:t>
      </w:r>
      <w:r>
        <w:fldChar w:fldCharType="end"/>
      </w:r>
      <w:r>
        <w:t xml:space="preserve">. Figure 2 and Figure 3 report </w:t>
      </w:r>
      <w:r w:rsidR="00DE2745">
        <w:t>respectively</w:t>
      </w:r>
      <w:r>
        <w:t xml:space="preserve"> the result of the iterations and the final output of community detections. Community detection is performed on the absolute </w:t>
      </w:r>
      <w:r w:rsidR="00DE2745">
        <w:t>adjacency</w:t>
      </w:r>
      <w:r>
        <w:t xml:space="preserve"> edge weight matrix, thus ignoring the distinction between negative and positive edges.</w:t>
      </w:r>
    </w:p>
    <w:p w14:paraId="36D6ADAD" w14:textId="77777777" w:rsidR="00050DDD" w:rsidRDefault="00050DDD" w:rsidP="00B5111A"/>
    <w:p w14:paraId="568C4FC4" w14:textId="1729EE91" w:rsidR="00050DDD" w:rsidRPr="00DE2745" w:rsidRDefault="00050DDD" w:rsidP="00DE2745">
      <w:pPr>
        <w:jc w:val="center"/>
        <w:rPr>
          <w:b/>
          <w:bCs/>
          <w:lang w:eastAsia="en-GB"/>
        </w:rPr>
      </w:pPr>
      <w:r w:rsidRPr="00DE2745">
        <w:rPr>
          <w:b/>
          <w:bCs/>
          <w:lang w:eastAsia="en-GB"/>
        </w:rPr>
        <w:t>Figure 2: Iterations of the Walktrap Community detection algorithm</w:t>
      </w:r>
    </w:p>
    <w:p w14:paraId="2592AB04" w14:textId="77777777" w:rsidR="00050DDD" w:rsidRPr="00050DDD" w:rsidRDefault="00050DDD" w:rsidP="00B5111A">
      <w:pPr>
        <w:rPr>
          <w:lang w:eastAsia="en-GB"/>
        </w:rPr>
      </w:pPr>
    </w:p>
    <w:p w14:paraId="3C531857" w14:textId="45F9917E" w:rsidR="00480BE7" w:rsidRDefault="00050DDD" w:rsidP="00B5111A">
      <w:r>
        <w:rPr>
          <w:noProof/>
        </w:rPr>
        <w:drawing>
          <wp:inline distT="0" distB="0" distL="0" distR="0" wp14:anchorId="3FF446ED" wp14:editId="0716DBEF">
            <wp:extent cx="5731510" cy="4428894"/>
            <wp:effectExtent l="0" t="0" r="0" b="3810"/>
            <wp:docPr id="139819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9721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4428894"/>
                    </a:xfrm>
                    <a:prstGeom prst="rect">
                      <a:avLst/>
                    </a:prstGeom>
                  </pic:spPr>
                </pic:pic>
              </a:graphicData>
            </a:graphic>
          </wp:inline>
        </w:drawing>
      </w:r>
    </w:p>
    <w:p w14:paraId="2A631F70" w14:textId="002E67C8" w:rsidR="00050DDD" w:rsidRPr="00DE2745" w:rsidRDefault="00050DDD" w:rsidP="00DE2745">
      <w:pPr>
        <w:jc w:val="center"/>
        <w:rPr>
          <w:b/>
          <w:bCs/>
          <w:lang w:eastAsia="en-GB"/>
        </w:rPr>
      </w:pPr>
      <w:r>
        <w:rPr>
          <w:sz w:val="32"/>
          <w:szCs w:val="32"/>
        </w:rPr>
        <w:br w:type="page"/>
      </w:r>
      <w:r w:rsidRPr="00DE2745">
        <w:rPr>
          <w:b/>
          <w:bCs/>
          <w:lang w:eastAsia="en-GB"/>
        </w:rPr>
        <w:lastRenderedPageBreak/>
        <w:t xml:space="preserve">Figure 3: </w:t>
      </w:r>
      <w:proofErr w:type="gramStart"/>
      <w:r w:rsidRPr="00DE2745">
        <w:rPr>
          <w:b/>
          <w:bCs/>
          <w:lang w:eastAsia="en-GB"/>
        </w:rPr>
        <w:t>Final results</w:t>
      </w:r>
      <w:proofErr w:type="gramEnd"/>
      <w:r w:rsidRPr="00DE2745">
        <w:rPr>
          <w:b/>
          <w:bCs/>
          <w:lang w:eastAsia="en-GB"/>
        </w:rPr>
        <w:t xml:space="preserve"> of the community detection algorithm</w:t>
      </w:r>
    </w:p>
    <w:p w14:paraId="630E6CF5" w14:textId="56828C14" w:rsidR="00050DDD" w:rsidRDefault="00050DDD" w:rsidP="00B5111A">
      <w:pPr>
        <w:rPr>
          <w:lang w:eastAsia="en-GB"/>
          <w14:ligatures w14:val="none"/>
        </w:rPr>
      </w:pPr>
      <w:r>
        <w:rPr>
          <w:noProof/>
          <w:lang w:eastAsia="en-GB"/>
        </w:rPr>
        <w:drawing>
          <wp:inline distT="0" distB="0" distL="0" distR="0" wp14:anchorId="6944ACDC" wp14:editId="05379322">
            <wp:extent cx="5731510" cy="4428894"/>
            <wp:effectExtent l="0" t="0" r="0" b="3810"/>
            <wp:docPr id="281043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43306"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510" cy="4428894"/>
                    </a:xfrm>
                    <a:prstGeom prst="rect">
                      <a:avLst/>
                    </a:prstGeom>
                  </pic:spPr>
                </pic:pic>
              </a:graphicData>
            </a:graphic>
          </wp:inline>
        </w:drawing>
      </w:r>
    </w:p>
    <w:p w14:paraId="7ECB16E3" w14:textId="77777777" w:rsidR="00050DDD" w:rsidRDefault="00050DDD" w:rsidP="00B5111A">
      <w:pPr>
        <w:rPr>
          <w:lang w:eastAsia="en-GB"/>
        </w:rPr>
      </w:pPr>
    </w:p>
    <w:p w14:paraId="0D2D8C89" w14:textId="41A11490" w:rsidR="00050DDD" w:rsidRPr="004B06EC" w:rsidRDefault="00DE2745" w:rsidP="00B5111A">
      <w:pPr>
        <w:pStyle w:val="Heading2"/>
      </w:pPr>
      <w:bookmarkStart w:id="5" w:name="_Toc140145263"/>
      <w:r>
        <w:t xml:space="preserve">6 </w:t>
      </w:r>
      <w:r w:rsidR="004B06EC" w:rsidRPr="004B06EC">
        <w:t>N</w:t>
      </w:r>
      <w:r w:rsidR="00A11B53" w:rsidRPr="004B06EC">
        <w:t xml:space="preserve">etwork weighted </w:t>
      </w:r>
      <w:r w:rsidR="00B5111A">
        <w:t>adjacency</w:t>
      </w:r>
      <w:r w:rsidR="00A11B53" w:rsidRPr="004B06EC">
        <w:t xml:space="preserve"> matrix</w:t>
      </w:r>
      <w:bookmarkEnd w:id="5"/>
    </w:p>
    <w:p w14:paraId="5516DCAD" w14:textId="3D5312BC" w:rsidR="004B06EC" w:rsidRDefault="004B06EC" w:rsidP="00B5111A">
      <w:r w:rsidRPr="004B06EC">
        <w:t xml:space="preserve">Figure </w:t>
      </w:r>
      <w:r>
        <w:t xml:space="preserve">4 </w:t>
      </w:r>
      <w:r w:rsidR="00DE2745">
        <w:t>on</w:t>
      </w:r>
      <w:r>
        <w:t xml:space="preserve"> the next page reports the full weighted </w:t>
      </w:r>
      <w:r w:rsidR="00DE2745">
        <w:t>adjacency</w:t>
      </w:r>
      <w:r>
        <w:t xml:space="preserve"> matrix of the network. Note that 0s </w:t>
      </w:r>
      <w:r w:rsidR="00DE2745">
        <w:t xml:space="preserve">(blank cells) are omitted to improve clarity and that </w:t>
      </w:r>
      <w:r>
        <w:t xml:space="preserve">only the </w:t>
      </w:r>
      <w:r w:rsidR="00F96DCF">
        <w:t xml:space="preserve">upper triangle is reported. As network edges are undirected, the bottom </w:t>
      </w:r>
      <w:r w:rsidR="00DE2745">
        <w:t>triangle</w:t>
      </w:r>
      <w:r w:rsidR="00F96DCF">
        <w:t xml:space="preserve"> is equivalent to the one we show. An </w:t>
      </w:r>
      <w:r w:rsidR="00DE2745">
        <w:t>Excel</w:t>
      </w:r>
      <w:r w:rsidR="00F96DCF">
        <w:t xml:space="preserve"> file containing the same information is also provided in the </w:t>
      </w:r>
      <w:r w:rsidR="009B11EA">
        <w:t>GitHub</w:t>
      </w:r>
      <w:r w:rsidR="00F96DCF">
        <w:t xml:space="preserve"> Folder (File: “</w:t>
      </w:r>
      <w:r w:rsidR="00DE2745">
        <w:t>Output/Supplement/</w:t>
      </w:r>
      <w:r w:rsidR="00F96DCF" w:rsidRPr="00F96DCF">
        <w:t>EdgeWeightsExcel_half.xlsx</w:t>
      </w:r>
      <w:r w:rsidR="00F96DCF">
        <w:t xml:space="preserve">”). </w:t>
      </w:r>
    </w:p>
    <w:p w14:paraId="187516ED" w14:textId="77777777" w:rsidR="00F96DCF" w:rsidRDefault="00F96DCF" w:rsidP="00B5111A"/>
    <w:p w14:paraId="35D4595B" w14:textId="77777777" w:rsidR="00F96DCF" w:rsidRDefault="00F96DCF" w:rsidP="00B5111A"/>
    <w:p w14:paraId="518E62C5" w14:textId="77777777" w:rsidR="00F96DCF" w:rsidRDefault="00F96DCF" w:rsidP="00B5111A"/>
    <w:p w14:paraId="0B18A16D" w14:textId="77777777" w:rsidR="00F96DCF" w:rsidRDefault="00F96DCF" w:rsidP="00B5111A"/>
    <w:p w14:paraId="4B3BD502" w14:textId="77777777" w:rsidR="00F96DCF" w:rsidRDefault="00F96DCF" w:rsidP="00B5111A"/>
    <w:p w14:paraId="0E5AD9BC" w14:textId="77777777" w:rsidR="00F96DCF" w:rsidRDefault="00F96DCF" w:rsidP="00B5111A"/>
    <w:p w14:paraId="4AE2E7DE" w14:textId="77777777" w:rsidR="00F96DCF" w:rsidRDefault="00F96DCF" w:rsidP="00B5111A"/>
    <w:p w14:paraId="7ACACBD1" w14:textId="77777777" w:rsidR="00F96DCF" w:rsidRDefault="00F96DCF" w:rsidP="00B5111A"/>
    <w:p w14:paraId="20CC9AA4" w14:textId="77777777" w:rsidR="00F96DCF" w:rsidRDefault="00F96DCF" w:rsidP="00B5111A"/>
    <w:p w14:paraId="34554171" w14:textId="77777777" w:rsidR="00F96DCF" w:rsidRDefault="00F96DCF" w:rsidP="00B5111A"/>
    <w:p w14:paraId="6414363C" w14:textId="77777777" w:rsidR="00F96DCF" w:rsidRDefault="00F96DCF" w:rsidP="00B5111A"/>
    <w:p w14:paraId="7E7AA92E" w14:textId="77777777" w:rsidR="00F96DCF" w:rsidRDefault="00F96DCF" w:rsidP="00B5111A"/>
    <w:p w14:paraId="56C04580" w14:textId="77777777" w:rsidR="00F96DCF" w:rsidRDefault="00F96DCF" w:rsidP="00B5111A"/>
    <w:p w14:paraId="411ED86D" w14:textId="77777777" w:rsidR="00F96DCF" w:rsidRDefault="00F96DCF" w:rsidP="00B5111A"/>
    <w:p w14:paraId="56F9F586" w14:textId="77777777" w:rsidR="00F96DCF" w:rsidRDefault="00F96DCF" w:rsidP="00B5111A"/>
    <w:p w14:paraId="7AF1D770" w14:textId="77777777" w:rsidR="00F96DCF" w:rsidRDefault="00F96DCF" w:rsidP="00B5111A"/>
    <w:p w14:paraId="5DEB8C63" w14:textId="40F27175" w:rsidR="00F96DCF" w:rsidRPr="009B11EA" w:rsidRDefault="00F96DCF" w:rsidP="009B11EA">
      <w:pPr>
        <w:jc w:val="center"/>
        <w:rPr>
          <w:b/>
          <w:bCs/>
          <w:lang w:eastAsia="en-GB"/>
        </w:rPr>
      </w:pPr>
      <w:r w:rsidRPr="009B11EA">
        <w:rPr>
          <w:b/>
          <w:bCs/>
          <w:lang w:eastAsia="en-GB"/>
        </w:rPr>
        <w:lastRenderedPageBreak/>
        <w:t xml:space="preserve">Figure 4: Network weighted </w:t>
      </w:r>
      <w:r w:rsidR="00B5111A" w:rsidRPr="009B11EA">
        <w:rPr>
          <w:b/>
          <w:bCs/>
          <w:lang w:eastAsia="en-GB"/>
        </w:rPr>
        <w:t>adjacency</w:t>
      </w:r>
      <w:r w:rsidRPr="009B11EA">
        <w:rPr>
          <w:b/>
          <w:bCs/>
          <w:lang w:eastAsia="en-GB"/>
        </w:rPr>
        <w:t xml:space="preserve"> matrix</w:t>
      </w:r>
    </w:p>
    <w:p w14:paraId="436B7441" w14:textId="264F1774" w:rsidR="00476B02" w:rsidRPr="00476B02" w:rsidRDefault="00476B02" w:rsidP="00476B02">
      <w:pPr>
        <w:jc w:val="center"/>
      </w:pPr>
      <w:r w:rsidRPr="00476B02">
        <w:rPr>
          <w:noProof/>
        </w:rPr>
        <w:drawing>
          <wp:inline distT="0" distB="0" distL="0" distR="0" wp14:anchorId="38DC858F" wp14:editId="36E74111">
            <wp:extent cx="8532678" cy="2648856"/>
            <wp:effectExtent l="0" t="4445" r="0" b="0"/>
            <wp:docPr id="205396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68637" name=""/>
                    <pic:cNvPicPr/>
                  </pic:nvPicPr>
                  <pic:blipFill>
                    <a:blip r:embed="rId9"/>
                    <a:stretch>
                      <a:fillRect/>
                    </a:stretch>
                  </pic:blipFill>
                  <pic:spPr>
                    <a:xfrm rot="16200000">
                      <a:off x="0" y="0"/>
                      <a:ext cx="8599220" cy="2669513"/>
                    </a:xfrm>
                    <a:prstGeom prst="rect">
                      <a:avLst/>
                    </a:prstGeom>
                  </pic:spPr>
                </pic:pic>
              </a:graphicData>
            </a:graphic>
          </wp:inline>
        </w:drawing>
      </w:r>
    </w:p>
    <w:p w14:paraId="02E66005" w14:textId="3BFF123D" w:rsidR="009B11EA" w:rsidRDefault="009B11EA" w:rsidP="009B11EA">
      <w:pPr>
        <w:pStyle w:val="Heading2"/>
      </w:pPr>
      <w:bookmarkStart w:id="6" w:name="_Toc140145264"/>
      <w:r>
        <w:lastRenderedPageBreak/>
        <w:t>7 Logistic regression models</w:t>
      </w:r>
      <w:bookmarkEnd w:id="6"/>
    </w:p>
    <w:p w14:paraId="5AFE61FA" w14:textId="3AA4F6CA" w:rsidR="009B11EA" w:rsidRDefault="009B11EA" w:rsidP="009B11EA">
      <w:r>
        <w:t>Here we report on the logistic regression models we performed to evaluate the relationship between Strength scores and regression coefficients. We provide a summary of 17 models that generated the 17 entries of the scatterplot, plus the regression model for the variable “</w:t>
      </w:r>
      <w:r w:rsidRPr="00B5111A">
        <w:t>educ</w:t>
      </w:r>
      <w:r>
        <w:t xml:space="preserve">”, which is used for the final table of empirical predictors (Table 7, main article). </w:t>
      </w:r>
    </w:p>
    <w:p w14:paraId="5CD49E62" w14:textId="77777777" w:rsidR="00752AC2" w:rsidRDefault="00752AC2" w:rsidP="009B11EA"/>
    <w:p w14:paraId="6C019C92" w14:textId="36EE4C1F" w:rsidR="009B11EA" w:rsidRDefault="00752AC2" w:rsidP="009B11EA">
      <w:pPr>
        <w:jc w:val="center"/>
        <w:rPr>
          <w:b/>
          <w:bCs/>
        </w:rPr>
      </w:pPr>
      <w:r>
        <w:rPr>
          <w:b/>
          <w:bCs/>
        </w:rPr>
        <w:t xml:space="preserve">Table 3: </w:t>
      </w:r>
      <w:r w:rsidR="009B11EA">
        <w:rPr>
          <w:b/>
          <w:bCs/>
        </w:rPr>
        <w:t>Models for distrust_gov, distrust_inst, h_locus, he_eco, low_comp, media</w:t>
      </w:r>
    </w:p>
    <w:p w14:paraId="4D2DBE19" w14:textId="77777777" w:rsidR="00752AC2" w:rsidRPr="009B11EA" w:rsidRDefault="00752AC2" w:rsidP="009B11EA">
      <w:pPr>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B11EA" w14:paraId="4559958A"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29"/>
              <w:gridCol w:w="1330"/>
            </w:tblGrid>
            <w:tr w:rsidR="009B11EA" w:rsidRPr="00917D03" w14:paraId="01FA0FD4"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0459BED1"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5737F81" w14:textId="77777777" w:rsidTr="00914C4B">
              <w:tc>
                <w:tcPr>
                  <w:tcW w:w="0" w:type="auto"/>
                  <w:tcBorders>
                    <w:top w:val="double" w:sz="6" w:space="0" w:color="auto"/>
                  </w:tcBorders>
                  <w:tcMar>
                    <w:top w:w="113" w:type="dxa"/>
                    <w:left w:w="113" w:type="dxa"/>
                    <w:bottom w:w="113" w:type="dxa"/>
                    <w:right w:w="113" w:type="dxa"/>
                  </w:tcMar>
                  <w:vAlign w:val="center"/>
                  <w:hideMark/>
                </w:tcPr>
                <w:p w14:paraId="713DD875"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6CA5F34B"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distrust_gov</w:t>
                  </w:r>
                </w:p>
              </w:tc>
            </w:tr>
            <w:tr w:rsidR="009B11EA" w:rsidRPr="00917D03" w14:paraId="444B665B" w14:textId="77777777" w:rsidTr="00914C4B">
              <w:tc>
                <w:tcPr>
                  <w:tcW w:w="0" w:type="auto"/>
                  <w:tcBorders>
                    <w:bottom w:val="single" w:sz="6" w:space="0" w:color="auto"/>
                  </w:tcBorders>
                  <w:vAlign w:val="center"/>
                  <w:hideMark/>
                </w:tcPr>
                <w:p w14:paraId="2AEF4A10"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38F90541"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40842030" w14:textId="77777777" w:rsidTr="00914C4B">
              <w:tc>
                <w:tcPr>
                  <w:tcW w:w="0" w:type="auto"/>
                  <w:tcMar>
                    <w:top w:w="113" w:type="dxa"/>
                    <w:left w:w="113" w:type="dxa"/>
                    <w:bottom w:w="113" w:type="dxa"/>
                    <w:right w:w="113" w:type="dxa"/>
                  </w:tcMar>
                  <w:hideMark/>
                </w:tcPr>
                <w:p w14:paraId="1BA27F70"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43FF9F0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0.02 </w:t>
                  </w:r>
                  <w:r w:rsidRPr="00917D03">
                    <w:rPr>
                      <w:rFonts w:eastAsia="Times New Roman"/>
                      <w:sz w:val="13"/>
                      <w:szCs w:val="13"/>
                      <w:vertAlign w:val="superscript"/>
                    </w:rPr>
                    <w:t>***</w:t>
                  </w:r>
                  <w:r w:rsidRPr="00917D03">
                    <w:rPr>
                      <w:rFonts w:eastAsia="Times New Roman"/>
                      <w:sz w:val="13"/>
                      <w:szCs w:val="13"/>
                    </w:rPr>
                    <w:br/>
                    <w:t>(0.01 – 0.04)</w:t>
                  </w:r>
                </w:p>
              </w:tc>
            </w:tr>
            <w:tr w:rsidR="009B11EA" w:rsidRPr="00917D03" w14:paraId="5A0D773F" w14:textId="77777777" w:rsidTr="00914C4B">
              <w:tc>
                <w:tcPr>
                  <w:tcW w:w="0" w:type="auto"/>
                  <w:tcMar>
                    <w:top w:w="113" w:type="dxa"/>
                    <w:left w:w="113" w:type="dxa"/>
                    <w:bottom w:w="113" w:type="dxa"/>
                    <w:right w:w="113" w:type="dxa"/>
                  </w:tcMar>
                  <w:hideMark/>
                </w:tcPr>
                <w:p w14:paraId="27D3B312" w14:textId="77777777" w:rsidR="009B11EA" w:rsidRPr="00917D03" w:rsidRDefault="009B11EA" w:rsidP="009B11EA">
                  <w:pPr>
                    <w:jc w:val="left"/>
                    <w:rPr>
                      <w:rFonts w:eastAsia="Times New Roman"/>
                      <w:sz w:val="13"/>
                      <w:szCs w:val="13"/>
                    </w:rPr>
                  </w:pPr>
                  <w:r w:rsidRPr="00917D03">
                    <w:rPr>
                      <w:rFonts w:eastAsia="Times New Roman"/>
                      <w:sz w:val="13"/>
                      <w:szCs w:val="13"/>
                    </w:rPr>
                    <w:t>distrust_gov</w:t>
                  </w:r>
                </w:p>
              </w:tc>
              <w:tc>
                <w:tcPr>
                  <w:tcW w:w="0" w:type="auto"/>
                  <w:tcMar>
                    <w:top w:w="113" w:type="dxa"/>
                    <w:left w:w="113" w:type="dxa"/>
                    <w:bottom w:w="113" w:type="dxa"/>
                    <w:right w:w="113" w:type="dxa"/>
                  </w:tcMar>
                  <w:hideMark/>
                </w:tcPr>
                <w:p w14:paraId="7F89870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1.43 </w:t>
                  </w:r>
                  <w:r w:rsidRPr="00917D03">
                    <w:rPr>
                      <w:rFonts w:eastAsia="Times New Roman"/>
                      <w:sz w:val="13"/>
                      <w:szCs w:val="13"/>
                      <w:vertAlign w:val="superscript"/>
                    </w:rPr>
                    <w:t>***</w:t>
                  </w:r>
                  <w:r w:rsidRPr="00917D03">
                    <w:rPr>
                      <w:rFonts w:eastAsia="Times New Roman"/>
                      <w:sz w:val="13"/>
                      <w:szCs w:val="13"/>
                    </w:rPr>
                    <w:br/>
                    <w:t>(1.34 – 1.52)</w:t>
                  </w:r>
                </w:p>
              </w:tc>
            </w:tr>
            <w:tr w:rsidR="009B11EA" w:rsidRPr="00917D03" w14:paraId="772D41E4" w14:textId="77777777" w:rsidTr="00914C4B">
              <w:tc>
                <w:tcPr>
                  <w:tcW w:w="0" w:type="auto"/>
                  <w:tcMar>
                    <w:top w:w="113" w:type="dxa"/>
                    <w:left w:w="113" w:type="dxa"/>
                    <w:bottom w:w="113" w:type="dxa"/>
                    <w:right w:w="113" w:type="dxa"/>
                  </w:tcMar>
                  <w:hideMark/>
                </w:tcPr>
                <w:p w14:paraId="51A4A126"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33C712E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1.39 </w:t>
                  </w:r>
                  <w:r w:rsidRPr="00917D03">
                    <w:rPr>
                      <w:rFonts w:eastAsia="Times New Roman"/>
                      <w:sz w:val="13"/>
                      <w:szCs w:val="13"/>
                      <w:vertAlign w:val="superscript"/>
                    </w:rPr>
                    <w:t>**</w:t>
                  </w:r>
                  <w:r w:rsidRPr="00917D03">
                    <w:rPr>
                      <w:rFonts w:eastAsia="Times New Roman"/>
                      <w:sz w:val="13"/>
                      <w:szCs w:val="13"/>
                    </w:rPr>
                    <w:br/>
                    <w:t>(1.04 – 1.84)</w:t>
                  </w:r>
                </w:p>
              </w:tc>
            </w:tr>
            <w:tr w:rsidR="009B11EA" w:rsidRPr="00917D03" w14:paraId="658001F5" w14:textId="77777777" w:rsidTr="00914C4B">
              <w:tc>
                <w:tcPr>
                  <w:tcW w:w="0" w:type="auto"/>
                  <w:tcMar>
                    <w:top w:w="113" w:type="dxa"/>
                    <w:left w:w="113" w:type="dxa"/>
                    <w:bottom w:w="113" w:type="dxa"/>
                    <w:right w:w="113" w:type="dxa"/>
                  </w:tcMar>
                  <w:hideMark/>
                </w:tcPr>
                <w:p w14:paraId="1E45D273"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77A73A9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6FD25867" w14:textId="77777777" w:rsidTr="00914C4B">
              <w:tc>
                <w:tcPr>
                  <w:tcW w:w="0" w:type="auto"/>
                  <w:tcMar>
                    <w:top w:w="113" w:type="dxa"/>
                    <w:left w:w="113" w:type="dxa"/>
                    <w:bottom w:w="113" w:type="dxa"/>
                    <w:right w:w="113" w:type="dxa"/>
                  </w:tcMar>
                  <w:hideMark/>
                </w:tcPr>
                <w:p w14:paraId="7AD7EFF0"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491CC585"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1.78 </w:t>
                  </w:r>
                  <w:r w:rsidRPr="00917D03">
                    <w:rPr>
                      <w:rFonts w:eastAsia="Times New Roman"/>
                      <w:sz w:val="13"/>
                      <w:szCs w:val="13"/>
                      <w:vertAlign w:val="superscript"/>
                    </w:rPr>
                    <w:t>***</w:t>
                  </w:r>
                  <w:r w:rsidRPr="00917D03">
                    <w:rPr>
                      <w:rFonts w:eastAsia="Times New Roman"/>
                      <w:sz w:val="13"/>
                      <w:szCs w:val="13"/>
                    </w:rPr>
                    <w:br/>
                    <w:t>(1.30 – 2.43)</w:t>
                  </w:r>
                </w:p>
              </w:tc>
            </w:tr>
            <w:tr w:rsidR="009B11EA" w:rsidRPr="00917D03" w14:paraId="15ED176E" w14:textId="77777777" w:rsidTr="00914C4B">
              <w:tc>
                <w:tcPr>
                  <w:tcW w:w="0" w:type="auto"/>
                  <w:tcMar>
                    <w:top w:w="113" w:type="dxa"/>
                    <w:left w:w="113" w:type="dxa"/>
                    <w:bottom w:w="113" w:type="dxa"/>
                    <w:right w:w="113" w:type="dxa"/>
                  </w:tcMar>
                  <w:hideMark/>
                </w:tcPr>
                <w:p w14:paraId="7396667E"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6BE6F25F"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0.98 </w:t>
                  </w:r>
                  <w:r w:rsidRPr="00917D03">
                    <w:rPr>
                      <w:rFonts w:eastAsia="Times New Roman"/>
                      <w:sz w:val="13"/>
                      <w:szCs w:val="13"/>
                    </w:rPr>
                    <w:br/>
                    <w:t>(0.73 – 1.31)</w:t>
                  </w:r>
                </w:p>
              </w:tc>
            </w:tr>
            <w:tr w:rsidR="009B11EA" w:rsidRPr="00917D03" w14:paraId="545975B3" w14:textId="77777777" w:rsidTr="00914C4B">
              <w:tc>
                <w:tcPr>
                  <w:tcW w:w="0" w:type="auto"/>
                  <w:tcMar>
                    <w:top w:w="113" w:type="dxa"/>
                    <w:left w:w="113" w:type="dxa"/>
                    <w:bottom w:w="113" w:type="dxa"/>
                    <w:right w:w="113" w:type="dxa"/>
                  </w:tcMar>
                  <w:hideMark/>
                </w:tcPr>
                <w:p w14:paraId="43A8A69C"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380C8BBC"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0.98 </w:t>
                  </w:r>
                  <w:r w:rsidRPr="00917D03">
                    <w:rPr>
                      <w:rFonts w:eastAsia="Times New Roman"/>
                      <w:sz w:val="13"/>
                      <w:szCs w:val="13"/>
                    </w:rPr>
                    <w:br/>
                    <w:t>(0.78 – 1.22)</w:t>
                  </w:r>
                </w:p>
              </w:tc>
            </w:tr>
            <w:tr w:rsidR="009B11EA" w:rsidRPr="00917D03" w14:paraId="2460A384" w14:textId="77777777" w:rsidTr="00914C4B">
              <w:tc>
                <w:tcPr>
                  <w:tcW w:w="0" w:type="auto"/>
                  <w:tcBorders>
                    <w:top w:val="single" w:sz="6" w:space="0" w:color="auto"/>
                  </w:tcBorders>
                  <w:tcMar>
                    <w:top w:w="57" w:type="dxa"/>
                    <w:left w:w="113" w:type="dxa"/>
                    <w:bottom w:w="57" w:type="dxa"/>
                    <w:right w:w="113" w:type="dxa"/>
                  </w:tcMar>
                  <w:hideMark/>
                </w:tcPr>
                <w:p w14:paraId="07053C08"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EDCB6E0"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939D8D9" w14:textId="77777777" w:rsidTr="00914C4B">
              <w:tc>
                <w:tcPr>
                  <w:tcW w:w="0" w:type="auto"/>
                  <w:tcMar>
                    <w:top w:w="57" w:type="dxa"/>
                    <w:left w:w="113" w:type="dxa"/>
                    <w:bottom w:w="57" w:type="dxa"/>
                    <w:right w:w="113" w:type="dxa"/>
                  </w:tcMar>
                  <w:hideMark/>
                </w:tcPr>
                <w:p w14:paraId="2A6DC743"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508213AE" w14:textId="77777777" w:rsidR="009B11EA" w:rsidRPr="00917D03" w:rsidRDefault="009B11EA" w:rsidP="009B11EA">
                  <w:pPr>
                    <w:rPr>
                      <w:rFonts w:eastAsia="Times New Roman"/>
                      <w:sz w:val="13"/>
                      <w:szCs w:val="13"/>
                    </w:rPr>
                  </w:pPr>
                  <w:r w:rsidRPr="00917D03">
                    <w:rPr>
                      <w:rFonts w:eastAsia="Times New Roman"/>
                      <w:sz w:val="13"/>
                      <w:szCs w:val="13"/>
                    </w:rPr>
                    <w:t>0.125</w:t>
                  </w:r>
                </w:p>
              </w:tc>
            </w:tr>
            <w:tr w:rsidR="009B11EA" w:rsidRPr="00917D03" w14:paraId="07C394D6" w14:textId="77777777" w:rsidTr="00914C4B">
              <w:tc>
                <w:tcPr>
                  <w:tcW w:w="0" w:type="auto"/>
                  <w:tcMar>
                    <w:top w:w="57" w:type="dxa"/>
                    <w:left w:w="113" w:type="dxa"/>
                    <w:bottom w:w="57" w:type="dxa"/>
                    <w:right w:w="113" w:type="dxa"/>
                  </w:tcMar>
                  <w:hideMark/>
                </w:tcPr>
                <w:p w14:paraId="2B40C01F"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6E171D15" w14:textId="77777777" w:rsidR="009B11EA" w:rsidRPr="00917D03" w:rsidRDefault="009B11EA" w:rsidP="009B11EA">
                  <w:pPr>
                    <w:rPr>
                      <w:rFonts w:eastAsia="Times New Roman"/>
                      <w:sz w:val="13"/>
                      <w:szCs w:val="13"/>
                    </w:rPr>
                  </w:pPr>
                  <w:r w:rsidRPr="00917D03">
                    <w:rPr>
                      <w:rFonts w:eastAsia="Times New Roman"/>
                      <w:sz w:val="13"/>
                      <w:szCs w:val="13"/>
                    </w:rPr>
                    <w:t>1254.662</w:t>
                  </w:r>
                </w:p>
              </w:tc>
            </w:tr>
            <w:tr w:rsidR="009B11EA" w:rsidRPr="00917D03" w14:paraId="07058B0E" w14:textId="77777777" w:rsidTr="00914C4B">
              <w:tc>
                <w:tcPr>
                  <w:tcW w:w="0" w:type="auto"/>
                  <w:gridSpan w:val="2"/>
                  <w:tcBorders>
                    <w:top w:val="double" w:sz="6" w:space="0" w:color="000000"/>
                  </w:tcBorders>
                  <w:vAlign w:val="center"/>
                  <w:hideMark/>
                </w:tcPr>
                <w:p w14:paraId="75317FED"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556326F0"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24"/>
              <w:gridCol w:w="1335"/>
            </w:tblGrid>
            <w:tr w:rsidR="009B11EA" w:rsidRPr="00917D03" w14:paraId="108B7AEC"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1D924C72"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1486FAB" w14:textId="77777777" w:rsidTr="00914C4B">
              <w:tc>
                <w:tcPr>
                  <w:tcW w:w="0" w:type="auto"/>
                  <w:tcBorders>
                    <w:top w:val="double" w:sz="6" w:space="0" w:color="auto"/>
                  </w:tcBorders>
                  <w:tcMar>
                    <w:top w:w="113" w:type="dxa"/>
                    <w:left w:w="113" w:type="dxa"/>
                    <w:bottom w:w="113" w:type="dxa"/>
                    <w:right w:w="113" w:type="dxa"/>
                  </w:tcMar>
                  <w:vAlign w:val="center"/>
                  <w:hideMark/>
                </w:tcPr>
                <w:p w14:paraId="51F76A7A"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1BBCB3BF"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distrust_inst</w:t>
                  </w:r>
                </w:p>
              </w:tc>
            </w:tr>
            <w:tr w:rsidR="009B11EA" w:rsidRPr="00917D03" w14:paraId="7FB1CFEB" w14:textId="77777777" w:rsidTr="00914C4B">
              <w:tc>
                <w:tcPr>
                  <w:tcW w:w="0" w:type="auto"/>
                  <w:tcBorders>
                    <w:bottom w:val="single" w:sz="6" w:space="0" w:color="auto"/>
                  </w:tcBorders>
                  <w:vAlign w:val="center"/>
                  <w:hideMark/>
                </w:tcPr>
                <w:p w14:paraId="42F0BF53"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28E8A294"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94ECBC5" w14:textId="77777777" w:rsidTr="00914C4B">
              <w:tc>
                <w:tcPr>
                  <w:tcW w:w="0" w:type="auto"/>
                  <w:tcMar>
                    <w:top w:w="113" w:type="dxa"/>
                    <w:left w:w="113" w:type="dxa"/>
                    <w:bottom w:w="113" w:type="dxa"/>
                    <w:right w:w="113" w:type="dxa"/>
                  </w:tcMar>
                  <w:hideMark/>
                </w:tcPr>
                <w:p w14:paraId="63826780"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1CC9806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0.01 </w:t>
                  </w:r>
                  <w:r w:rsidRPr="00917D03">
                    <w:rPr>
                      <w:rFonts w:eastAsia="Times New Roman"/>
                      <w:sz w:val="13"/>
                      <w:szCs w:val="13"/>
                      <w:vertAlign w:val="superscript"/>
                    </w:rPr>
                    <w:t>***</w:t>
                  </w:r>
                  <w:r w:rsidRPr="00917D03">
                    <w:rPr>
                      <w:rFonts w:eastAsia="Times New Roman"/>
                      <w:sz w:val="13"/>
                      <w:szCs w:val="13"/>
                    </w:rPr>
                    <w:br/>
                    <w:t>(0.01 – 0.03)</w:t>
                  </w:r>
                </w:p>
              </w:tc>
            </w:tr>
            <w:tr w:rsidR="009B11EA" w:rsidRPr="00917D03" w14:paraId="6DE8BBCC" w14:textId="77777777" w:rsidTr="00914C4B">
              <w:tc>
                <w:tcPr>
                  <w:tcW w:w="0" w:type="auto"/>
                  <w:tcMar>
                    <w:top w:w="113" w:type="dxa"/>
                    <w:left w:w="113" w:type="dxa"/>
                    <w:bottom w:w="113" w:type="dxa"/>
                    <w:right w:w="113" w:type="dxa"/>
                  </w:tcMar>
                  <w:hideMark/>
                </w:tcPr>
                <w:p w14:paraId="5EEC5028" w14:textId="77777777" w:rsidR="009B11EA" w:rsidRPr="00917D03" w:rsidRDefault="009B11EA" w:rsidP="009B11EA">
                  <w:pPr>
                    <w:jc w:val="left"/>
                    <w:rPr>
                      <w:rFonts w:eastAsia="Times New Roman"/>
                      <w:sz w:val="13"/>
                      <w:szCs w:val="13"/>
                    </w:rPr>
                  </w:pPr>
                  <w:r w:rsidRPr="00917D03">
                    <w:rPr>
                      <w:rFonts w:eastAsia="Times New Roman"/>
                      <w:sz w:val="13"/>
                      <w:szCs w:val="13"/>
                    </w:rPr>
                    <w:t>distrust_inst</w:t>
                  </w:r>
                </w:p>
              </w:tc>
              <w:tc>
                <w:tcPr>
                  <w:tcW w:w="0" w:type="auto"/>
                  <w:tcMar>
                    <w:top w:w="113" w:type="dxa"/>
                    <w:left w:w="113" w:type="dxa"/>
                    <w:bottom w:w="113" w:type="dxa"/>
                    <w:right w:w="113" w:type="dxa"/>
                  </w:tcMar>
                  <w:hideMark/>
                </w:tcPr>
                <w:p w14:paraId="2ACBF7A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1.38 </w:t>
                  </w:r>
                  <w:r w:rsidRPr="00917D03">
                    <w:rPr>
                      <w:rFonts w:eastAsia="Times New Roman"/>
                      <w:sz w:val="13"/>
                      <w:szCs w:val="13"/>
                      <w:vertAlign w:val="superscript"/>
                    </w:rPr>
                    <w:t>***</w:t>
                  </w:r>
                  <w:r w:rsidRPr="00917D03">
                    <w:rPr>
                      <w:rFonts w:eastAsia="Times New Roman"/>
                      <w:sz w:val="13"/>
                      <w:szCs w:val="13"/>
                    </w:rPr>
                    <w:br/>
                    <w:t>(1.30 – 1.47)</w:t>
                  </w:r>
                </w:p>
              </w:tc>
            </w:tr>
            <w:tr w:rsidR="009B11EA" w:rsidRPr="00917D03" w14:paraId="06D9BC68" w14:textId="77777777" w:rsidTr="00914C4B">
              <w:tc>
                <w:tcPr>
                  <w:tcW w:w="0" w:type="auto"/>
                  <w:tcMar>
                    <w:top w:w="113" w:type="dxa"/>
                    <w:left w:w="113" w:type="dxa"/>
                    <w:bottom w:w="113" w:type="dxa"/>
                    <w:right w:w="113" w:type="dxa"/>
                  </w:tcMar>
                  <w:hideMark/>
                </w:tcPr>
                <w:p w14:paraId="14798429"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14CFE6E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1.46 </w:t>
                  </w:r>
                  <w:r w:rsidRPr="00917D03">
                    <w:rPr>
                      <w:rFonts w:eastAsia="Times New Roman"/>
                      <w:sz w:val="13"/>
                      <w:szCs w:val="13"/>
                      <w:vertAlign w:val="superscript"/>
                    </w:rPr>
                    <w:t>***</w:t>
                  </w:r>
                  <w:r w:rsidRPr="00917D03">
                    <w:rPr>
                      <w:rFonts w:eastAsia="Times New Roman"/>
                      <w:sz w:val="13"/>
                      <w:szCs w:val="13"/>
                    </w:rPr>
                    <w:br/>
                    <w:t>(1.10 – 1.93)</w:t>
                  </w:r>
                </w:p>
              </w:tc>
            </w:tr>
            <w:tr w:rsidR="009B11EA" w:rsidRPr="00917D03" w14:paraId="06FE31E2" w14:textId="77777777" w:rsidTr="00914C4B">
              <w:tc>
                <w:tcPr>
                  <w:tcW w:w="0" w:type="auto"/>
                  <w:tcMar>
                    <w:top w:w="113" w:type="dxa"/>
                    <w:left w:w="113" w:type="dxa"/>
                    <w:bottom w:w="113" w:type="dxa"/>
                    <w:right w:w="113" w:type="dxa"/>
                  </w:tcMar>
                  <w:hideMark/>
                </w:tcPr>
                <w:p w14:paraId="6A1D93C2"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0BBA593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1.01 </w:t>
                  </w:r>
                  <w:r w:rsidRPr="00917D03">
                    <w:rPr>
                      <w:rFonts w:eastAsia="Times New Roman"/>
                      <w:sz w:val="13"/>
                      <w:szCs w:val="13"/>
                    </w:rPr>
                    <w:br/>
                    <w:t>(1.00 – 1.02)</w:t>
                  </w:r>
                </w:p>
              </w:tc>
            </w:tr>
            <w:tr w:rsidR="009B11EA" w:rsidRPr="00917D03" w14:paraId="613A60FA" w14:textId="77777777" w:rsidTr="00914C4B">
              <w:tc>
                <w:tcPr>
                  <w:tcW w:w="0" w:type="auto"/>
                  <w:tcMar>
                    <w:top w:w="113" w:type="dxa"/>
                    <w:left w:w="113" w:type="dxa"/>
                    <w:bottom w:w="113" w:type="dxa"/>
                    <w:right w:w="113" w:type="dxa"/>
                  </w:tcMar>
                  <w:hideMark/>
                </w:tcPr>
                <w:p w14:paraId="60CC71D5"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1E37E434"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1.66 </w:t>
                  </w:r>
                  <w:r w:rsidRPr="00917D03">
                    <w:rPr>
                      <w:rFonts w:eastAsia="Times New Roman"/>
                      <w:sz w:val="13"/>
                      <w:szCs w:val="13"/>
                      <w:vertAlign w:val="superscript"/>
                    </w:rPr>
                    <w:t>***</w:t>
                  </w:r>
                  <w:r w:rsidRPr="00917D03">
                    <w:rPr>
                      <w:rFonts w:eastAsia="Times New Roman"/>
                      <w:sz w:val="13"/>
                      <w:szCs w:val="13"/>
                    </w:rPr>
                    <w:br/>
                    <w:t>(1.22 – 2.26)</w:t>
                  </w:r>
                </w:p>
              </w:tc>
            </w:tr>
            <w:tr w:rsidR="009B11EA" w:rsidRPr="00917D03" w14:paraId="1B455EFA" w14:textId="77777777" w:rsidTr="00914C4B">
              <w:tc>
                <w:tcPr>
                  <w:tcW w:w="0" w:type="auto"/>
                  <w:tcMar>
                    <w:top w:w="113" w:type="dxa"/>
                    <w:left w:w="113" w:type="dxa"/>
                    <w:bottom w:w="113" w:type="dxa"/>
                    <w:right w:w="113" w:type="dxa"/>
                  </w:tcMar>
                  <w:hideMark/>
                </w:tcPr>
                <w:p w14:paraId="17A7389B"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0533475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(0.75 – 1.32)</w:t>
                  </w:r>
                </w:p>
              </w:tc>
            </w:tr>
            <w:tr w:rsidR="009B11EA" w:rsidRPr="00917D03" w14:paraId="0115D18C" w14:textId="77777777" w:rsidTr="00914C4B">
              <w:tc>
                <w:tcPr>
                  <w:tcW w:w="0" w:type="auto"/>
                  <w:tcMar>
                    <w:top w:w="113" w:type="dxa"/>
                    <w:left w:w="113" w:type="dxa"/>
                    <w:bottom w:w="113" w:type="dxa"/>
                    <w:right w:w="113" w:type="dxa"/>
                  </w:tcMar>
                  <w:hideMark/>
                </w:tcPr>
                <w:p w14:paraId="4F596C65"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34A034C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1.02 </w:t>
                  </w:r>
                  <w:r w:rsidRPr="00917D03">
                    <w:rPr>
                      <w:rFonts w:eastAsia="Times New Roman"/>
                      <w:sz w:val="13"/>
                      <w:szCs w:val="13"/>
                    </w:rPr>
                    <w:br/>
                    <w:t>(0.82 – 1.27)</w:t>
                  </w:r>
                </w:p>
              </w:tc>
            </w:tr>
            <w:tr w:rsidR="009B11EA" w:rsidRPr="00917D03" w14:paraId="577728BE" w14:textId="77777777" w:rsidTr="00914C4B">
              <w:tc>
                <w:tcPr>
                  <w:tcW w:w="0" w:type="auto"/>
                  <w:tcBorders>
                    <w:top w:val="single" w:sz="6" w:space="0" w:color="auto"/>
                  </w:tcBorders>
                  <w:tcMar>
                    <w:top w:w="57" w:type="dxa"/>
                    <w:left w:w="113" w:type="dxa"/>
                    <w:bottom w:w="57" w:type="dxa"/>
                    <w:right w:w="113" w:type="dxa"/>
                  </w:tcMar>
                  <w:hideMark/>
                </w:tcPr>
                <w:p w14:paraId="3D14A91F"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5CA8EC1E"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7812F16D" w14:textId="77777777" w:rsidTr="00914C4B">
              <w:tc>
                <w:tcPr>
                  <w:tcW w:w="0" w:type="auto"/>
                  <w:tcMar>
                    <w:top w:w="57" w:type="dxa"/>
                    <w:left w:w="113" w:type="dxa"/>
                    <w:bottom w:w="57" w:type="dxa"/>
                    <w:right w:w="113" w:type="dxa"/>
                  </w:tcMar>
                  <w:hideMark/>
                </w:tcPr>
                <w:p w14:paraId="1162E5CE"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1A16CF14" w14:textId="77777777" w:rsidR="009B11EA" w:rsidRPr="00917D03" w:rsidRDefault="009B11EA" w:rsidP="009B11EA">
                  <w:pPr>
                    <w:rPr>
                      <w:rFonts w:eastAsia="Times New Roman"/>
                      <w:sz w:val="13"/>
                      <w:szCs w:val="13"/>
                    </w:rPr>
                  </w:pPr>
                  <w:r w:rsidRPr="00917D03">
                    <w:rPr>
                      <w:rFonts w:eastAsia="Times New Roman"/>
                      <w:sz w:val="13"/>
                      <w:szCs w:val="13"/>
                    </w:rPr>
                    <w:t>0.112</w:t>
                  </w:r>
                </w:p>
              </w:tc>
            </w:tr>
            <w:tr w:rsidR="009B11EA" w:rsidRPr="00917D03" w14:paraId="382307F2" w14:textId="77777777" w:rsidTr="00914C4B">
              <w:tc>
                <w:tcPr>
                  <w:tcW w:w="0" w:type="auto"/>
                  <w:tcMar>
                    <w:top w:w="57" w:type="dxa"/>
                    <w:left w:w="113" w:type="dxa"/>
                    <w:bottom w:w="57" w:type="dxa"/>
                    <w:right w:w="113" w:type="dxa"/>
                  </w:tcMar>
                  <w:hideMark/>
                </w:tcPr>
                <w:p w14:paraId="09C4E786"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61F2BBFF" w14:textId="77777777" w:rsidR="009B11EA" w:rsidRPr="00917D03" w:rsidRDefault="009B11EA" w:rsidP="009B11EA">
                  <w:pPr>
                    <w:rPr>
                      <w:rFonts w:eastAsia="Times New Roman"/>
                      <w:sz w:val="13"/>
                      <w:szCs w:val="13"/>
                    </w:rPr>
                  </w:pPr>
                  <w:r w:rsidRPr="00917D03">
                    <w:rPr>
                      <w:rFonts w:eastAsia="Times New Roman"/>
                      <w:sz w:val="13"/>
                      <w:szCs w:val="13"/>
                    </w:rPr>
                    <w:t>1271.741</w:t>
                  </w:r>
                </w:p>
              </w:tc>
            </w:tr>
            <w:tr w:rsidR="009B11EA" w:rsidRPr="00917D03" w14:paraId="6B06F34E" w14:textId="77777777" w:rsidTr="00914C4B">
              <w:tc>
                <w:tcPr>
                  <w:tcW w:w="0" w:type="auto"/>
                  <w:gridSpan w:val="2"/>
                  <w:tcBorders>
                    <w:top w:val="double" w:sz="6" w:space="0" w:color="000000"/>
                  </w:tcBorders>
                  <w:vAlign w:val="center"/>
                  <w:hideMark/>
                </w:tcPr>
                <w:p w14:paraId="32F48E61"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57D99CDA"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2E355991"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7034A1F0"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7020E2DA" w14:textId="77777777" w:rsidTr="00914C4B">
              <w:tc>
                <w:tcPr>
                  <w:tcW w:w="0" w:type="auto"/>
                  <w:tcBorders>
                    <w:top w:val="double" w:sz="6" w:space="0" w:color="auto"/>
                  </w:tcBorders>
                  <w:tcMar>
                    <w:top w:w="113" w:type="dxa"/>
                    <w:left w:w="113" w:type="dxa"/>
                    <w:bottom w:w="113" w:type="dxa"/>
                    <w:right w:w="113" w:type="dxa"/>
                  </w:tcMar>
                  <w:vAlign w:val="center"/>
                  <w:hideMark/>
                </w:tcPr>
                <w:p w14:paraId="4FB9E05F"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8E18E68"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h_locus</w:t>
                  </w:r>
                </w:p>
              </w:tc>
            </w:tr>
            <w:tr w:rsidR="009B11EA" w:rsidRPr="00917D03" w14:paraId="6EF2319F" w14:textId="77777777" w:rsidTr="00914C4B">
              <w:tc>
                <w:tcPr>
                  <w:tcW w:w="0" w:type="auto"/>
                  <w:tcBorders>
                    <w:bottom w:val="single" w:sz="6" w:space="0" w:color="auto"/>
                  </w:tcBorders>
                  <w:vAlign w:val="center"/>
                  <w:hideMark/>
                </w:tcPr>
                <w:p w14:paraId="38ABB271"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2DE96C73"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D9F5CF9" w14:textId="77777777" w:rsidTr="00914C4B">
              <w:tc>
                <w:tcPr>
                  <w:tcW w:w="0" w:type="auto"/>
                  <w:tcMar>
                    <w:top w:w="113" w:type="dxa"/>
                    <w:left w:w="113" w:type="dxa"/>
                    <w:bottom w:w="113" w:type="dxa"/>
                    <w:right w:w="113" w:type="dxa"/>
                  </w:tcMar>
                  <w:hideMark/>
                </w:tcPr>
                <w:p w14:paraId="5C66834B"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63C7A8B0"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0.29 </w:t>
                  </w:r>
                  <w:r w:rsidRPr="00917D03">
                    <w:rPr>
                      <w:rFonts w:eastAsia="Times New Roman"/>
                      <w:sz w:val="13"/>
                      <w:szCs w:val="13"/>
                      <w:vertAlign w:val="superscript"/>
                    </w:rPr>
                    <w:t>***</w:t>
                  </w:r>
                  <w:r w:rsidRPr="00917D03">
                    <w:rPr>
                      <w:rFonts w:eastAsia="Times New Roman"/>
                      <w:sz w:val="13"/>
                      <w:szCs w:val="13"/>
                    </w:rPr>
                    <w:br/>
                    <w:t>(0.13 – 0.65)</w:t>
                  </w:r>
                </w:p>
              </w:tc>
            </w:tr>
            <w:tr w:rsidR="009B11EA" w:rsidRPr="00917D03" w14:paraId="6DEA95F6" w14:textId="77777777" w:rsidTr="00914C4B">
              <w:tc>
                <w:tcPr>
                  <w:tcW w:w="0" w:type="auto"/>
                  <w:tcMar>
                    <w:top w:w="113" w:type="dxa"/>
                    <w:left w:w="113" w:type="dxa"/>
                    <w:bottom w:w="113" w:type="dxa"/>
                    <w:right w:w="113" w:type="dxa"/>
                  </w:tcMar>
                  <w:hideMark/>
                </w:tcPr>
                <w:p w14:paraId="65BEB204" w14:textId="77777777" w:rsidR="009B11EA" w:rsidRPr="00917D03" w:rsidRDefault="009B11EA" w:rsidP="009B11EA">
                  <w:pPr>
                    <w:jc w:val="left"/>
                    <w:rPr>
                      <w:rFonts w:eastAsia="Times New Roman"/>
                      <w:sz w:val="13"/>
                      <w:szCs w:val="13"/>
                    </w:rPr>
                  </w:pPr>
                  <w:r w:rsidRPr="00917D03">
                    <w:rPr>
                      <w:rFonts w:eastAsia="Times New Roman"/>
                      <w:sz w:val="13"/>
                      <w:szCs w:val="13"/>
                    </w:rPr>
                    <w:t>h_locus</w:t>
                  </w:r>
                </w:p>
              </w:tc>
              <w:tc>
                <w:tcPr>
                  <w:tcW w:w="0" w:type="auto"/>
                  <w:tcMar>
                    <w:top w:w="113" w:type="dxa"/>
                    <w:left w:w="113" w:type="dxa"/>
                    <w:bottom w:w="113" w:type="dxa"/>
                    <w:right w:w="113" w:type="dxa"/>
                  </w:tcMar>
                  <w:hideMark/>
                </w:tcPr>
                <w:p w14:paraId="5FC0438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0.78 </w:t>
                  </w:r>
                  <w:r w:rsidRPr="00917D03">
                    <w:rPr>
                      <w:rFonts w:eastAsia="Times New Roman"/>
                      <w:sz w:val="13"/>
                      <w:szCs w:val="13"/>
                      <w:vertAlign w:val="superscript"/>
                    </w:rPr>
                    <w:t>***</w:t>
                  </w:r>
                  <w:r w:rsidRPr="00917D03">
                    <w:rPr>
                      <w:rFonts w:eastAsia="Times New Roman"/>
                      <w:sz w:val="13"/>
                      <w:szCs w:val="13"/>
                    </w:rPr>
                    <w:br/>
                    <w:t>(0.74 – 0.82)</w:t>
                  </w:r>
                </w:p>
              </w:tc>
            </w:tr>
            <w:tr w:rsidR="009B11EA" w:rsidRPr="00917D03" w14:paraId="234553FD" w14:textId="77777777" w:rsidTr="00914C4B">
              <w:tc>
                <w:tcPr>
                  <w:tcW w:w="0" w:type="auto"/>
                  <w:tcMar>
                    <w:top w:w="113" w:type="dxa"/>
                    <w:left w:w="113" w:type="dxa"/>
                    <w:bottom w:w="113" w:type="dxa"/>
                    <w:right w:w="113" w:type="dxa"/>
                  </w:tcMar>
                  <w:hideMark/>
                </w:tcPr>
                <w:p w14:paraId="5B87DFFF"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06A92D8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1.47 </w:t>
                  </w:r>
                  <w:r w:rsidRPr="00917D03">
                    <w:rPr>
                      <w:rFonts w:eastAsia="Times New Roman"/>
                      <w:sz w:val="13"/>
                      <w:szCs w:val="13"/>
                      <w:vertAlign w:val="superscript"/>
                    </w:rPr>
                    <w:t>***</w:t>
                  </w:r>
                  <w:r w:rsidRPr="00917D03">
                    <w:rPr>
                      <w:rFonts w:eastAsia="Times New Roman"/>
                      <w:sz w:val="13"/>
                      <w:szCs w:val="13"/>
                    </w:rPr>
                    <w:br/>
                    <w:t>(1.11 – 1.95)</w:t>
                  </w:r>
                </w:p>
              </w:tc>
            </w:tr>
            <w:tr w:rsidR="009B11EA" w:rsidRPr="00917D03" w14:paraId="36180FB6" w14:textId="77777777" w:rsidTr="00914C4B">
              <w:tc>
                <w:tcPr>
                  <w:tcW w:w="0" w:type="auto"/>
                  <w:tcMar>
                    <w:top w:w="113" w:type="dxa"/>
                    <w:left w:w="113" w:type="dxa"/>
                    <w:bottom w:w="113" w:type="dxa"/>
                    <w:right w:w="113" w:type="dxa"/>
                  </w:tcMar>
                  <w:hideMark/>
                </w:tcPr>
                <w:p w14:paraId="35B3DB9D"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4FFCF38C"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63207DA7" w14:textId="77777777" w:rsidTr="00914C4B">
              <w:tc>
                <w:tcPr>
                  <w:tcW w:w="0" w:type="auto"/>
                  <w:tcMar>
                    <w:top w:w="113" w:type="dxa"/>
                    <w:left w:w="113" w:type="dxa"/>
                    <w:bottom w:w="113" w:type="dxa"/>
                    <w:right w:w="113" w:type="dxa"/>
                  </w:tcMar>
                  <w:hideMark/>
                </w:tcPr>
                <w:p w14:paraId="541F8864"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58C044E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1.92 </w:t>
                  </w:r>
                  <w:r w:rsidRPr="00917D03">
                    <w:rPr>
                      <w:rFonts w:eastAsia="Times New Roman"/>
                      <w:sz w:val="13"/>
                      <w:szCs w:val="13"/>
                      <w:vertAlign w:val="superscript"/>
                    </w:rPr>
                    <w:t>***</w:t>
                  </w:r>
                  <w:r w:rsidRPr="00917D03">
                    <w:rPr>
                      <w:rFonts w:eastAsia="Times New Roman"/>
                      <w:sz w:val="13"/>
                      <w:szCs w:val="13"/>
                    </w:rPr>
                    <w:br/>
                    <w:t>(1.41 – 2.62)</w:t>
                  </w:r>
                </w:p>
              </w:tc>
            </w:tr>
            <w:tr w:rsidR="009B11EA" w:rsidRPr="00917D03" w14:paraId="25B61404" w14:textId="77777777" w:rsidTr="00914C4B">
              <w:tc>
                <w:tcPr>
                  <w:tcW w:w="0" w:type="auto"/>
                  <w:tcMar>
                    <w:top w:w="113" w:type="dxa"/>
                    <w:left w:w="113" w:type="dxa"/>
                    <w:bottom w:w="113" w:type="dxa"/>
                    <w:right w:w="113" w:type="dxa"/>
                  </w:tcMar>
                  <w:hideMark/>
                </w:tcPr>
                <w:p w14:paraId="708155CB"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2CC53CB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1.07 </w:t>
                  </w:r>
                  <w:r w:rsidRPr="00917D03">
                    <w:rPr>
                      <w:rFonts w:eastAsia="Times New Roman"/>
                      <w:sz w:val="13"/>
                      <w:szCs w:val="13"/>
                    </w:rPr>
                    <w:br/>
                    <w:t>(0.81 – 1.42)</w:t>
                  </w:r>
                </w:p>
              </w:tc>
            </w:tr>
            <w:tr w:rsidR="009B11EA" w:rsidRPr="00917D03" w14:paraId="50E75703" w14:textId="77777777" w:rsidTr="00914C4B">
              <w:tc>
                <w:tcPr>
                  <w:tcW w:w="0" w:type="auto"/>
                  <w:tcMar>
                    <w:top w:w="113" w:type="dxa"/>
                    <w:left w:w="113" w:type="dxa"/>
                    <w:bottom w:w="113" w:type="dxa"/>
                    <w:right w:w="113" w:type="dxa"/>
                  </w:tcMar>
                  <w:hideMark/>
                </w:tcPr>
                <w:p w14:paraId="552A9C64"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5EBE985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1.17 </w:t>
                  </w:r>
                  <w:r w:rsidRPr="00917D03">
                    <w:rPr>
                      <w:rFonts w:eastAsia="Times New Roman"/>
                      <w:sz w:val="13"/>
                      <w:szCs w:val="13"/>
                    </w:rPr>
                    <w:br/>
                    <w:t>(0.94 – 1.45)</w:t>
                  </w:r>
                </w:p>
              </w:tc>
            </w:tr>
            <w:tr w:rsidR="009B11EA" w:rsidRPr="00917D03" w14:paraId="2D14E607" w14:textId="77777777" w:rsidTr="00914C4B">
              <w:tc>
                <w:tcPr>
                  <w:tcW w:w="0" w:type="auto"/>
                  <w:tcBorders>
                    <w:top w:val="single" w:sz="6" w:space="0" w:color="auto"/>
                  </w:tcBorders>
                  <w:tcMar>
                    <w:top w:w="57" w:type="dxa"/>
                    <w:left w:w="113" w:type="dxa"/>
                    <w:bottom w:w="57" w:type="dxa"/>
                    <w:right w:w="113" w:type="dxa"/>
                  </w:tcMar>
                  <w:hideMark/>
                </w:tcPr>
                <w:p w14:paraId="5601EF45"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23451A76"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C5C112C" w14:textId="77777777" w:rsidTr="00914C4B">
              <w:tc>
                <w:tcPr>
                  <w:tcW w:w="0" w:type="auto"/>
                  <w:tcMar>
                    <w:top w:w="57" w:type="dxa"/>
                    <w:left w:w="113" w:type="dxa"/>
                    <w:bottom w:w="57" w:type="dxa"/>
                    <w:right w:w="113" w:type="dxa"/>
                  </w:tcMar>
                  <w:hideMark/>
                </w:tcPr>
                <w:p w14:paraId="15C9671F"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6A85DC29" w14:textId="77777777" w:rsidR="009B11EA" w:rsidRPr="00917D03" w:rsidRDefault="009B11EA" w:rsidP="009B11EA">
                  <w:pPr>
                    <w:rPr>
                      <w:rFonts w:eastAsia="Times New Roman"/>
                      <w:sz w:val="13"/>
                      <w:szCs w:val="13"/>
                    </w:rPr>
                  </w:pPr>
                  <w:r w:rsidRPr="00917D03">
                    <w:rPr>
                      <w:rFonts w:eastAsia="Times New Roman"/>
                      <w:sz w:val="13"/>
                      <w:szCs w:val="13"/>
                    </w:rPr>
                    <w:t>0.095</w:t>
                  </w:r>
                </w:p>
              </w:tc>
            </w:tr>
            <w:tr w:rsidR="009B11EA" w:rsidRPr="00917D03" w14:paraId="683C694A" w14:textId="77777777" w:rsidTr="00914C4B">
              <w:tc>
                <w:tcPr>
                  <w:tcW w:w="0" w:type="auto"/>
                  <w:tcMar>
                    <w:top w:w="57" w:type="dxa"/>
                    <w:left w:w="113" w:type="dxa"/>
                    <w:bottom w:w="57" w:type="dxa"/>
                    <w:right w:w="113" w:type="dxa"/>
                  </w:tcMar>
                  <w:hideMark/>
                </w:tcPr>
                <w:p w14:paraId="630B9D9F"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4FAAD865" w14:textId="77777777" w:rsidR="009B11EA" w:rsidRPr="00917D03" w:rsidRDefault="009B11EA" w:rsidP="009B11EA">
                  <w:pPr>
                    <w:rPr>
                      <w:rFonts w:eastAsia="Times New Roman"/>
                      <w:sz w:val="13"/>
                      <w:szCs w:val="13"/>
                    </w:rPr>
                  </w:pPr>
                  <w:r w:rsidRPr="00917D03">
                    <w:rPr>
                      <w:rFonts w:eastAsia="Times New Roman"/>
                      <w:sz w:val="13"/>
                      <w:szCs w:val="13"/>
                    </w:rPr>
                    <w:t>1295.937</w:t>
                  </w:r>
                </w:p>
              </w:tc>
            </w:tr>
            <w:tr w:rsidR="009B11EA" w:rsidRPr="00917D03" w14:paraId="4B8A680E" w14:textId="77777777" w:rsidTr="00914C4B">
              <w:tc>
                <w:tcPr>
                  <w:tcW w:w="0" w:type="auto"/>
                  <w:gridSpan w:val="2"/>
                  <w:tcBorders>
                    <w:top w:val="double" w:sz="6" w:space="0" w:color="000000"/>
                  </w:tcBorders>
                  <w:vAlign w:val="center"/>
                  <w:hideMark/>
                </w:tcPr>
                <w:p w14:paraId="70A02A79"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526344F7" w14:textId="77777777" w:rsidR="009B11EA" w:rsidRDefault="009B11EA" w:rsidP="009B11EA"/>
        </w:tc>
      </w:tr>
      <w:tr w:rsidR="009B11EA" w14:paraId="24696439"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63F436EB"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7F3D0BA2"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5A46AACE" w14:textId="77777777" w:rsidTr="00914C4B">
              <w:tc>
                <w:tcPr>
                  <w:tcW w:w="0" w:type="auto"/>
                  <w:tcBorders>
                    <w:top w:val="double" w:sz="6" w:space="0" w:color="auto"/>
                  </w:tcBorders>
                  <w:tcMar>
                    <w:top w:w="113" w:type="dxa"/>
                    <w:left w:w="113" w:type="dxa"/>
                    <w:bottom w:w="113" w:type="dxa"/>
                    <w:right w:w="113" w:type="dxa"/>
                  </w:tcMar>
                  <w:vAlign w:val="center"/>
                  <w:hideMark/>
                </w:tcPr>
                <w:p w14:paraId="2AEBB2F5"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F3D35D3"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he_eco</w:t>
                  </w:r>
                </w:p>
              </w:tc>
            </w:tr>
            <w:tr w:rsidR="009B11EA" w:rsidRPr="00917D03" w14:paraId="1EE5E352" w14:textId="77777777" w:rsidTr="00914C4B">
              <w:tc>
                <w:tcPr>
                  <w:tcW w:w="0" w:type="auto"/>
                  <w:tcBorders>
                    <w:bottom w:val="single" w:sz="6" w:space="0" w:color="auto"/>
                  </w:tcBorders>
                  <w:vAlign w:val="center"/>
                  <w:hideMark/>
                </w:tcPr>
                <w:p w14:paraId="641381CB"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B67243B"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E046746" w14:textId="77777777" w:rsidTr="00914C4B">
              <w:tc>
                <w:tcPr>
                  <w:tcW w:w="0" w:type="auto"/>
                  <w:tcMar>
                    <w:top w:w="113" w:type="dxa"/>
                    <w:left w:w="113" w:type="dxa"/>
                    <w:bottom w:w="113" w:type="dxa"/>
                    <w:right w:w="113" w:type="dxa"/>
                  </w:tcMar>
                  <w:hideMark/>
                </w:tcPr>
                <w:p w14:paraId="744E8C3D"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466FCFF"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0.02 </w:t>
                  </w:r>
                  <w:r w:rsidRPr="00917D03">
                    <w:rPr>
                      <w:rFonts w:eastAsia="Times New Roman"/>
                      <w:sz w:val="13"/>
                      <w:szCs w:val="13"/>
                      <w:vertAlign w:val="superscript"/>
                    </w:rPr>
                    <w:t>***</w:t>
                  </w:r>
                  <w:r w:rsidRPr="00917D03">
                    <w:rPr>
                      <w:rFonts w:eastAsia="Times New Roman"/>
                      <w:sz w:val="13"/>
                      <w:szCs w:val="13"/>
                    </w:rPr>
                    <w:br/>
                    <w:t>(0.01 – 0.05)</w:t>
                  </w:r>
                </w:p>
              </w:tc>
            </w:tr>
            <w:tr w:rsidR="009B11EA" w:rsidRPr="00917D03" w14:paraId="716B2A04" w14:textId="77777777" w:rsidTr="00914C4B">
              <w:tc>
                <w:tcPr>
                  <w:tcW w:w="0" w:type="auto"/>
                  <w:tcMar>
                    <w:top w:w="113" w:type="dxa"/>
                    <w:left w:w="113" w:type="dxa"/>
                    <w:bottom w:w="113" w:type="dxa"/>
                    <w:right w:w="113" w:type="dxa"/>
                  </w:tcMar>
                  <w:hideMark/>
                </w:tcPr>
                <w:p w14:paraId="09FAE1D1" w14:textId="77777777" w:rsidR="009B11EA" w:rsidRPr="00917D03" w:rsidRDefault="009B11EA" w:rsidP="009B11EA">
                  <w:pPr>
                    <w:jc w:val="left"/>
                    <w:rPr>
                      <w:rFonts w:eastAsia="Times New Roman"/>
                      <w:sz w:val="13"/>
                      <w:szCs w:val="13"/>
                    </w:rPr>
                  </w:pPr>
                  <w:r w:rsidRPr="00917D03">
                    <w:rPr>
                      <w:rFonts w:eastAsia="Times New Roman"/>
                      <w:sz w:val="13"/>
                      <w:szCs w:val="13"/>
                    </w:rPr>
                    <w:t>he_eco</w:t>
                  </w:r>
                </w:p>
              </w:tc>
              <w:tc>
                <w:tcPr>
                  <w:tcW w:w="0" w:type="auto"/>
                  <w:tcMar>
                    <w:top w:w="113" w:type="dxa"/>
                    <w:left w:w="113" w:type="dxa"/>
                    <w:bottom w:w="113" w:type="dxa"/>
                    <w:right w:w="113" w:type="dxa"/>
                  </w:tcMar>
                  <w:hideMark/>
                </w:tcPr>
                <w:p w14:paraId="78B5CC4A"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1.24 </w:t>
                  </w:r>
                  <w:r w:rsidRPr="00917D03">
                    <w:rPr>
                      <w:rFonts w:eastAsia="Times New Roman"/>
                      <w:sz w:val="13"/>
                      <w:szCs w:val="13"/>
                      <w:vertAlign w:val="superscript"/>
                    </w:rPr>
                    <w:t>***</w:t>
                  </w:r>
                  <w:r w:rsidRPr="00917D03">
                    <w:rPr>
                      <w:rFonts w:eastAsia="Times New Roman"/>
                      <w:sz w:val="13"/>
                      <w:szCs w:val="13"/>
                    </w:rPr>
                    <w:br/>
                    <w:t>(1.17 – 1.31)</w:t>
                  </w:r>
                </w:p>
              </w:tc>
            </w:tr>
            <w:tr w:rsidR="009B11EA" w:rsidRPr="00917D03" w14:paraId="6141625D" w14:textId="77777777" w:rsidTr="00914C4B">
              <w:tc>
                <w:tcPr>
                  <w:tcW w:w="0" w:type="auto"/>
                  <w:tcMar>
                    <w:top w:w="113" w:type="dxa"/>
                    <w:left w:w="113" w:type="dxa"/>
                    <w:bottom w:w="113" w:type="dxa"/>
                    <w:right w:w="113" w:type="dxa"/>
                  </w:tcMar>
                  <w:hideMark/>
                </w:tcPr>
                <w:p w14:paraId="3737D450"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73D8DA7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1.49 </w:t>
                  </w:r>
                  <w:r w:rsidRPr="00917D03">
                    <w:rPr>
                      <w:rFonts w:eastAsia="Times New Roman"/>
                      <w:sz w:val="13"/>
                      <w:szCs w:val="13"/>
                      <w:vertAlign w:val="superscript"/>
                    </w:rPr>
                    <w:t>***</w:t>
                  </w:r>
                  <w:r w:rsidRPr="00917D03">
                    <w:rPr>
                      <w:rFonts w:eastAsia="Times New Roman"/>
                      <w:sz w:val="13"/>
                      <w:szCs w:val="13"/>
                    </w:rPr>
                    <w:br/>
                    <w:t>(1.13 – 1.96)</w:t>
                  </w:r>
                </w:p>
              </w:tc>
            </w:tr>
            <w:tr w:rsidR="009B11EA" w:rsidRPr="00917D03" w14:paraId="450CEA13" w14:textId="77777777" w:rsidTr="00914C4B">
              <w:tc>
                <w:tcPr>
                  <w:tcW w:w="0" w:type="auto"/>
                  <w:tcMar>
                    <w:top w:w="113" w:type="dxa"/>
                    <w:left w:w="113" w:type="dxa"/>
                    <w:bottom w:w="113" w:type="dxa"/>
                    <w:right w:w="113" w:type="dxa"/>
                  </w:tcMar>
                  <w:hideMark/>
                </w:tcPr>
                <w:p w14:paraId="24677BE7"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310918E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76695DD0" w14:textId="77777777" w:rsidTr="00914C4B">
              <w:tc>
                <w:tcPr>
                  <w:tcW w:w="0" w:type="auto"/>
                  <w:tcMar>
                    <w:top w:w="113" w:type="dxa"/>
                    <w:left w:w="113" w:type="dxa"/>
                    <w:bottom w:w="113" w:type="dxa"/>
                    <w:right w:w="113" w:type="dxa"/>
                  </w:tcMar>
                  <w:hideMark/>
                </w:tcPr>
                <w:p w14:paraId="1B7CAF6D"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196297E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1.67 </w:t>
                  </w:r>
                  <w:r w:rsidRPr="00917D03">
                    <w:rPr>
                      <w:rFonts w:eastAsia="Times New Roman"/>
                      <w:sz w:val="13"/>
                      <w:szCs w:val="13"/>
                      <w:vertAlign w:val="superscript"/>
                    </w:rPr>
                    <w:t>***</w:t>
                  </w:r>
                  <w:r w:rsidRPr="00917D03">
                    <w:rPr>
                      <w:rFonts w:eastAsia="Times New Roman"/>
                      <w:sz w:val="13"/>
                      <w:szCs w:val="13"/>
                    </w:rPr>
                    <w:br/>
                    <w:t>(1.23 – 2.26)</w:t>
                  </w:r>
                </w:p>
              </w:tc>
            </w:tr>
            <w:tr w:rsidR="009B11EA" w:rsidRPr="00917D03" w14:paraId="6755226A" w14:textId="77777777" w:rsidTr="00914C4B">
              <w:tc>
                <w:tcPr>
                  <w:tcW w:w="0" w:type="auto"/>
                  <w:tcMar>
                    <w:top w:w="113" w:type="dxa"/>
                    <w:left w:w="113" w:type="dxa"/>
                    <w:bottom w:w="113" w:type="dxa"/>
                    <w:right w:w="113" w:type="dxa"/>
                  </w:tcMar>
                  <w:hideMark/>
                </w:tcPr>
                <w:p w14:paraId="4340F4EA"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2E0094B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1.06 </w:t>
                  </w:r>
                  <w:r w:rsidRPr="00917D03">
                    <w:rPr>
                      <w:rFonts w:eastAsia="Times New Roman"/>
                      <w:sz w:val="13"/>
                      <w:szCs w:val="13"/>
                    </w:rPr>
                    <w:br/>
                    <w:t>(0.80 – 1.39)</w:t>
                  </w:r>
                </w:p>
              </w:tc>
            </w:tr>
            <w:tr w:rsidR="009B11EA" w:rsidRPr="00917D03" w14:paraId="0CE3DBA5" w14:textId="77777777" w:rsidTr="00914C4B">
              <w:tc>
                <w:tcPr>
                  <w:tcW w:w="0" w:type="auto"/>
                  <w:tcMar>
                    <w:top w:w="113" w:type="dxa"/>
                    <w:left w:w="113" w:type="dxa"/>
                    <w:bottom w:w="113" w:type="dxa"/>
                    <w:right w:w="113" w:type="dxa"/>
                  </w:tcMar>
                  <w:hideMark/>
                </w:tcPr>
                <w:p w14:paraId="48162DB9"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15E4FDA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1.22 </w:t>
                  </w:r>
                  <w:r w:rsidRPr="00917D03">
                    <w:rPr>
                      <w:rFonts w:eastAsia="Times New Roman"/>
                      <w:sz w:val="13"/>
                      <w:szCs w:val="13"/>
                      <w:vertAlign w:val="superscript"/>
                    </w:rPr>
                    <w:t>*</w:t>
                  </w:r>
                  <w:r w:rsidRPr="00917D03">
                    <w:rPr>
                      <w:rFonts w:eastAsia="Times New Roman"/>
                      <w:sz w:val="13"/>
                      <w:szCs w:val="13"/>
                    </w:rPr>
                    <w:br/>
                    <w:t>(0.98 – 1.50)</w:t>
                  </w:r>
                </w:p>
              </w:tc>
            </w:tr>
            <w:tr w:rsidR="009B11EA" w:rsidRPr="00917D03" w14:paraId="58578C35" w14:textId="77777777" w:rsidTr="00914C4B">
              <w:tc>
                <w:tcPr>
                  <w:tcW w:w="0" w:type="auto"/>
                  <w:tcBorders>
                    <w:top w:val="single" w:sz="6" w:space="0" w:color="auto"/>
                  </w:tcBorders>
                  <w:tcMar>
                    <w:top w:w="57" w:type="dxa"/>
                    <w:left w:w="113" w:type="dxa"/>
                    <w:bottom w:w="57" w:type="dxa"/>
                    <w:right w:w="113" w:type="dxa"/>
                  </w:tcMar>
                  <w:hideMark/>
                </w:tcPr>
                <w:p w14:paraId="1C6DF29B"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4100D77C"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3F2FB52" w14:textId="77777777" w:rsidTr="00914C4B">
              <w:tc>
                <w:tcPr>
                  <w:tcW w:w="0" w:type="auto"/>
                  <w:tcMar>
                    <w:top w:w="57" w:type="dxa"/>
                    <w:left w:w="113" w:type="dxa"/>
                    <w:bottom w:w="57" w:type="dxa"/>
                    <w:right w:w="113" w:type="dxa"/>
                  </w:tcMar>
                  <w:hideMark/>
                </w:tcPr>
                <w:p w14:paraId="31AAB721"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7D4039B6" w14:textId="77777777" w:rsidR="009B11EA" w:rsidRPr="00917D03" w:rsidRDefault="009B11EA" w:rsidP="009B11EA">
                  <w:pPr>
                    <w:rPr>
                      <w:rFonts w:eastAsia="Times New Roman"/>
                      <w:sz w:val="13"/>
                      <w:szCs w:val="13"/>
                    </w:rPr>
                  </w:pPr>
                  <w:r w:rsidRPr="00917D03">
                    <w:rPr>
                      <w:rFonts w:eastAsia="Times New Roman"/>
                      <w:sz w:val="13"/>
                      <w:szCs w:val="13"/>
                    </w:rPr>
                    <w:t>0.065</w:t>
                  </w:r>
                </w:p>
              </w:tc>
            </w:tr>
            <w:tr w:rsidR="009B11EA" w:rsidRPr="00917D03" w14:paraId="49209E18" w14:textId="77777777" w:rsidTr="00914C4B">
              <w:tc>
                <w:tcPr>
                  <w:tcW w:w="0" w:type="auto"/>
                  <w:tcMar>
                    <w:top w:w="57" w:type="dxa"/>
                    <w:left w:w="113" w:type="dxa"/>
                    <w:bottom w:w="57" w:type="dxa"/>
                    <w:right w:w="113" w:type="dxa"/>
                  </w:tcMar>
                  <w:hideMark/>
                </w:tcPr>
                <w:p w14:paraId="3BA04A89"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0F584A21" w14:textId="77777777" w:rsidR="009B11EA" w:rsidRPr="00917D03" w:rsidRDefault="009B11EA" w:rsidP="009B11EA">
                  <w:pPr>
                    <w:rPr>
                      <w:rFonts w:eastAsia="Times New Roman"/>
                      <w:sz w:val="13"/>
                      <w:szCs w:val="13"/>
                    </w:rPr>
                  </w:pPr>
                  <w:r w:rsidRPr="00917D03">
                    <w:rPr>
                      <w:rFonts w:eastAsia="Times New Roman"/>
                      <w:sz w:val="13"/>
                      <w:szCs w:val="13"/>
                    </w:rPr>
                    <w:t>1332.312</w:t>
                  </w:r>
                </w:p>
              </w:tc>
            </w:tr>
            <w:tr w:rsidR="009B11EA" w:rsidRPr="00917D03" w14:paraId="403BAF4A" w14:textId="77777777" w:rsidTr="00914C4B">
              <w:tc>
                <w:tcPr>
                  <w:tcW w:w="0" w:type="auto"/>
                  <w:gridSpan w:val="2"/>
                  <w:tcBorders>
                    <w:top w:val="double" w:sz="6" w:space="0" w:color="000000"/>
                  </w:tcBorders>
                  <w:vAlign w:val="center"/>
                  <w:hideMark/>
                </w:tcPr>
                <w:p w14:paraId="035DCADA"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4834A290" w14:textId="77777777" w:rsidR="009B11EA" w:rsidRPr="00917D03" w:rsidRDefault="009B11EA" w:rsidP="009B11EA">
            <w:pPr>
              <w:rPr>
                <w:rFonts w:eastAsia="Times New Roman"/>
                <w:b/>
                <w:bCs/>
                <w:sz w:val="13"/>
                <w:szCs w:val="13"/>
              </w:rPr>
            </w:pPr>
          </w:p>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5432C553"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343AF0C0"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16F755C6" w14:textId="77777777" w:rsidTr="00914C4B">
              <w:tc>
                <w:tcPr>
                  <w:tcW w:w="0" w:type="auto"/>
                  <w:tcBorders>
                    <w:top w:val="double" w:sz="6" w:space="0" w:color="auto"/>
                  </w:tcBorders>
                  <w:tcMar>
                    <w:top w:w="113" w:type="dxa"/>
                    <w:left w:w="113" w:type="dxa"/>
                    <w:bottom w:w="113" w:type="dxa"/>
                    <w:right w:w="113" w:type="dxa"/>
                  </w:tcMar>
                  <w:vAlign w:val="center"/>
                  <w:hideMark/>
                </w:tcPr>
                <w:p w14:paraId="3AC8D73F"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45F65A69"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low_comp</w:t>
                  </w:r>
                </w:p>
              </w:tc>
            </w:tr>
            <w:tr w:rsidR="009B11EA" w:rsidRPr="00917D03" w14:paraId="7CCC28D4" w14:textId="77777777" w:rsidTr="00914C4B">
              <w:tc>
                <w:tcPr>
                  <w:tcW w:w="0" w:type="auto"/>
                  <w:tcBorders>
                    <w:bottom w:val="single" w:sz="6" w:space="0" w:color="auto"/>
                  </w:tcBorders>
                  <w:vAlign w:val="center"/>
                  <w:hideMark/>
                </w:tcPr>
                <w:p w14:paraId="29A2486D"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1C1399D"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014ECC26" w14:textId="77777777" w:rsidTr="00914C4B">
              <w:tc>
                <w:tcPr>
                  <w:tcW w:w="0" w:type="auto"/>
                  <w:tcMar>
                    <w:top w:w="113" w:type="dxa"/>
                    <w:left w:w="113" w:type="dxa"/>
                    <w:bottom w:w="113" w:type="dxa"/>
                    <w:right w:w="113" w:type="dxa"/>
                  </w:tcMar>
                  <w:hideMark/>
                </w:tcPr>
                <w:p w14:paraId="3F474354"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2BEEC02A"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0.03 </w:t>
                  </w:r>
                  <w:r w:rsidRPr="00917D03">
                    <w:rPr>
                      <w:rFonts w:eastAsia="Times New Roman"/>
                      <w:sz w:val="13"/>
                      <w:szCs w:val="13"/>
                      <w:vertAlign w:val="superscript"/>
                    </w:rPr>
                    <w:t>***</w:t>
                  </w:r>
                  <w:r w:rsidRPr="00917D03">
                    <w:rPr>
                      <w:rFonts w:eastAsia="Times New Roman"/>
                      <w:sz w:val="13"/>
                      <w:szCs w:val="13"/>
                    </w:rPr>
                    <w:br/>
                    <w:t>(0.02 – 0.07)</w:t>
                  </w:r>
                </w:p>
              </w:tc>
            </w:tr>
            <w:tr w:rsidR="009B11EA" w:rsidRPr="00917D03" w14:paraId="3509F508" w14:textId="77777777" w:rsidTr="00914C4B">
              <w:tc>
                <w:tcPr>
                  <w:tcW w:w="0" w:type="auto"/>
                  <w:tcMar>
                    <w:top w:w="113" w:type="dxa"/>
                    <w:left w:w="113" w:type="dxa"/>
                    <w:bottom w:w="113" w:type="dxa"/>
                    <w:right w:w="113" w:type="dxa"/>
                  </w:tcMar>
                  <w:hideMark/>
                </w:tcPr>
                <w:p w14:paraId="46FA8CD2" w14:textId="77777777" w:rsidR="009B11EA" w:rsidRPr="00917D03" w:rsidRDefault="009B11EA" w:rsidP="009B11EA">
                  <w:pPr>
                    <w:jc w:val="left"/>
                    <w:rPr>
                      <w:rFonts w:eastAsia="Times New Roman"/>
                      <w:sz w:val="13"/>
                      <w:szCs w:val="13"/>
                    </w:rPr>
                  </w:pPr>
                  <w:r w:rsidRPr="00917D03">
                    <w:rPr>
                      <w:rFonts w:eastAsia="Times New Roman"/>
                      <w:sz w:val="13"/>
                      <w:szCs w:val="13"/>
                    </w:rPr>
                    <w:t>low_comp</w:t>
                  </w:r>
                </w:p>
              </w:tc>
              <w:tc>
                <w:tcPr>
                  <w:tcW w:w="0" w:type="auto"/>
                  <w:tcMar>
                    <w:top w:w="113" w:type="dxa"/>
                    <w:left w:w="113" w:type="dxa"/>
                    <w:bottom w:w="113" w:type="dxa"/>
                    <w:right w:w="113" w:type="dxa"/>
                  </w:tcMar>
                  <w:hideMark/>
                </w:tcPr>
                <w:p w14:paraId="14F924EB"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1.57 </w:t>
                  </w:r>
                  <w:r w:rsidRPr="00917D03">
                    <w:rPr>
                      <w:rFonts w:eastAsia="Times New Roman"/>
                      <w:sz w:val="13"/>
                      <w:szCs w:val="13"/>
                      <w:vertAlign w:val="superscript"/>
                    </w:rPr>
                    <w:t>***</w:t>
                  </w:r>
                  <w:r w:rsidRPr="00917D03">
                    <w:rPr>
                      <w:rFonts w:eastAsia="Times New Roman"/>
                      <w:sz w:val="13"/>
                      <w:szCs w:val="13"/>
                    </w:rPr>
                    <w:br/>
                    <w:t>(1.45 – 1.69)</w:t>
                  </w:r>
                </w:p>
              </w:tc>
            </w:tr>
            <w:tr w:rsidR="009B11EA" w:rsidRPr="00917D03" w14:paraId="3746B347" w14:textId="77777777" w:rsidTr="00914C4B">
              <w:tc>
                <w:tcPr>
                  <w:tcW w:w="0" w:type="auto"/>
                  <w:tcMar>
                    <w:top w:w="113" w:type="dxa"/>
                    <w:left w:w="113" w:type="dxa"/>
                    <w:bottom w:w="113" w:type="dxa"/>
                    <w:right w:w="113" w:type="dxa"/>
                  </w:tcMar>
                  <w:hideMark/>
                </w:tcPr>
                <w:p w14:paraId="5A0A0D72"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4EB2AA9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1.98 </w:t>
                  </w:r>
                  <w:r w:rsidRPr="00917D03">
                    <w:rPr>
                      <w:rFonts w:eastAsia="Times New Roman"/>
                      <w:sz w:val="13"/>
                      <w:szCs w:val="13"/>
                      <w:vertAlign w:val="superscript"/>
                    </w:rPr>
                    <w:t>***</w:t>
                  </w:r>
                  <w:r w:rsidRPr="00917D03">
                    <w:rPr>
                      <w:rFonts w:eastAsia="Times New Roman"/>
                      <w:sz w:val="13"/>
                      <w:szCs w:val="13"/>
                    </w:rPr>
                    <w:br/>
                    <w:t>(1.47 – 2.69)</w:t>
                  </w:r>
                </w:p>
              </w:tc>
            </w:tr>
            <w:tr w:rsidR="009B11EA" w:rsidRPr="00917D03" w14:paraId="4FFBE734" w14:textId="77777777" w:rsidTr="00914C4B">
              <w:tc>
                <w:tcPr>
                  <w:tcW w:w="0" w:type="auto"/>
                  <w:tcMar>
                    <w:top w:w="113" w:type="dxa"/>
                    <w:left w:w="113" w:type="dxa"/>
                    <w:bottom w:w="113" w:type="dxa"/>
                    <w:right w:w="113" w:type="dxa"/>
                  </w:tcMar>
                  <w:hideMark/>
                </w:tcPr>
                <w:p w14:paraId="2E587785"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12EE032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0.99 </w:t>
                  </w:r>
                  <w:r w:rsidRPr="00917D03">
                    <w:rPr>
                      <w:rFonts w:eastAsia="Times New Roman"/>
                      <w:sz w:val="13"/>
                      <w:szCs w:val="13"/>
                    </w:rPr>
                    <w:br/>
                    <w:t>(0.98 – 1.00)</w:t>
                  </w:r>
                </w:p>
              </w:tc>
            </w:tr>
            <w:tr w:rsidR="009B11EA" w:rsidRPr="00917D03" w14:paraId="10E9FA5B" w14:textId="77777777" w:rsidTr="00914C4B">
              <w:tc>
                <w:tcPr>
                  <w:tcW w:w="0" w:type="auto"/>
                  <w:tcMar>
                    <w:top w:w="113" w:type="dxa"/>
                    <w:left w:w="113" w:type="dxa"/>
                    <w:bottom w:w="113" w:type="dxa"/>
                    <w:right w:w="113" w:type="dxa"/>
                  </w:tcMar>
                  <w:hideMark/>
                </w:tcPr>
                <w:p w14:paraId="0DE18F49"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21428B62"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1.81 </w:t>
                  </w:r>
                  <w:r w:rsidRPr="00917D03">
                    <w:rPr>
                      <w:rFonts w:eastAsia="Times New Roman"/>
                      <w:sz w:val="13"/>
                      <w:szCs w:val="13"/>
                      <w:vertAlign w:val="superscript"/>
                    </w:rPr>
                    <w:t>***</w:t>
                  </w:r>
                  <w:r w:rsidRPr="00917D03">
                    <w:rPr>
                      <w:rFonts w:eastAsia="Times New Roman"/>
                      <w:sz w:val="13"/>
                      <w:szCs w:val="13"/>
                    </w:rPr>
                    <w:br/>
                    <w:t>(1.32 – 2.50)</w:t>
                  </w:r>
                </w:p>
              </w:tc>
            </w:tr>
            <w:tr w:rsidR="009B11EA" w:rsidRPr="00917D03" w14:paraId="566FC7C3" w14:textId="77777777" w:rsidTr="00914C4B">
              <w:tc>
                <w:tcPr>
                  <w:tcW w:w="0" w:type="auto"/>
                  <w:tcMar>
                    <w:top w:w="113" w:type="dxa"/>
                    <w:left w:w="113" w:type="dxa"/>
                    <w:bottom w:w="113" w:type="dxa"/>
                    <w:right w:w="113" w:type="dxa"/>
                  </w:tcMar>
                  <w:hideMark/>
                </w:tcPr>
                <w:p w14:paraId="7B364108"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6B69D72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0.97 </w:t>
                  </w:r>
                  <w:r w:rsidRPr="00917D03">
                    <w:rPr>
                      <w:rFonts w:eastAsia="Times New Roman"/>
                      <w:sz w:val="13"/>
                      <w:szCs w:val="13"/>
                    </w:rPr>
                    <w:br/>
                    <w:t>(0.72 – 1.30)</w:t>
                  </w:r>
                </w:p>
              </w:tc>
            </w:tr>
            <w:tr w:rsidR="009B11EA" w:rsidRPr="00917D03" w14:paraId="76944855" w14:textId="77777777" w:rsidTr="00914C4B">
              <w:tc>
                <w:tcPr>
                  <w:tcW w:w="0" w:type="auto"/>
                  <w:tcMar>
                    <w:top w:w="113" w:type="dxa"/>
                    <w:left w:w="113" w:type="dxa"/>
                    <w:bottom w:w="113" w:type="dxa"/>
                    <w:right w:w="113" w:type="dxa"/>
                  </w:tcMar>
                  <w:hideMark/>
                </w:tcPr>
                <w:p w14:paraId="194F6087"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1536E8F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1.29 </w:t>
                  </w:r>
                  <w:r w:rsidRPr="00917D03">
                    <w:rPr>
                      <w:rFonts w:eastAsia="Times New Roman"/>
                      <w:sz w:val="13"/>
                      <w:szCs w:val="13"/>
                      <w:vertAlign w:val="superscript"/>
                    </w:rPr>
                    <w:t>**</w:t>
                  </w:r>
                  <w:r w:rsidRPr="00917D03">
                    <w:rPr>
                      <w:rFonts w:eastAsia="Times New Roman"/>
                      <w:sz w:val="13"/>
                      <w:szCs w:val="13"/>
                    </w:rPr>
                    <w:br/>
                    <w:t>(1.03 – 1.61)</w:t>
                  </w:r>
                </w:p>
              </w:tc>
            </w:tr>
            <w:tr w:rsidR="009B11EA" w:rsidRPr="00917D03" w14:paraId="2E136589" w14:textId="77777777" w:rsidTr="00914C4B">
              <w:tc>
                <w:tcPr>
                  <w:tcW w:w="0" w:type="auto"/>
                  <w:tcBorders>
                    <w:top w:val="single" w:sz="6" w:space="0" w:color="auto"/>
                  </w:tcBorders>
                  <w:tcMar>
                    <w:top w:w="57" w:type="dxa"/>
                    <w:left w:w="113" w:type="dxa"/>
                    <w:bottom w:w="57" w:type="dxa"/>
                    <w:right w:w="113" w:type="dxa"/>
                  </w:tcMar>
                  <w:hideMark/>
                </w:tcPr>
                <w:p w14:paraId="31A7E7B4"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1170C3C7"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11479B2D" w14:textId="77777777" w:rsidTr="00914C4B">
              <w:tc>
                <w:tcPr>
                  <w:tcW w:w="0" w:type="auto"/>
                  <w:tcMar>
                    <w:top w:w="57" w:type="dxa"/>
                    <w:left w:w="113" w:type="dxa"/>
                    <w:bottom w:w="57" w:type="dxa"/>
                    <w:right w:w="113" w:type="dxa"/>
                  </w:tcMar>
                  <w:hideMark/>
                </w:tcPr>
                <w:p w14:paraId="392B141C"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44AF39C2" w14:textId="77777777" w:rsidR="009B11EA" w:rsidRPr="00917D03" w:rsidRDefault="009B11EA" w:rsidP="009B11EA">
                  <w:pPr>
                    <w:rPr>
                      <w:rFonts w:eastAsia="Times New Roman"/>
                      <w:sz w:val="13"/>
                      <w:szCs w:val="13"/>
                    </w:rPr>
                  </w:pPr>
                  <w:r w:rsidRPr="00917D03">
                    <w:rPr>
                      <w:rFonts w:eastAsia="Times New Roman"/>
                      <w:sz w:val="13"/>
                      <w:szCs w:val="13"/>
                    </w:rPr>
                    <w:t>0.152</w:t>
                  </w:r>
                </w:p>
              </w:tc>
            </w:tr>
            <w:tr w:rsidR="009B11EA" w:rsidRPr="00917D03" w14:paraId="55EBF98F" w14:textId="77777777" w:rsidTr="00914C4B">
              <w:tc>
                <w:tcPr>
                  <w:tcW w:w="0" w:type="auto"/>
                  <w:tcMar>
                    <w:top w:w="57" w:type="dxa"/>
                    <w:left w:w="113" w:type="dxa"/>
                    <w:bottom w:w="57" w:type="dxa"/>
                    <w:right w:w="113" w:type="dxa"/>
                  </w:tcMar>
                  <w:hideMark/>
                </w:tcPr>
                <w:p w14:paraId="0318BCB5"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670C176F" w14:textId="77777777" w:rsidR="009B11EA" w:rsidRPr="00917D03" w:rsidRDefault="009B11EA" w:rsidP="009B11EA">
                  <w:pPr>
                    <w:rPr>
                      <w:rFonts w:eastAsia="Times New Roman"/>
                      <w:sz w:val="13"/>
                      <w:szCs w:val="13"/>
                    </w:rPr>
                  </w:pPr>
                  <w:r w:rsidRPr="00917D03">
                    <w:rPr>
                      <w:rFonts w:eastAsia="Times New Roman"/>
                      <w:sz w:val="13"/>
                      <w:szCs w:val="13"/>
                    </w:rPr>
                    <w:t>1234.701</w:t>
                  </w:r>
                </w:p>
              </w:tc>
            </w:tr>
            <w:tr w:rsidR="009B11EA" w:rsidRPr="00917D03" w14:paraId="7FE2D2F5" w14:textId="77777777" w:rsidTr="00914C4B">
              <w:tc>
                <w:tcPr>
                  <w:tcW w:w="0" w:type="auto"/>
                  <w:gridSpan w:val="2"/>
                  <w:tcBorders>
                    <w:top w:val="double" w:sz="6" w:space="0" w:color="000000"/>
                  </w:tcBorders>
                  <w:vAlign w:val="center"/>
                  <w:hideMark/>
                </w:tcPr>
                <w:p w14:paraId="58D1B392"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264D3978" w14:textId="77777777" w:rsidR="009B11EA" w:rsidRPr="00917D03" w:rsidRDefault="009B11EA" w:rsidP="009B11EA">
            <w:pPr>
              <w:rPr>
                <w:rFonts w:eastAsia="Times New Roman"/>
                <w:b/>
                <w:bCs/>
                <w:sz w:val="13"/>
                <w:szCs w:val="13"/>
              </w:rPr>
            </w:pPr>
          </w:p>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2E3F8F1E"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6EC8F3D8"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2E38AEE" w14:textId="77777777" w:rsidTr="00914C4B">
              <w:tc>
                <w:tcPr>
                  <w:tcW w:w="0" w:type="auto"/>
                  <w:tcBorders>
                    <w:top w:val="double" w:sz="6" w:space="0" w:color="auto"/>
                  </w:tcBorders>
                  <w:tcMar>
                    <w:top w:w="113" w:type="dxa"/>
                    <w:left w:w="113" w:type="dxa"/>
                    <w:bottom w:w="113" w:type="dxa"/>
                    <w:right w:w="113" w:type="dxa"/>
                  </w:tcMar>
                  <w:vAlign w:val="center"/>
                  <w:hideMark/>
                </w:tcPr>
                <w:p w14:paraId="57625015"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71A71BD4"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media</w:t>
                  </w:r>
                </w:p>
              </w:tc>
            </w:tr>
            <w:tr w:rsidR="009B11EA" w:rsidRPr="00917D03" w14:paraId="3FE27171" w14:textId="77777777" w:rsidTr="00914C4B">
              <w:tc>
                <w:tcPr>
                  <w:tcW w:w="0" w:type="auto"/>
                  <w:tcBorders>
                    <w:bottom w:val="single" w:sz="6" w:space="0" w:color="auto"/>
                  </w:tcBorders>
                  <w:vAlign w:val="center"/>
                  <w:hideMark/>
                </w:tcPr>
                <w:p w14:paraId="5E558A20"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12A0DA46"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57EB318B" w14:textId="77777777" w:rsidTr="00914C4B">
              <w:tc>
                <w:tcPr>
                  <w:tcW w:w="0" w:type="auto"/>
                  <w:tcMar>
                    <w:top w:w="113" w:type="dxa"/>
                    <w:left w:w="113" w:type="dxa"/>
                    <w:bottom w:w="113" w:type="dxa"/>
                    <w:right w:w="113" w:type="dxa"/>
                  </w:tcMar>
                  <w:hideMark/>
                </w:tcPr>
                <w:p w14:paraId="6D26D6DD"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60DBBD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0.06 </w:t>
                  </w:r>
                  <w:r w:rsidRPr="00917D03">
                    <w:rPr>
                      <w:rFonts w:eastAsia="Times New Roman"/>
                      <w:sz w:val="13"/>
                      <w:szCs w:val="13"/>
                      <w:vertAlign w:val="superscript"/>
                    </w:rPr>
                    <w:t>***</w:t>
                  </w:r>
                  <w:r w:rsidRPr="00917D03">
                    <w:rPr>
                      <w:rFonts w:eastAsia="Times New Roman"/>
                      <w:sz w:val="13"/>
                      <w:szCs w:val="13"/>
                    </w:rPr>
                    <w:br/>
                    <w:t>(0.03 – 0.12)</w:t>
                  </w:r>
                </w:p>
              </w:tc>
            </w:tr>
            <w:tr w:rsidR="009B11EA" w:rsidRPr="00917D03" w14:paraId="64D91F24" w14:textId="77777777" w:rsidTr="00914C4B">
              <w:tc>
                <w:tcPr>
                  <w:tcW w:w="0" w:type="auto"/>
                  <w:tcMar>
                    <w:top w:w="113" w:type="dxa"/>
                    <w:left w:w="113" w:type="dxa"/>
                    <w:bottom w:w="113" w:type="dxa"/>
                    <w:right w:w="113" w:type="dxa"/>
                  </w:tcMar>
                  <w:hideMark/>
                </w:tcPr>
                <w:p w14:paraId="74D87B8F" w14:textId="77777777" w:rsidR="009B11EA" w:rsidRPr="00917D03" w:rsidRDefault="009B11EA" w:rsidP="009B11EA">
                  <w:pPr>
                    <w:jc w:val="left"/>
                    <w:rPr>
                      <w:rFonts w:eastAsia="Times New Roman"/>
                      <w:sz w:val="13"/>
                      <w:szCs w:val="13"/>
                    </w:rPr>
                  </w:pPr>
                  <w:r w:rsidRPr="00917D03">
                    <w:rPr>
                      <w:rFonts w:eastAsia="Times New Roman"/>
                      <w:sz w:val="13"/>
                      <w:szCs w:val="13"/>
                    </w:rPr>
                    <w:t>media</w:t>
                  </w:r>
                </w:p>
              </w:tc>
              <w:tc>
                <w:tcPr>
                  <w:tcW w:w="0" w:type="auto"/>
                  <w:tcMar>
                    <w:top w:w="113" w:type="dxa"/>
                    <w:left w:w="113" w:type="dxa"/>
                    <w:bottom w:w="113" w:type="dxa"/>
                    <w:right w:w="113" w:type="dxa"/>
                  </w:tcMar>
                  <w:hideMark/>
                </w:tcPr>
                <w:p w14:paraId="30090387"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0.99 </w:t>
                  </w:r>
                  <w:r w:rsidRPr="00917D03">
                    <w:rPr>
                      <w:rFonts w:eastAsia="Times New Roman"/>
                      <w:sz w:val="13"/>
                      <w:szCs w:val="13"/>
                    </w:rPr>
                    <w:br/>
                    <w:t>(0.75 – 1.30)</w:t>
                  </w:r>
                </w:p>
              </w:tc>
            </w:tr>
            <w:tr w:rsidR="009B11EA" w:rsidRPr="00917D03" w14:paraId="0B4C649F" w14:textId="77777777" w:rsidTr="00914C4B">
              <w:tc>
                <w:tcPr>
                  <w:tcW w:w="0" w:type="auto"/>
                  <w:tcMar>
                    <w:top w:w="113" w:type="dxa"/>
                    <w:left w:w="113" w:type="dxa"/>
                    <w:bottom w:w="113" w:type="dxa"/>
                    <w:right w:w="113" w:type="dxa"/>
                  </w:tcMar>
                  <w:hideMark/>
                </w:tcPr>
                <w:p w14:paraId="788CA4C1"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469989E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1.41 </w:t>
                  </w:r>
                  <w:r w:rsidRPr="00917D03">
                    <w:rPr>
                      <w:rFonts w:eastAsia="Times New Roman"/>
                      <w:sz w:val="13"/>
                      <w:szCs w:val="13"/>
                      <w:vertAlign w:val="superscript"/>
                    </w:rPr>
                    <w:t>**</w:t>
                  </w:r>
                  <w:r w:rsidRPr="00917D03">
                    <w:rPr>
                      <w:rFonts w:eastAsia="Times New Roman"/>
                      <w:sz w:val="13"/>
                      <w:szCs w:val="13"/>
                    </w:rPr>
                    <w:br/>
                    <w:t>(1.07 – 1.84)</w:t>
                  </w:r>
                </w:p>
              </w:tc>
            </w:tr>
            <w:tr w:rsidR="009B11EA" w:rsidRPr="00917D03" w14:paraId="249EA743" w14:textId="77777777" w:rsidTr="00914C4B">
              <w:tc>
                <w:tcPr>
                  <w:tcW w:w="0" w:type="auto"/>
                  <w:tcMar>
                    <w:top w:w="113" w:type="dxa"/>
                    <w:left w:w="113" w:type="dxa"/>
                    <w:bottom w:w="113" w:type="dxa"/>
                    <w:right w:w="113" w:type="dxa"/>
                  </w:tcMar>
                  <w:hideMark/>
                </w:tcPr>
                <w:p w14:paraId="0CBCEB5A"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469D8907"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278BE95D" w14:textId="77777777" w:rsidTr="00914C4B">
              <w:tc>
                <w:tcPr>
                  <w:tcW w:w="0" w:type="auto"/>
                  <w:tcMar>
                    <w:top w:w="113" w:type="dxa"/>
                    <w:left w:w="113" w:type="dxa"/>
                    <w:bottom w:w="113" w:type="dxa"/>
                    <w:right w:w="113" w:type="dxa"/>
                  </w:tcMar>
                  <w:hideMark/>
                </w:tcPr>
                <w:p w14:paraId="75838762"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51EDB6D5"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1.76 </w:t>
                  </w:r>
                  <w:r w:rsidRPr="00917D03">
                    <w:rPr>
                      <w:rFonts w:eastAsia="Times New Roman"/>
                      <w:sz w:val="13"/>
                      <w:szCs w:val="13"/>
                      <w:vertAlign w:val="superscript"/>
                    </w:rPr>
                    <w:t>***</w:t>
                  </w:r>
                  <w:r w:rsidRPr="00917D03">
                    <w:rPr>
                      <w:rFonts w:eastAsia="Times New Roman"/>
                      <w:sz w:val="13"/>
                      <w:szCs w:val="13"/>
                    </w:rPr>
                    <w:br/>
                    <w:t>(1.31 – 2.38)</w:t>
                  </w:r>
                </w:p>
              </w:tc>
            </w:tr>
            <w:tr w:rsidR="009B11EA" w:rsidRPr="00917D03" w14:paraId="5B061C52" w14:textId="77777777" w:rsidTr="00914C4B">
              <w:tc>
                <w:tcPr>
                  <w:tcW w:w="0" w:type="auto"/>
                  <w:tcMar>
                    <w:top w:w="113" w:type="dxa"/>
                    <w:left w:w="113" w:type="dxa"/>
                    <w:bottom w:w="113" w:type="dxa"/>
                    <w:right w:w="113" w:type="dxa"/>
                  </w:tcMar>
                  <w:hideMark/>
                </w:tcPr>
                <w:p w14:paraId="3D846269"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1AC036E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1.07 </w:t>
                  </w:r>
                  <w:r w:rsidRPr="00917D03">
                    <w:rPr>
                      <w:rFonts w:eastAsia="Times New Roman"/>
                      <w:sz w:val="13"/>
                      <w:szCs w:val="13"/>
                    </w:rPr>
                    <w:br/>
                    <w:t>(0.82 – 1.41)</w:t>
                  </w:r>
                </w:p>
              </w:tc>
            </w:tr>
            <w:tr w:rsidR="009B11EA" w:rsidRPr="00917D03" w14:paraId="49D74561" w14:textId="77777777" w:rsidTr="00914C4B">
              <w:tc>
                <w:tcPr>
                  <w:tcW w:w="0" w:type="auto"/>
                  <w:tcMar>
                    <w:top w:w="113" w:type="dxa"/>
                    <w:left w:w="113" w:type="dxa"/>
                    <w:bottom w:w="113" w:type="dxa"/>
                    <w:right w:w="113" w:type="dxa"/>
                  </w:tcMar>
                  <w:hideMark/>
                </w:tcPr>
                <w:p w14:paraId="147953AD"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0D8BDE2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1.26 </w:t>
                  </w:r>
                  <w:r w:rsidRPr="00917D03">
                    <w:rPr>
                      <w:rFonts w:eastAsia="Times New Roman"/>
                      <w:sz w:val="13"/>
                      <w:szCs w:val="13"/>
                      <w:vertAlign w:val="superscript"/>
                    </w:rPr>
                    <w:t>**</w:t>
                  </w:r>
                  <w:r w:rsidRPr="00917D03">
                    <w:rPr>
                      <w:rFonts w:eastAsia="Times New Roman"/>
                      <w:sz w:val="13"/>
                      <w:szCs w:val="13"/>
                    </w:rPr>
                    <w:br/>
                    <w:t>(1.02 – 1.55)</w:t>
                  </w:r>
                </w:p>
              </w:tc>
            </w:tr>
            <w:tr w:rsidR="009B11EA" w:rsidRPr="00917D03" w14:paraId="2E250601" w14:textId="77777777" w:rsidTr="00914C4B">
              <w:tc>
                <w:tcPr>
                  <w:tcW w:w="0" w:type="auto"/>
                  <w:tcBorders>
                    <w:top w:val="single" w:sz="6" w:space="0" w:color="auto"/>
                  </w:tcBorders>
                  <w:tcMar>
                    <w:top w:w="57" w:type="dxa"/>
                    <w:left w:w="113" w:type="dxa"/>
                    <w:bottom w:w="57" w:type="dxa"/>
                    <w:right w:w="113" w:type="dxa"/>
                  </w:tcMar>
                  <w:hideMark/>
                </w:tcPr>
                <w:p w14:paraId="628D7CB1"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8F58610"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7B1729C2" w14:textId="77777777" w:rsidTr="00914C4B">
              <w:tc>
                <w:tcPr>
                  <w:tcW w:w="0" w:type="auto"/>
                  <w:tcMar>
                    <w:top w:w="57" w:type="dxa"/>
                    <w:left w:w="113" w:type="dxa"/>
                    <w:bottom w:w="57" w:type="dxa"/>
                    <w:right w:w="113" w:type="dxa"/>
                  </w:tcMar>
                  <w:hideMark/>
                </w:tcPr>
                <w:p w14:paraId="5D64274F"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6644DE75" w14:textId="77777777" w:rsidR="009B11EA" w:rsidRPr="00917D03" w:rsidRDefault="009B11EA" w:rsidP="009B11EA">
                  <w:pPr>
                    <w:rPr>
                      <w:rFonts w:eastAsia="Times New Roman"/>
                      <w:sz w:val="13"/>
                      <w:szCs w:val="13"/>
                    </w:rPr>
                  </w:pPr>
                  <w:r w:rsidRPr="00917D03">
                    <w:rPr>
                      <w:rFonts w:eastAsia="Times New Roman"/>
                      <w:sz w:val="13"/>
                      <w:szCs w:val="13"/>
                    </w:rPr>
                    <w:t>0.020</w:t>
                  </w:r>
                </w:p>
              </w:tc>
            </w:tr>
            <w:tr w:rsidR="009B11EA" w:rsidRPr="00917D03" w14:paraId="7BA0DFC0" w14:textId="77777777" w:rsidTr="00914C4B">
              <w:tc>
                <w:tcPr>
                  <w:tcW w:w="0" w:type="auto"/>
                  <w:tcMar>
                    <w:top w:w="57" w:type="dxa"/>
                    <w:left w:w="113" w:type="dxa"/>
                    <w:bottom w:w="57" w:type="dxa"/>
                    <w:right w:w="113" w:type="dxa"/>
                  </w:tcMar>
                  <w:hideMark/>
                </w:tcPr>
                <w:p w14:paraId="42A9EFF6"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0C678D35" w14:textId="77777777" w:rsidR="009B11EA" w:rsidRPr="00917D03" w:rsidRDefault="009B11EA" w:rsidP="009B11EA">
                  <w:pPr>
                    <w:rPr>
                      <w:rFonts w:eastAsia="Times New Roman"/>
                      <w:sz w:val="13"/>
                      <w:szCs w:val="13"/>
                    </w:rPr>
                  </w:pPr>
                  <w:r w:rsidRPr="00917D03">
                    <w:rPr>
                      <w:rFonts w:eastAsia="Times New Roman"/>
                      <w:sz w:val="13"/>
                      <w:szCs w:val="13"/>
                    </w:rPr>
                    <w:t>1394.798</w:t>
                  </w:r>
                </w:p>
              </w:tc>
            </w:tr>
            <w:tr w:rsidR="009B11EA" w:rsidRPr="00917D03" w14:paraId="61C7DED2" w14:textId="77777777" w:rsidTr="00914C4B">
              <w:tc>
                <w:tcPr>
                  <w:tcW w:w="0" w:type="auto"/>
                  <w:gridSpan w:val="2"/>
                  <w:tcBorders>
                    <w:top w:val="double" w:sz="6" w:space="0" w:color="000000"/>
                  </w:tcBorders>
                  <w:vAlign w:val="center"/>
                  <w:hideMark/>
                </w:tcPr>
                <w:p w14:paraId="65B4BD1D"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7BA28230" w14:textId="77777777" w:rsidR="009B11EA" w:rsidRPr="00917D03" w:rsidRDefault="009B11EA" w:rsidP="009B11EA">
            <w:pPr>
              <w:rPr>
                <w:rFonts w:eastAsia="Times New Roman"/>
                <w:b/>
                <w:bCs/>
                <w:sz w:val="13"/>
                <w:szCs w:val="13"/>
              </w:rPr>
            </w:pPr>
          </w:p>
        </w:tc>
      </w:tr>
    </w:tbl>
    <w:p w14:paraId="3E7A1105" w14:textId="77777777" w:rsidR="009B11EA" w:rsidRDefault="009B11EA" w:rsidP="009B11EA"/>
    <w:p w14:paraId="08DA7FAF" w14:textId="53F2E8FB" w:rsidR="00752AC2" w:rsidRDefault="00752AC2" w:rsidP="00752AC2">
      <w:pPr>
        <w:jc w:val="center"/>
        <w:rPr>
          <w:b/>
          <w:bCs/>
        </w:rPr>
      </w:pPr>
      <w:r>
        <w:rPr>
          <w:b/>
          <w:bCs/>
        </w:rPr>
        <w:lastRenderedPageBreak/>
        <w:t xml:space="preserve">Table 4: Models for nat, pray, PTV_5SM, PTV_BOI, PTV_L, </w:t>
      </w:r>
      <w:proofErr w:type="gramStart"/>
      <w:r>
        <w:rPr>
          <w:b/>
          <w:bCs/>
        </w:rPr>
        <w:t>risk</w:t>
      </w:r>
      <w:proofErr w:type="gramEnd"/>
    </w:p>
    <w:p w14:paraId="2CBFE4CB" w14:textId="77777777" w:rsidR="009B11EA" w:rsidRDefault="009B11EA" w:rsidP="009B11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B11EA" w14:paraId="18D8DEBF"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49747C7D"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26208AAB"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09DAE23F" w14:textId="77777777" w:rsidTr="00914C4B">
              <w:tc>
                <w:tcPr>
                  <w:tcW w:w="0" w:type="auto"/>
                  <w:tcBorders>
                    <w:top w:val="double" w:sz="6" w:space="0" w:color="auto"/>
                  </w:tcBorders>
                  <w:tcMar>
                    <w:top w:w="113" w:type="dxa"/>
                    <w:left w:w="113" w:type="dxa"/>
                    <w:bottom w:w="113" w:type="dxa"/>
                    <w:right w:w="113" w:type="dxa"/>
                  </w:tcMar>
                  <w:vAlign w:val="center"/>
                  <w:hideMark/>
                </w:tcPr>
                <w:p w14:paraId="14D8B45C"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588BE4F1"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nat</w:t>
                  </w:r>
                </w:p>
              </w:tc>
            </w:tr>
            <w:tr w:rsidR="009B11EA" w:rsidRPr="00917D03" w14:paraId="37B0E266" w14:textId="77777777" w:rsidTr="00914C4B">
              <w:tc>
                <w:tcPr>
                  <w:tcW w:w="0" w:type="auto"/>
                  <w:tcBorders>
                    <w:bottom w:val="single" w:sz="6" w:space="0" w:color="auto"/>
                  </w:tcBorders>
                  <w:vAlign w:val="center"/>
                  <w:hideMark/>
                </w:tcPr>
                <w:p w14:paraId="2D26458F"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30473B0B"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661F141E" w14:textId="77777777" w:rsidTr="00914C4B">
              <w:tc>
                <w:tcPr>
                  <w:tcW w:w="0" w:type="auto"/>
                  <w:tcMar>
                    <w:top w:w="113" w:type="dxa"/>
                    <w:left w:w="113" w:type="dxa"/>
                    <w:bottom w:w="113" w:type="dxa"/>
                    <w:right w:w="113" w:type="dxa"/>
                  </w:tcMar>
                  <w:hideMark/>
                </w:tcPr>
                <w:p w14:paraId="17EA2EE3"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E15670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0.02 </w:t>
                  </w:r>
                  <w:r w:rsidRPr="00917D03">
                    <w:rPr>
                      <w:rFonts w:eastAsia="Times New Roman"/>
                      <w:sz w:val="13"/>
                      <w:szCs w:val="13"/>
                      <w:vertAlign w:val="superscript"/>
                    </w:rPr>
                    <w:t>***</w:t>
                  </w:r>
                  <w:r w:rsidRPr="00917D03">
                    <w:rPr>
                      <w:rFonts w:eastAsia="Times New Roman"/>
                      <w:sz w:val="13"/>
                      <w:szCs w:val="13"/>
                    </w:rPr>
                    <w:br/>
                    <w:t>(0.01 – 0.04)</w:t>
                  </w:r>
                </w:p>
              </w:tc>
            </w:tr>
            <w:tr w:rsidR="009B11EA" w:rsidRPr="00917D03" w14:paraId="2BE1A181" w14:textId="77777777" w:rsidTr="00914C4B">
              <w:tc>
                <w:tcPr>
                  <w:tcW w:w="0" w:type="auto"/>
                  <w:tcMar>
                    <w:top w:w="113" w:type="dxa"/>
                    <w:left w:w="113" w:type="dxa"/>
                    <w:bottom w:w="113" w:type="dxa"/>
                    <w:right w:w="113" w:type="dxa"/>
                  </w:tcMar>
                  <w:hideMark/>
                </w:tcPr>
                <w:p w14:paraId="5153BE28" w14:textId="77777777" w:rsidR="009B11EA" w:rsidRPr="00917D03" w:rsidRDefault="009B11EA" w:rsidP="009B11EA">
                  <w:pPr>
                    <w:jc w:val="left"/>
                    <w:rPr>
                      <w:rFonts w:eastAsia="Times New Roman"/>
                      <w:sz w:val="13"/>
                      <w:szCs w:val="13"/>
                    </w:rPr>
                  </w:pPr>
                  <w:r w:rsidRPr="00917D03">
                    <w:rPr>
                      <w:rFonts w:eastAsia="Times New Roman"/>
                      <w:sz w:val="13"/>
                      <w:szCs w:val="13"/>
                    </w:rPr>
                    <w:t>nat</w:t>
                  </w:r>
                </w:p>
              </w:tc>
              <w:tc>
                <w:tcPr>
                  <w:tcW w:w="0" w:type="auto"/>
                  <w:tcMar>
                    <w:top w:w="113" w:type="dxa"/>
                    <w:left w:w="113" w:type="dxa"/>
                    <w:bottom w:w="113" w:type="dxa"/>
                    <w:right w:w="113" w:type="dxa"/>
                  </w:tcMar>
                  <w:hideMark/>
                </w:tcPr>
                <w:p w14:paraId="14B2D6A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1.32 </w:t>
                  </w:r>
                  <w:r w:rsidRPr="00917D03">
                    <w:rPr>
                      <w:rFonts w:eastAsia="Times New Roman"/>
                      <w:sz w:val="13"/>
                      <w:szCs w:val="13"/>
                      <w:vertAlign w:val="superscript"/>
                    </w:rPr>
                    <w:t>***</w:t>
                  </w:r>
                  <w:r w:rsidRPr="00917D03">
                    <w:rPr>
                      <w:rFonts w:eastAsia="Times New Roman"/>
                      <w:sz w:val="13"/>
                      <w:szCs w:val="13"/>
                    </w:rPr>
                    <w:br/>
                    <w:t>(1.26 – 1.39)</w:t>
                  </w:r>
                </w:p>
              </w:tc>
            </w:tr>
            <w:tr w:rsidR="009B11EA" w:rsidRPr="00917D03" w14:paraId="367D6C40" w14:textId="77777777" w:rsidTr="00914C4B">
              <w:tc>
                <w:tcPr>
                  <w:tcW w:w="0" w:type="auto"/>
                  <w:tcMar>
                    <w:top w:w="113" w:type="dxa"/>
                    <w:left w:w="113" w:type="dxa"/>
                    <w:bottom w:w="113" w:type="dxa"/>
                    <w:right w:w="113" w:type="dxa"/>
                  </w:tcMar>
                  <w:hideMark/>
                </w:tcPr>
                <w:p w14:paraId="09FDADBB"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63FE8692"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1.17 </w:t>
                  </w:r>
                  <w:r w:rsidRPr="00917D03">
                    <w:rPr>
                      <w:rFonts w:eastAsia="Times New Roman"/>
                      <w:sz w:val="13"/>
                      <w:szCs w:val="13"/>
                    </w:rPr>
                    <w:br/>
                    <w:t>(0.88 – 1.55)</w:t>
                  </w:r>
                </w:p>
              </w:tc>
            </w:tr>
            <w:tr w:rsidR="009B11EA" w:rsidRPr="00917D03" w14:paraId="726D291E" w14:textId="77777777" w:rsidTr="00914C4B">
              <w:tc>
                <w:tcPr>
                  <w:tcW w:w="0" w:type="auto"/>
                  <w:tcMar>
                    <w:top w:w="113" w:type="dxa"/>
                    <w:left w:w="113" w:type="dxa"/>
                    <w:bottom w:w="113" w:type="dxa"/>
                    <w:right w:w="113" w:type="dxa"/>
                  </w:tcMar>
                  <w:hideMark/>
                </w:tcPr>
                <w:p w14:paraId="04AEAB98"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3BF99F9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1.01 </w:t>
                  </w:r>
                  <w:r w:rsidRPr="00917D03">
                    <w:rPr>
                      <w:rFonts w:eastAsia="Times New Roman"/>
                      <w:sz w:val="13"/>
                      <w:szCs w:val="13"/>
                      <w:vertAlign w:val="superscript"/>
                    </w:rPr>
                    <w:t>**</w:t>
                  </w:r>
                  <w:r w:rsidRPr="00917D03">
                    <w:rPr>
                      <w:rFonts w:eastAsia="Times New Roman"/>
                      <w:sz w:val="13"/>
                      <w:szCs w:val="13"/>
                    </w:rPr>
                    <w:br/>
                    <w:t>(1.00 – 1.02)</w:t>
                  </w:r>
                </w:p>
              </w:tc>
            </w:tr>
            <w:tr w:rsidR="009B11EA" w:rsidRPr="00917D03" w14:paraId="4ED3DD2B" w14:textId="77777777" w:rsidTr="00914C4B">
              <w:tc>
                <w:tcPr>
                  <w:tcW w:w="0" w:type="auto"/>
                  <w:tcMar>
                    <w:top w:w="113" w:type="dxa"/>
                    <w:left w:w="113" w:type="dxa"/>
                    <w:bottom w:w="113" w:type="dxa"/>
                    <w:right w:w="113" w:type="dxa"/>
                  </w:tcMar>
                  <w:hideMark/>
                </w:tcPr>
                <w:p w14:paraId="60CF50FE"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0C630C1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1.48 </w:t>
                  </w:r>
                  <w:r w:rsidRPr="00917D03">
                    <w:rPr>
                      <w:rFonts w:eastAsia="Times New Roman"/>
                      <w:sz w:val="13"/>
                      <w:szCs w:val="13"/>
                      <w:vertAlign w:val="superscript"/>
                    </w:rPr>
                    <w:t>**</w:t>
                  </w:r>
                  <w:r w:rsidRPr="00917D03">
                    <w:rPr>
                      <w:rFonts w:eastAsia="Times New Roman"/>
                      <w:sz w:val="13"/>
                      <w:szCs w:val="13"/>
                    </w:rPr>
                    <w:br/>
                    <w:t>(1.09 – 2.03)</w:t>
                  </w:r>
                </w:p>
              </w:tc>
            </w:tr>
            <w:tr w:rsidR="009B11EA" w:rsidRPr="00917D03" w14:paraId="50AE13EF" w14:textId="77777777" w:rsidTr="00914C4B">
              <w:tc>
                <w:tcPr>
                  <w:tcW w:w="0" w:type="auto"/>
                  <w:tcMar>
                    <w:top w:w="113" w:type="dxa"/>
                    <w:left w:w="113" w:type="dxa"/>
                    <w:bottom w:w="113" w:type="dxa"/>
                    <w:right w:w="113" w:type="dxa"/>
                  </w:tcMar>
                  <w:hideMark/>
                </w:tcPr>
                <w:p w14:paraId="30D89C67"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00F4F6D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(0.75 – 1.33)</w:t>
                  </w:r>
                </w:p>
              </w:tc>
            </w:tr>
            <w:tr w:rsidR="009B11EA" w:rsidRPr="00917D03" w14:paraId="7D278E8A" w14:textId="77777777" w:rsidTr="00914C4B">
              <w:tc>
                <w:tcPr>
                  <w:tcW w:w="0" w:type="auto"/>
                  <w:tcMar>
                    <w:top w:w="113" w:type="dxa"/>
                    <w:left w:w="113" w:type="dxa"/>
                    <w:bottom w:w="113" w:type="dxa"/>
                    <w:right w:w="113" w:type="dxa"/>
                  </w:tcMar>
                  <w:hideMark/>
                </w:tcPr>
                <w:p w14:paraId="413F8766"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3D3A359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1.18 </w:t>
                  </w:r>
                  <w:r w:rsidRPr="00917D03">
                    <w:rPr>
                      <w:rFonts w:eastAsia="Times New Roman"/>
                      <w:sz w:val="13"/>
                      <w:szCs w:val="13"/>
                    </w:rPr>
                    <w:br/>
                    <w:t>(0.94 – 1.47)</w:t>
                  </w:r>
                </w:p>
              </w:tc>
            </w:tr>
            <w:tr w:rsidR="009B11EA" w:rsidRPr="00917D03" w14:paraId="572190BC" w14:textId="77777777" w:rsidTr="00914C4B">
              <w:tc>
                <w:tcPr>
                  <w:tcW w:w="0" w:type="auto"/>
                  <w:tcBorders>
                    <w:top w:val="single" w:sz="6" w:space="0" w:color="auto"/>
                  </w:tcBorders>
                  <w:tcMar>
                    <w:top w:w="57" w:type="dxa"/>
                    <w:left w:w="113" w:type="dxa"/>
                    <w:bottom w:w="57" w:type="dxa"/>
                    <w:right w:w="113" w:type="dxa"/>
                  </w:tcMar>
                  <w:hideMark/>
                </w:tcPr>
                <w:p w14:paraId="71944169"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5F9E4DF5"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9FA7F7A" w14:textId="77777777" w:rsidTr="00914C4B">
              <w:tc>
                <w:tcPr>
                  <w:tcW w:w="0" w:type="auto"/>
                  <w:tcMar>
                    <w:top w:w="57" w:type="dxa"/>
                    <w:left w:w="113" w:type="dxa"/>
                    <w:bottom w:w="57" w:type="dxa"/>
                    <w:right w:w="113" w:type="dxa"/>
                  </w:tcMar>
                  <w:hideMark/>
                </w:tcPr>
                <w:p w14:paraId="3DBA693E"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33644D69" w14:textId="77777777" w:rsidR="009B11EA" w:rsidRPr="00917D03" w:rsidRDefault="009B11EA" w:rsidP="009B11EA">
                  <w:pPr>
                    <w:rPr>
                      <w:rFonts w:eastAsia="Times New Roman"/>
                      <w:sz w:val="13"/>
                      <w:szCs w:val="13"/>
                    </w:rPr>
                  </w:pPr>
                  <w:r w:rsidRPr="00917D03">
                    <w:rPr>
                      <w:rFonts w:eastAsia="Times New Roman"/>
                      <w:sz w:val="13"/>
                      <w:szCs w:val="13"/>
                    </w:rPr>
                    <w:t>0.119</w:t>
                  </w:r>
                </w:p>
              </w:tc>
            </w:tr>
            <w:tr w:rsidR="009B11EA" w:rsidRPr="00917D03" w14:paraId="66C60C8C" w14:textId="77777777" w:rsidTr="00914C4B">
              <w:tc>
                <w:tcPr>
                  <w:tcW w:w="0" w:type="auto"/>
                  <w:tcMar>
                    <w:top w:w="57" w:type="dxa"/>
                    <w:left w:w="113" w:type="dxa"/>
                    <w:bottom w:w="57" w:type="dxa"/>
                    <w:right w:w="113" w:type="dxa"/>
                  </w:tcMar>
                  <w:hideMark/>
                </w:tcPr>
                <w:p w14:paraId="09F925FE"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36333D5E" w14:textId="77777777" w:rsidR="009B11EA" w:rsidRPr="00917D03" w:rsidRDefault="009B11EA" w:rsidP="009B11EA">
                  <w:pPr>
                    <w:rPr>
                      <w:rFonts w:eastAsia="Times New Roman"/>
                      <w:sz w:val="13"/>
                      <w:szCs w:val="13"/>
                    </w:rPr>
                  </w:pPr>
                  <w:r w:rsidRPr="00917D03">
                    <w:rPr>
                      <w:rFonts w:eastAsia="Times New Roman"/>
                      <w:sz w:val="13"/>
                      <w:szCs w:val="13"/>
                    </w:rPr>
                    <w:t>1251.696</w:t>
                  </w:r>
                </w:p>
              </w:tc>
            </w:tr>
            <w:tr w:rsidR="009B11EA" w:rsidRPr="00917D03" w14:paraId="5BEB4AAB" w14:textId="77777777" w:rsidTr="00914C4B">
              <w:tc>
                <w:tcPr>
                  <w:tcW w:w="0" w:type="auto"/>
                  <w:gridSpan w:val="2"/>
                  <w:tcBorders>
                    <w:top w:val="double" w:sz="6" w:space="0" w:color="000000"/>
                  </w:tcBorders>
                  <w:vAlign w:val="center"/>
                  <w:hideMark/>
                </w:tcPr>
                <w:p w14:paraId="56DC490D"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2AA8BB0C"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48E8E80A"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78B8141F"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7B89CF12" w14:textId="77777777" w:rsidTr="00914C4B">
              <w:tc>
                <w:tcPr>
                  <w:tcW w:w="0" w:type="auto"/>
                  <w:tcBorders>
                    <w:top w:val="double" w:sz="6" w:space="0" w:color="auto"/>
                  </w:tcBorders>
                  <w:tcMar>
                    <w:top w:w="113" w:type="dxa"/>
                    <w:left w:w="113" w:type="dxa"/>
                    <w:bottom w:w="113" w:type="dxa"/>
                    <w:right w:w="113" w:type="dxa"/>
                  </w:tcMar>
                  <w:vAlign w:val="center"/>
                  <w:hideMark/>
                </w:tcPr>
                <w:p w14:paraId="2A1AAE5C"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5C9FDA62"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pray</w:t>
                  </w:r>
                </w:p>
              </w:tc>
            </w:tr>
            <w:tr w:rsidR="009B11EA" w:rsidRPr="00917D03" w14:paraId="048B4203" w14:textId="77777777" w:rsidTr="00914C4B">
              <w:tc>
                <w:tcPr>
                  <w:tcW w:w="0" w:type="auto"/>
                  <w:tcBorders>
                    <w:bottom w:val="single" w:sz="6" w:space="0" w:color="auto"/>
                  </w:tcBorders>
                  <w:vAlign w:val="center"/>
                  <w:hideMark/>
                </w:tcPr>
                <w:p w14:paraId="70D9CDD6"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6EBA84F3"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B1688D7" w14:textId="77777777" w:rsidTr="00914C4B">
              <w:tc>
                <w:tcPr>
                  <w:tcW w:w="0" w:type="auto"/>
                  <w:tcMar>
                    <w:top w:w="113" w:type="dxa"/>
                    <w:left w:w="113" w:type="dxa"/>
                    <w:bottom w:w="113" w:type="dxa"/>
                    <w:right w:w="113" w:type="dxa"/>
                  </w:tcMar>
                  <w:hideMark/>
                </w:tcPr>
                <w:p w14:paraId="6D701792"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0453BDF"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0.06 </w:t>
                  </w:r>
                  <w:r w:rsidRPr="00917D03">
                    <w:rPr>
                      <w:rFonts w:eastAsia="Times New Roman"/>
                      <w:sz w:val="13"/>
                      <w:szCs w:val="13"/>
                      <w:vertAlign w:val="superscript"/>
                    </w:rPr>
                    <w:t>***</w:t>
                  </w:r>
                  <w:r w:rsidRPr="00917D03">
                    <w:rPr>
                      <w:rFonts w:eastAsia="Times New Roman"/>
                      <w:sz w:val="13"/>
                      <w:szCs w:val="13"/>
                    </w:rPr>
                    <w:br/>
                    <w:t>(0.03 – 0.13)</w:t>
                  </w:r>
                </w:p>
              </w:tc>
            </w:tr>
            <w:tr w:rsidR="009B11EA" w:rsidRPr="00917D03" w14:paraId="0BDB21A5" w14:textId="77777777" w:rsidTr="00914C4B">
              <w:tc>
                <w:tcPr>
                  <w:tcW w:w="0" w:type="auto"/>
                  <w:tcMar>
                    <w:top w:w="113" w:type="dxa"/>
                    <w:left w:w="113" w:type="dxa"/>
                    <w:bottom w:w="113" w:type="dxa"/>
                    <w:right w:w="113" w:type="dxa"/>
                  </w:tcMar>
                  <w:hideMark/>
                </w:tcPr>
                <w:p w14:paraId="2A8C8E1A" w14:textId="77777777" w:rsidR="009B11EA" w:rsidRPr="00917D03" w:rsidRDefault="009B11EA" w:rsidP="009B11EA">
                  <w:pPr>
                    <w:jc w:val="left"/>
                    <w:rPr>
                      <w:rFonts w:eastAsia="Times New Roman"/>
                      <w:sz w:val="13"/>
                      <w:szCs w:val="13"/>
                    </w:rPr>
                  </w:pPr>
                  <w:r w:rsidRPr="00917D03">
                    <w:rPr>
                      <w:rFonts w:eastAsia="Times New Roman"/>
                      <w:sz w:val="13"/>
                      <w:szCs w:val="13"/>
                    </w:rPr>
                    <w:t>pray</w:t>
                  </w:r>
                </w:p>
              </w:tc>
              <w:tc>
                <w:tcPr>
                  <w:tcW w:w="0" w:type="auto"/>
                  <w:tcMar>
                    <w:top w:w="113" w:type="dxa"/>
                    <w:left w:w="113" w:type="dxa"/>
                    <w:bottom w:w="113" w:type="dxa"/>
                    <w:right w:w="113" w:type="dxa"/>
                  </w:tcMar>
                  <w:hideMark/>
                </w:tcPr>
                <w:p w14:paraId="6D34562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0.79 </w:t>
                  </w:r>
                  <w:r w:rsidRPr="00917D03">
                    <w:rPr>
                      <w:rFonts w:eastAsia="Times New Roman"/>
                      <w:sz w:val="13"/>
                      <w:szCs w:val="13"/>
                      <w:vertAlign w:val="superscript"/>
                    </w:rPr>
                    <w:t>*</w:t>
                  </w:r>
                  <w:r w:rsidRPr="00917D03">
                    <w:rPr>
                      <w:rFonts w:eastAsia="Times New Roman"/>
                      <w:sz w:val="13"/>
                      <w:szCs w:val="13"/>
                    </w:rPr>
                    <w:br/>
                    <w:t>(0.60 – 1.04)</w:t>
                  </w:r>
                </w:p>
              </w:tc>
            </w:tr>
            <w:tr w:rsidR="009B11EA" w:rsidRPr="00917D03" w14:paraId="4B8866B9" w14:textId="77777777" w:rsidTr="00914C4B">
              <w:tc>
                <w:tcPr>
                  <w:tcW w:w="0" w:type="auto"/>
                  <w:tcMar>
                    <w:top w:w="113" w:type="dxa"/>
                    <w:left w:w="113" w:type="dxa"/>
                    <w:bottom w:w="113" w:type="dxa"/>
                    <w:right w:w="113" w:type="dxa"/>
                  </w:tcMar>
                  <w:hideMark/>
                </w:tcPr>
                <w:p w14:paraId="70A65EE0"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3992B07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1.37 </w:t>
                  </w:r>
                  <w:r w:rsidRPr="00917D03">
                    <w:rPr>
                      <w:rFonts w:eastAsia="Times New Roman"/>
                      <w:sz w:val="13"/>
                      <w:szCs w:val="13"/>
                      <w:vertAlign w:val="superscript"/>
                    </w:rPr>
                    <w:t>**</w:t>
                  </w:r>
                  <w:r w:rsidRPr="00917D03">
                    <w:rPr>
                      <w:rFonts w:eastAsia="Times New Roman"/>
                      <w:sz w:val="13"/>
                      <w:szCs w:val="13"/>
                    </w:rPr>
                    <w:br/>
                    <w:t>(1.05 – 1.80)</w:t>
                  </w:r>
                </w:p>
              </w:tc>
            </w:tr>
            <w:tr w:rsidR="009B11EA" w:rsidRPr="00917D03" w14:paraId="4FC8CE79" w14:textId="77777777" w:rsidTr="00914C4B">
              <w:tc>
                <w:tcPr>
                  <w:tcW w:w="0" w:type="auto"/>
                  <w:tcMar>
                    <w:top w:w="113" w:type="dxa"/>
                    <w:left w:w="113" w:type="dxa"/>
                    <w:bottom w:w="113" w:type="dxa"/>
                    <w:right w:w="113" w:type="dxa"/>
                  </w:tcMar>
                  <w:hideMark/>
                </w:tcPr>
                <w:p w14:paraId="4AD9A877"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1B20AE3B"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(1.00 – 1.01)</w:t>
                  </w:r>
                </w:p>
              </w:tc>
            </w:tr>
            <w:tr w:rsidR="009B11EA" w:rsidRPr="00917D03" w14:paraId="7CCEBCD9" w14:textId="77777777" w:rsidTr="00914C4B">
              <w:tc>
                <w:tcPr>
                  <w:tcW w:w="0" w:type="auto"/>
                  <w:tcMar>
                    <w:top w:w="113" w:type="dxa"/>
                    <w:left w:w="113" w:type="dxa"/>
                    <w:bottom w:w="113" w:type="dxa"/>
                    <w:right w:w="113" w:type="dxa"/>
                  </w:tcMar>
                  <w:hideMark/>
                </w:tcPr>
                <w:p w14:paraId="65A5C4E8"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237FE707"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1.75 </w:t>
                  </w:r>
                  <w:r w:rsidRPr="00917D03">
                    <w:rPr>
                      <w:rFonts w:eastAsia="Times New Roman"/>
                      <w:sz w:val="13"/>
                      <w:szCs w:val="13"/>
                      <w:vertAlign w:val="superscript"/>
                    </w:rPr>
                    <w:t>***</w:t>
                  </w:r>
                  <w:r w:rsidRPr="00917D03">
                    <w:rPr>
                      <w:rFonts w:eastAsia="Times New Roman"/>
                      <w:sz w:val="13"/>
                      <w:szCs w:val="13"/>
                    </w:rPr>
                    <w:br/>
                    <w:t>(1.30 – 2.37)</w:t>
                  </w:r>
                </w:p>
              </w:tc>
            </w:tr>
            <w:tr w:rsidR="009B11EA" w:rsidRPr="00917D03" w14:paraId="7DE40AF4" w14:textId="77777777" w:rsidTr="00914C4B">
              <w:tc>
                <w:tcPr>
                  <w:tcW w:w="0" w:type="auto"/>
                  <w:tcMar>
                    <w:top w:w="113" w:type="dxa"/>
                    <w:left w:w="113" w:type="dxa"/>
                    <w:bottom w:w="113" w:type="dxa"/>
                    <w:right w:w="113" w:type="dxa"/>
                  </w:tcMar>
                  <w:hideMark/>
                </w:tcPr>
                <w:p w14:paraId="222FD1B6"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1F8CF6C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1.06 </w:t>
                  </w:r>
                  <w:r w:rsidRPr="00917D03">
                    <w:rPr>
                      <w:rFonts w:eastAsia="Times New Roman"/>
                      <w:sz w:val="13"/>
                      <w:szCs w:val="13"/>
                    </w:rPr>
                    <w:br/>
                    <w:t>(0.81 – 1.40)</w:t>
                  </w:r>
                </w:p>
              </w:tc>
            </w:tr>
            <w:tr w:rsidR="009B11EA" w:rsidRPr="00917D03" w14:paraId="09DC505E" w14:textId="77777777" w:rsidTr="00914C4B">
              <w:tc>
                <w:tcPr>
                  <w:tcW w:w="0" w:type="auto"/>
                  <w:tcMar>
                    <w:top w:w="113" w:type="dxa"/>
                    <w:left w:w="113" w:type="dxa"/>
                    <w:bottom w:w="113" w:type="dxa"/>
                    <w:right w:w="113" w:type="dxa"/>
                  </w:tcMar>
                  <w:hideMark/>
                </w:tcPr>
                <w:p w14:paraId="30852A9A"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7FC02870"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1.25 </w:t>
                  </w:r>
                  <w:r w:rsidRPr="00917D03">
                    <w:rPr>
                      <w:rFonts w:eastAsia="Times New Roman"/>
                      <w:sz w:val="13"/>
                      <w:szCs w:val="13"/>
                      <w:vertAlign w:val="superscript"/>
                    </w:rPr>
                    <w:t>**</w:t>
                  </w:r>
                  <w:r w:rsidRPr="00917D03">
                    <w:rPr>
                      <w:rFonts w:eastAsia="Times New Roman"/>
                      <w:sz w:val="13"/>
                      <w:szCs w:val="13"/>
                    </w:rPr>
                    <w:br/>
                    <w:t>(1.01 – 1.54)</w:t>
                  </w:r>
                </w:p>
              </w:tc>
            </w:tr>
            <w:tr w:rsidR="009B11EA" w:rsidRPr="00917D03" w14:paraId="6B82BEA2" w14:textId="77777777" w:rsidTr="00914C4B">
              <w:tc>
                <w:tcPr>
                  <w:tcW w:w="0" w:type="auto"/>
                  <w:tcBorders>
                    <w:top w:val="single" w:sz="6" w:space="0" w:color="auto"/>
                  </w:tcBorders>
                  <w:tcMar>
                    <w:top w:w="57" w:type="dxa"/>
                    <w:left w:w="113" w:type="dxa"/>
                    <w:bottom w:w="57" w:type="dxa"/>
                    <w:right w:w="113" w:type="dxa"/>
                  </w:tcMar>
                  <w:hideMark/>
                </w:tcPr>
                <w:p w14:paraId="6403ED67"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05B77EA9"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7CF2ED6D" w14:textId="77777777" w:rsidTr="00914C4B">
              <w:tc>
                <w:tcPr>
                  <w:tcW w:w="0" w:type="auto"/>
                  <w:tcMar>
                    <w:top w:w="57" w:type="dxa"/>
                    <w:left w:w="113" w:type="dxa"/>
                    <w:bottom w:w="57" w:type="dxa"/>
                    <w:right w:w="113" w:type="dxa"/>
                  </w:tcMar>
                  <w:hideMark/>
                </w:tcPr>
                <w:p w14:paraId="11D83142"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2DE673BD" w14:textId="77777777" w:rsidR="009B11EA" w:rsidRPr="00917D03" w:rsidRDefault="009B11EA" w:rsidP="009B11EA">
                  <w:pPr>
                    <w:rPr>
                      <w:rFonts w:eastAsia="Times New Roman"/>
                      <w:sz w:val="13"/>
                      <w:szCs w:val="13"/>
                    </w:rPr>
                  </w:pPr>
                  <w:r w:rsidRPr="00917D03">
                    <w:rPr>
                      <w:rFonts w:eastAsia="Times New Roman"/>
                      <w:sz w:val="13"/>
                      <w:szCs w:val="13"/>
                    </w:rPr>
                    <w:t>0.022</w:t>
                  </w:r>
                </w:p>
              </w:tc>
            </w:tr>
            <w:tr w:rsidR="009B11EA" w:rsidRPr="00917D03" w14:paraId="3C857C8C" w14:textId="77777777" w:rsidTr="00914C4B">
              <w:tc>
                <w:tcPr>
                  <w:tcW w:w="0" w:type="auto"/>
                  <w:tcMar>
                    <w:top w:w="57" w:type="dxa"/>
                    <w:left w:w="113" w:type="dxa"/>
                    <w:bottom w:w="57" w:type="dxa"/>
                    <w:right w:w="113" w:type="dxa"/>
                  </w:tcMar>
                  <w:hideMark/>
                </w:tcPr>
                <w:p w14:paraId="0E8B71A7"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1693BB4F" w14:textId="77777777" w:rsidR="009B11EA" w:rsidRPr="00917D03" w:rsidRDefault="009B11EA" w:rsidP="009B11EA">
                  <w:pPr>
                    <w:rPr>
                      <w:rFonts w:eastAsia="Times New Roman"/>
                      <w:sz w:val="13"/>
                      <w:szCs w:val="13"/>
                    </w:rPr>
                  </w:pPr>
                  <w:r w:rsidRPr="00917D03">
                    <w:rPr>
                      <w:rFonts w:eastAsia="Times New Roman"/>
                      <w:sz w:val="13"/>
                      <w:szCs w:val="13"/>
                    </w:rPr>
                    <w:t>1391.908</w:t>
                  </w:r>
                </w:p>
              </w:tc>
            </w:tr>
            <w:tr w:rsidR="009B11EA" w:rsidRPr="00917D03" w14:paraId="110A874A" w14:textId="77777777" w:rsidTr="00914C4B">
              <w:tc>
                <w:tcPr>
                  <w:tcW w:w="0" w:type="auto"/>
                  <w:gridSpan w:val="2"/>
                  <w:tcBorders>
                    <w:top w:val="double" w:sz="6" w:space="0" w:color="000000"/>
                  </w:tcBorders>
                  <w:vAlign w:val="center"/>
                  <w:hideMark/>
                </w:tcPr>
                <w:p w14:paraId="6807DF33"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261C9294"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71687CD4"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6C32BC23"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FAEEDD5" w14:textId="77777777" w:rsidTr="00914C4B">
              <w:tc>
                <w:tcPr>
                  <w:tcW w:w="0" w:type="auto"/>
                  <w:tcBorders>
                    <w:top w:val="double" w:sz="6" w:space="0" w:color="auto"/>
                  </w:tcBorders>
                  <w:tcMar>
                    <w:top w:w="113" w:type="dxa"/>
                    <w:left w:w="113" w:type="dxa"/>
                    <w:bottom w:w="113" w:type="dxa"/>
                    <w:right w:w="113" w:type="dxa"/>
                  </w:tcMar>
                  <w:vAlign w:val="center"/>
                  <w:hideMark/>
                </w:tcPr>
                <w:p w14:paraId="5089C36E"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501B3AE3"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PTV_5SM</w:t>
                  </w:r>
                </w:p>
              </w:tc>
            </w:tr>
            <w:tr w:rsidR="009B11EA" w:rsidRPr="00917D03" w14:paraId="0BC88670" w14:textId="77777777" w:rsidTr="00914C4B">
              <w:tc>
                <w:tcPr>
                  <w:tcW w:w="0" w:type="auto"/>
                  <w:tcBorders>
                    <w:bottom w:val="single" w:sz="6" w:space="0" w:color="auto"/>
                  </w:tcBorders>
                  <w:vAlign w:val="center"/>
                  <w:hideMark/>
                </w:tcPr>
                <w:p w14:paraId="34E6D647"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16B729BA"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2A011AC4" w14:textId="77777777" w:rsidTr="00914C4B">
              <w:tc>
                <w:tcPr>
                  <w:tcW w:w="0" w:type="auto"/>
                  <w:tcMar>
                    <w:top w:w="113" w:type="dxa"/>
                    <w:left w:w="113" w:type="dxa"/>
                    <w:bottom w:w="113" w:type="dxa"/>
                    <w:right w:w="113" w:type="dxa"/>
                  </w:tcMar>
                  <w:hideMark/>
                </w:tcPr>
                <w:p w14:paraId="26DA1D34"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189F154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0.06 </w:t>
                  </w:r>
                  <w:r w:rsidRPr="00917D03">
                    <w:rPr>
                      <w:rFonts w:eastAsia="Times New Roman"/>
                      <w:sz w:val="13"/>
                      <w:szCs w:val="13"/>
                      <w:vertAlign w:val="superscript"/>
                    </w:rPr>
                    <w:t>***</w:t>
                  </w:r>
                  <w:r w:rsidRPr="00917D03">
                    <w:rPr>
                      <w:rFonts w:eastAsia="Times New Roman"/>
                      <w:sz w:val="13"/>
                      <w:szCs w:val="13"/>
                    </w:rPr>
                    <w:br/>
                    <w:t>(0.03 – 0.12)</w:t>
                  </w:r>
                </w:p>
              </w:tc>
            </w:tr>
            <w:tr w:rsidR="009B11EA" w:rsidRPr="00917D03" w14:paraId="71BC9F12" w14:textId="77777777" w:rsidTr="00914C4B">
              <w:tc>
                <w:tcPr>
                  <w:tcW w:w="0" w:type="auto"/>
                  <w:tcMar>
                    <w:top w:w="113" w:type="dxa"/>
                    <w:left w:w="113" w:type="dxa"/>
                    <w:bottom w:w="113" w:type="dxa"/>
                    <w:right w:w="113" w:type="dxa"/>
                  </w:tcMar>
                  <w:hideMark/>
                </w:tcPr>
                <w:p w14:paraId="076CAB58" w14:textId="77777777" w:rsidR="009B11EA" w:rsidRPr="00917D03" w:rsidRDefault="009B11EA" w:rsidP="009B11EA">
                  <w:pPr>
                    <w:jc w:val="left"/>
                    <w:rPr>
                      <w:rFonts w:eastAsia="Times New Roman"/>
                      <w:sz w:val="13"/>
                      <w:szCs w:val="13"/>
                    </w:rPr>
                  </w:pPr>
                  <w:r w:rsidRPr="00917D03">
                    <w:rPr>
                      <w:rFonts w:eastAsia="Times New Roman"/>
                      <w:sz w:val="13"/>
                      <w:szCs w:val="13"/>
                    </w:rPr>
                    <w:t>PTV_5SM</w:t>
                  </w:r>
                </w:p>
              </w:tc>
              <w:tc>
                <w:tcPr>
                  <w:tcW w:w="0" w:type="auto"/>
                  <w:tcMar>
                    <w:top w:w="113" w:type="dxa"/>
                    <w:left w:w="113" w:type="dxa"/>
                    <w:bottom w:w="113" w:type="dxa"/>
                    <w:right w:w="113" w:type="dxa"/>
                  </w:tcMar>
                  <w:hideMark/>
                </w:tcPr>
                <w:p w14:paraId="6EF6162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0.98 </w:t>
                  </w:r>
                  <w:r w:rsidRPr="00917D03">
                    <w:rPr>
                      <w:rFonts w:eastAsia="Times New Roman"/>
                      <w:sz w:val="13"/>
                      <w:szCs w:val="13"/>
                    </w:rPr>
                    <w:br/>
                    <w:t>(0.94 – 1.02)</w:t>
                  </w:r>
                </w:p>
              </w:tc>
            </w:tr>
            <w:tr w:rsidR="009B11EA" w:rsidRPr="00917D03" w14:paraId="26EEB7A7" w14:textId="77777777" w:rsidTr="00914C4B">
              <w:tc>
                <w:tcPr>
                  <w:tcW w:w="0" w:type="auto"/>
                  <w:tcMar>
                    <w:top w:w="113" w:type="dxa"/>
                    <w:left w:w="113" w:type="dxa"/>
                    <w:bottom w:w="113" w:type="dxa"/>
                    <w:right w:w="113" w:type="dxa"/>
                  </w:tcMar>
                  <w:hideMark/>
                </w:tcPr>
                <w:p w14:paraId="6C2F6BB3"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72439D1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1.41 </w:t>
                  </w:r>
                  <w:r w:rsidRPr="00917D03">
                    <w:rPr>
                      <w:rFonts w:eastAsia="Times New Roman"/>
                      <w:sz w:val="13"/>
                      <w:szCs w:val="13"/>
                      <w:vertAlign w:val="superscript"/>
                    </w:rPr>
                    <w:t>**</w:t>
                  </w:r>
                  <w:r w:rsidRPr="00917D03">
                    <w:rPr>
                      <w:rFonts w:eastAsia="Times New Roman"/>
                      <w:sz w:val="13"/>
                      <w:szCs w:val="13"/>
                    </w:rPr>
                    <w:br/>
                    <w:t>(1.08 – 1.84)</w:t>
                  </w:r>
                </w:p>
              </w:tc>
            </w:tr>
            <w:tr w:rsidR="009B11EA" w:rsidRPr="00917D03" w14:paraId="379409E7" w14:textId="77777777" w:rsidTr="00914C4B">
              <w:tc>
                <w:tcPr>
                  <w:tcW w:w="0" w:type="auto"/>
                  <w:tcMar>
                    <w:top w:w="113" w:type="dxa"/>
                    <w:left w:w="113" w:type="dxa"/>
                    <w:bottom w:w="113" w:type="dxa"/>
                    <w:right w:w="113" w:type="dxa"/>
                  </w:tcMar>
                  <w:hideMark/>
                </w:tcPr>
                <w:p w14:paraId="2F0846FA"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6B97BF55"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307AF1E2" w14:textId="77777777" w:rsidTr="00914C4B">
              <w:tc>
                <w:tcPr>
                  <w:tcW w:w="0" w:type="auto"/>
                  <w:tcMar>
                    <w:top w:w="113" w:type="dxa"/>
                    <w:left w:w="113" w:type="dxa"/>
                    <w:bottom w:w="113" w:type="dxa"/>
                    <w:right w:w="113" w:type="dxa"/>
                  </w:tcMar>
                  <w:hideMark/>
                </w:tcPr>
                <w:p w14:paraId="454CBDA8"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2C14AE9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1.79 </w:t>
                  </w:r>
                  <w:r w:rsidRPr="00917D03">
                    <w:rPr>
                      <w:rFonts w:eastAsia="Times New Roman"/>
                      <w:sz w:val="13"/>
                      <w:szCs w:val="13"/>
                      <w:vertAlign w:val="superscript"/>
                    </w:rPr>
                    <w:t>***</w:t>
                  </w:r>
                  <w:r w:rsidRPr="00917D03">
                    <w:rPr>
                      <w:rFonts w:eastAsia="Times New Roman"/>
                      <w:sz w:val="13"/>
                      <w:szCs w:val="13"/>
                    </w:rPr>
                    <w:br/>
                    <w:t>(1.33 – 2.42)</w:t>
                  </w:r>
                </w:p>
              </w:tc>
            </w:tr>
            <w:tr w:rsidR="009B11EA" w:rsidRPr="00917D03" w14:paraId="52AC4F8F" w14:textId="77777777" w:rsidTr="00914C4B">
              <w:tc>
                <w:tcPr>
                  <w:tcW w:w="0" w:type="auto"/>
                  <w:tcMar>
                    <w:top w:w="113" w:type="dxa"/>
                    <w:left w:w="113" w:type="dxa"/>
                    <w:bottom w:w="113" w:type="dxa"/>
                    <w:right w:w="113" w:type="dxa"/>
                  </w:tcMar>
                  <w:hideMark/>
                </w:tcPr>
                <w:p w14:paraId="779E3DD2"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0CB68F8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1.07 </w:t>
                  </w:r>
                  <w:r w:rsidRPr="00917D03">
                    <w:rPr>
                      <w:rFonts w:eastAsia="Times New Roman"/>
                      <w:sz w:val="13"/>
                      <w:szCs w:val="13"/>
                    </w:rPr>
                    <w:br/>
                    <w:t>(0.82 – 1.41)</w:t>
                  </w:r>
                </w:p>
              </w:tc>
            </w:tr>
            <w:tr w:rsidR="009B11EA" w:rsidRPr="00917D03" w14:paraId="07AA4036" w14:textId="77777777" w:rsidTr="00914C4B">
              <w:tc>
                <w:tcPr>
                  <w:tcW w:w="0" w:type="auto"/>
                  <w:tcMar>
                    <w:top w:w="113" w:type="dxa"/>
                    <w:left w:w="113" w:type="dxa"/>
                    <w:bottom w:w="113" w:type="dxa"/>
                    <w:right w:w="113" w:type="dxa"/>
                  </w:tcMar>
                  <w:hideMark/>
                </w:tcPr>
                <w:p w14:paraId="3774F8EA" w14:textId="77777777" w:rsidR="009B11EA" w:rsidRPr="00917D03" w:rsidRDefault="009B11EA" w:rsidP="009B11EA">
                  <w:pPr>
                    <w:jc w:val="left"/>
                    <w:rPr>
                      <w:rFonts w:eastAsia="Times New Roman"/>
                      <w:sz w:val="13"/>
                      <w:szCs w:val="13"/>
                    </w:rPr>
                  </w:pPr>
                  <w:r w:rsidRPr="00917D03">
                    <w:rPr>
                      <w:rFonts w:eastAsia="Times New Roman"/>
                      <w:sz w:val="13"/>
                      <w:szCs w:val="13"/>
                    </w:rPr>
                    <w:t>eco_insec</w:t>
                  </w:r>
                </w:p>
              </w:tc>
              <w:tc>
                <w:tcPr>
                  <w:tcW w:w="0" w:type="auto"/>
                  <w:tcMar>
                    <w:top w:w="113" w:type="dxa"/>
                    <w:left w:w="113" w:type="dxa"/>
                    <w:bottom w:w="113" w:type="dxa"/>
                    <w:right w:w="113" w:type="dxa"/>
                  </w:tcMar>
                  <w:hideMark/>
                </w:tcPr>
                <w:p w14:paraId="1D7E0C4A"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1.26 </w:t>
                  </w:r>
                  <w:r w:rsidRPr="00917D03">
                    <w:rPr>
                      <w:rFonts w:eastAsia="Times New Roman"/>
                      <w:sz w:val="13"/>
                      <w:szCs w:val="13"/>
                      <w:vertAlign w:val="superscript"/>
                    </w:rPr>
                    <w:t>**</w:t>
                  </w:r>
                  <w:r w:rsidRPr="00917D03">
                    <w:rPr>
                      <w:rFonts w:eastAsia="Times New Roman"/>
                      <w:sz w:val="13"/>
                      <w:szCs w:val="13"/>
                    </w:rPr>
                    <w:br/>
                    <w:t>(1.02 – 1.55)</w:t>
                  </w:r>
                </w:p>
              </w:tc>
            </w:tr>
            <w:tr w:rsidR="009B11EA" w:rsidRPr="00917D03" w14:paraId="4A23F15A" w14:textId="77777777" w:rsidTr="00914C4B">
              <w:tc>
                <w:tcPr>
                  <w:tcW w:w="0" w:type="auto"/>
                  <w:tcBorders>
                    <w:top w:val="single" w:sz="6" w:space="0" w:color="auto"/>
                  </w:tcBorders>
                  <w:tcMar>
                    <w:top w:w="57" w:type="dxa"/>
                    <w:left w:w="113" w:type="dxa"/>
                    <w:bottom w:w="57" w:type="dxa"/>
                    <w:right w:w="113" w:type="dxa"/>
                  </w:tcMar>
                  <w:hideMark/>
                </w:tcPr>
                <w:p w14:paraId="296E1C7A"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00474B64"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498663B0" w14:textId="77777777" w:rsidTr="00914C4B">
              <w:tc>
                <w:tcPr>
                  <w:tcW w:w="0" w:type="auto"/>
                  <w:tcMar>
                    <w:top w:w="57" w:type="dxa"/>
                    <w:left w:w="113" w:type="dxa"/>
                    <w:bottom w:w="57" w:type="dxa"/>
                    <w:right w:w="113" w:type="dxa"/>
                  </w:tcMar>
                  <w:hideMark/>
                </w:tcPr>
                <w:p w14:paraId="5FEEE21C"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6A654148" w14:textId="77777777" w:rsidR="009B11EA" w:rsidRPr="00917D03" w:rsidRDefault="009B11EA" w:rsidP="009B11EA">
                  <w:pPr>
                    <w:rPr>
                      <w:rFonts w:eastAsia="Times New Roman"/>
                      <w:sz w:val="13"/>
                      <w:szCs w:val="13"/>
                    </w:rPr>
                  </w:pPr>
                  <w:r w:rsidRPr="00917D03">
                    <w:rPr>
                      <w:rFonts w:eastAsia="Times New Roman"/>
                      <w:sz w:val="13"/>
                      <w:szCs w:val="13"/>
                    </w:rPr>
                    <w:t>0.021</w:t>
                  </w:r>
                </w:p>
              </w:tc>
            </w:tr>
            <w:tr w:rsidR="009B11EA" w:rsidRPr="00917D03" w14:paraId="25C5C677" w14:textId="77777777" w:rsidTr="00914C4B">
              <w:tc>
                <w:tcPr>
                  <w:tcW w:w="0" w:type="auto"/>
                  <w:tcMar>
                    <w:top w:w="57" w:type="dxa"/>
                    <w:left w:w="113" w:type="dxa"/>
                    <w:bottom w:w="57" w:type="dxa"/>
                    <w:right w:w="113" w:type="dxa"/>
                  </w:tcMar>
                  <w:hideMark/>
                </w:tcPr>
                <w:p w14:paraId="43AB2C6E"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18D45B78" w14:textId="77777777" w:rsidR="009B11EA" w:rsidRPr="00917D03" w:rsidRDefault="009B11EA" w:rsidP="009B11EA">
                  <w:pPr>
                    <w:rPr>
                      <w:rFonts w:eastAsia="Times New Roman"/>
                      <w:sz w:val="13"/>
                      <w:szCs w:val="13"/>
                    </w:rPr>
                  </w:pPr>
                  <w:r w:rsidRPr="00917D03">
                    <w:rPr>
                      <w:rFonts w:eastAsia="Times New Roman"/>
                      <w:sz w:val="13"/>
                      <w:szCs w:val="13"/>
                    </w:rPr>
                    <w:t>1393.970</w:t>
                  </w:r>
                </w:p>
              </w:tc>
            </w:tr>
            <w:tr w:rsidR="009B11EA" w:rsidRPr="00917D03" w14:paraId="63A666C2" w14:textId="77777777" w:rsidTr="00914C4B">
              <w:tc>
                <w:tcPr>
                  <w:tcW w:w="0" w:type="auto"/>
                  <w:gridSpan w:val="2"/>
                  <w:tcBorders>
                    <w:top w:val="double" w:sz="6" w:space="0" w:color="000000"/>
                  </w:tcBorders>
                  <w:vAlign w:val="center"/>
                  <w:hideMark/>
                </w:tcPr>
                <w:p w14:paraId="2F5B7BBA"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312FFBBA" w14:textId="77777777" w:rsidR="009B11EA" w:rsidRDefault="009B11EA" w:rsidP="009B11EA"/>
        </w:tc>
      </w:tr>
      <w:tr w:rsidR="009B11EA" w14:paraId="717FC4D1"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11DDD627"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5EF90265"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280041D3" w14:textId="77777777" w:rsidTr="00914C4B">
              <w:tc>
                <w:tcPr>
                  <w:tcW w:w="0" w:type="auto"/>
                  <w:tcBorders>
                    <w:top w:val="double" w:sz="6" w:space="0" w:color="auto"/>
                  </w:tcBorders>
                  <w:tcMar>
                    <w:top w:w="113" w:type="dxa"/>
                    <w:left w:w="113" w:type="dxa"/>
                    <w:bottom w:w="113" w:type="dxa"/>
                    <w:right w:w="113" w:type="dxa"/>
                  </w:tcMar>
                  <w:vAlign w:val="center"/>
                  <w:hideMark/>
                </w:tcPr>
                <w:p w14:paraId="066D5A82"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C35D384"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PTV_BOI</w:t>
                  </w:r>
                </w:p>
              </w:tc>
            </w:tr>
            <w:tr w:rsidR="009B11EA" w:rsidRPr="00B10304" w14:paraId="27A51CB6" w14:textId="77777777" w:rsidTr="00914C4B">
              <w:tc>
                <w:tcPr>
                  <w:tcW w:w="0" w:type="auto"/>
                  <w:tcBorders>
                    <w:bottom w:val="single" w:sz="6" w:space="0" w:color="auto"/>
                  </w:tcBorders>
                  <w:vAlign w:val="center"/>
                  <w:hideMark/>
                </w:tcPr>
                <w:p w14:paraId="2CEA1172"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2AAC1B6E"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2DEC45B5" w14:textId="77777777" w:rsidTr="00914C4B">
              <w:tc>
                <w:tcPr>
                  <w:tcW w:w="0" w:type="auto"/>
                  <w:tcMar>
                    <w:top w:w="113" w:type="dxa"/>
                    <w:left w:w="113" w:type="dxa"/>
                    <w:bottom w:w="113" w:type="dxa"/>
                    <w:right w:w="113" w:type="dxa"/>
                  </w:tcMar>
                  <w:hideMark/>
                </w:tcPr>
                <w:p w14:paraId="044B2C1E"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52E81EA3"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0.03 </w:t>
                  </w:r>
                  <w:r w:rsidRPr="00B10304">
                    <w:rPr>
                      <w:rFonts w:eastAsia="Times New Roman"/>
                      <w:sz w:val="13"/>
                      <w:szCs w:val="13"/>
                      <w:vertAlign w:val="superscript"/>
                    </w:rPr>
                    <w:t>***</w:t>
                  </w:r>
                  <w:r w:rsidRPr="00B10304">
                    <w:rPr>
                      <w:rFonts w:eastAsia="Times New Roman"/>
                      <w:sz w:val="13"/>
                      <w:szCs w:val="13"/>
                    </w:rPr>
                    <w:br/>
                    <w:t>(0.02 – 0.07)</w:t>
                  </w:r>
                </w:p>
              </w:tc>
            </w:tr>
            <w:tr w:rsidR="009B11EA" w:rsidRPr="00B10304" w14:paraId="469A1F95" w14:textId="77777777" w:rsidTr="00914C4B">
              <w:tc>
                <w:tcPr>
                  <w:tcW w:w="0" w:type="auto"/>
                  <w:tcMar>
                    <w:top w:w="113" w:type="dxa"/>
                    <w:left w:w="113" w:type="dxa"/>
                    <w:bottom w:w="113" w:type="dxa"/>
                    <w:right w:w="113" w:type="dxa"/>
                  </w:tcMar>
                  <w:hideMark/>
                </w:tcPr>
                <w:p w14:paraId="5C3AF935" w14:textId="77777777" w:rsidR="009B11EA" w:rsidRPr="00B10304" w:rsidRDefault="009B11EA" w:rsidP="009B11EA">
                  <w:pPr>
                    <w:jc w:val="left"/>
                    <w:rPr>
                      <w:rFonts w:eastAsia="Times New Roman"/>
                      <w:sz w:val="13"/>
                      <w:szCs w:val="13"/>
                    </w:rPr>
                  </w:pPr>
                  <w:r w:rsidRPr="00B10304">
                    <w:rPr>
                      <w:rFonts w:eastAsia="Times New Roman"/>
                      <w:sz w:val="13"/>
                      <w:szCs w:val="13"/>
                    </w:rPr>
                    <w:t>PTV_BOI</w:t>
                  </w:r>
                </w:p>
              </w:tc>
              <w:tc>
                <w:tcPr>
                  <w:tcW w:w="0" w:type="auto"/>
                  <w:tcMar>
                    <w:top w:w="113" w:type="dxa"/>
                    <w:left w:w="113" w:type="dxa"/>
                    <w:bottom w:w="113" w:type="dxa"/>
                    <w:right w:w="113" w:type="dxa"/>
                  </w:tcMar>
                  <w:hideMark/>
                </w:tcPr>
                <w:p w14:paraId="5D7758E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1.15 </w:t>
                  </w:r>
                  <w:r w:rsidRPr="00B10304">
                    <w:rPr>
                      <w:rFonts w:eastAsia="Times New Roman"/>
                      <w:sz w:val="13"/>
                      <w:szCs w:val="13"/>
                      <w:vertAlign w:val="superscript"/>
                    </w:rPr>
                    <w:t>***</w:t>
                  </w:r>
                  <w:r w:rsidRPr="00B10304">
                    <w:rPr>
                      <w:rFonts w:eastAsia="Times New Roman"/>
                      <w:sz w:val="13"/>
                      <w:szCs w:val="13"/>
                    </w:rPr>
                    <w:br/>
                    <w:t>(1.11 – 1.19)</w:t>
                  </w:r>
                </w:p>
              </w:tc>
            </w:tr>
            <w:tr w:rsidR="009B11EA" w:rsidRPr="00B10304" w14:paraId="4A6FC16E" w14:textId="77777777" w:rsidTr="00914C4B">
              <w:tc>
                <w:tcPr>
                  <w:tcW w:w="0" w:type="auto"/>
                  <w:tcMar>
                    <w:top w:w="113" w:type="dxa"/>
                    <w:left w:w="113" w:type="dxa"/>
                    <w:bottom w:w="113" w:type="dxa"/>
                    <w:right w:w="113" w:type="dxa"/>
                  </w:tcMar>
                  <w:hideMark/>
                </w:tcPr>
                <w:p w14:paraId="21BA8187"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0B07EF30"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1.43 </w:t>
                  </w:r>
                  <w:r w:rsidRPr="00B10304">
                    <w:rPr>
                      <w:rFonts w:eastAsia="Times New Roman"/>
                      <w:sz w:val="13"/>
                      <w:szCs w:val="13"/>
                      <w:vertAlign w:val="superscript"/>
                    </w:rPr>
                    <w:t>**</w:t>
                  </w:r>
                  <w:r w:rsidRPr="00B10304">
                    <w:rPr>
                      <w:rFonts w:eastAsia="Times New Roman"/>
                      <w:sz w:val="13"/>
                      <w:szCs w:val="13"/>
                    </w:rPr>
                    <w:br/>
                    <w:t>(1.09 – 1.89)</w:t>
                  </w:r>
                </w:p>
              </w:tc>
            </w:tr>
            <w:tr w:rsidR="009B11EA" w:rsidRPr="00B10304" w14:paraId="42C46CEC" w14:textId="77777777" w:rsidTr="00914C4B">
              <w:tc>
                <w:tcPr>
                  <w:tcW w:w="0" w:type="auto"/>
                  <w:tcMar>
                    <w:top w:w="113" w:type="dxa"/>
                    <w:left w:w="113" w:type="dxa"/>
                    <w:bottom w:w="113" w:type="dxa"/>
                    <w:right w:w="113" w:type="dxa"/>
                  </w:tcMar>
                  <w:hideMark/>
                </w:tcPr>
                <w:p w14:paraId="3C5C6D41"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40D83DB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rPr>
                    <w:br/>
                    <w:t>(1.00 – 1.02)</w:t>
                  </w:r>
                </w:p>
              </w:tc>
            </w:tr>
            <w:tr w:rsidR="009B11EA" w:rsidRPr="00B10304" w14:paraId="4A0771B6" w14:textId="77777777" w:rsidTr="00914C4B">
              <w:tc>
                <w:tcPr>
                  <w:tcW w:w="0" w:type="auto"/>
                  <w:tcMar>
                    <w:top w:w="113" w:type="dxa"/>
                    <w:left w:w="113" w:type="dxa"/>
                    <w:bottom w:w="113" w:type="dxa"/>
                    <w:right w:w="113" w:type="dxa"/>
                  </w:tcMar>
                  <w:hideMark/>
                </w:tcPr>
                <w:p w14:paraId="0493729A"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27A041C2"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1.59 </w:t>
                  </w:r>
                  <w:r w:rsidRPr="00B10304">
                    <w:rPr>
                      <w:rFonts w:eastAsia="Times New Roman"/>
                      <w:sz w:val="13"/>
                      <w:szCs w:val="13"/>
                      <w:vertAlign w:val="superscript"/>
                    </w:rPr>
                    <w:t>***</w:t>
                  </w:r>
                  <w:r w:rsidRPr="00B10304">
                    <w:rPr>
                      <w:rFonts w:eastAsia="Times New Roman"/>
                      <w:sz w:val="13"/>
                      <w:szCs w:val="13"/>
                    </w:rPr>
                    <w:br/>
                    <w:t>(1.18 – 2.16)</w:t>
                  </w:r>
                </w:p>
              </w:tc>
            </w:tr>
            <w:tr w:rsidR="009B11EA" w:rsidRPr="00B10304" w14:paraId="16768250" w14:textId="77777777" w:rsidTr="00914C4B">
              <w:tc>
                <w:tcPr>
                  <w:tcW w:w="0" w:type="auto"/>
                  <w:tcMar>
                    <w:top w:w="113" w:type="dxa"/>
                    <w:left w:w="113" w:type="dxa"/>
                    <w:bottom w:w="113" w:type="dxa"/>
                    <w:right w:w="113" w:type="dxa"/>
                  </w:tcMar>
                  <w:hideMark/>
                </w:tcPr>
                <w:p w14:paraId="1AA242D6"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5DEADEE9"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1.03 </w:t>
                  </w:r>
                  <w:r w:rsidRPr="00B10304">
                    <w:rPr>
                      <w:rFonts w:eastAsia="Times New Roman"/>
                      <w:sz w:val="13"/>
                      <w:szCs w:val="13"/>
                    </w:rPr>
                    <w:br/>
                    <w:t>(0.78 – 1.36)</w:t>
                  </w:r>
                </w:p>
              </w:tc>
            </w:tr>
            <w:tr w:rsidR="009B11EA" w:rsidRPr="00B10304" w14:paraId="76ADD080" w14:textId="77777777" w:rsidTr="00914C4B">
              <w:tc>
                <w:tcPr>
                  <w:tcW w:w="0" w:type="auto"/>
                  <w:tcMar>
                    <w:top w:w="113" w:type="dxa"/>
                    <w:left w:w="113" w:type="dxa"/>
                    <w:bottom w:w="113" w:type="dxa"/>
                    <w:right w:w="113" w:type="dxa"/>
                  </w:tcMar>
                  <w:hideMark/>
                </w:tcPr>
                <w:p w14:paraId="5B71FF97" w14:textId="77777777" w:rsidR="009B11EA" w:rsidRPr="00B10304" w:rsidRDefault="009B11EA" w:rsidP="009B11EA">
                  <w:pPr>
                    <w:jc w:val="left"/>
                    <w:rPr>
                      <w:rFonts w:eastAsia="Times New Roman"/>
                      <w:sz w:val="13"/>
                      <w:szCs w:val="13"/>
                    </w:rPr>
                  </w:pPr>
                  <w:r w:rsidRPr="00B10304">
                    <w:rPr>
                      <w:rFonts w:eastAsia="Times New Roman"/>
                      <w:sz w:val="13"/>
                      <w:szCs w:val="13"/>
                    </w:rPr>
                    <w:t>eco_insec</w:t>
                  </w:r>
                </w:p>
              </w:tc>
              <w:tc>
                <w:tcPr>
                  <w:tcW w:w="0" w:type="auto"/>
                  <w:tcMar>
                    <w:top w:w="113" w:type="dxa"/>
                    <w:left w:w="113" w:type="dxa"/>
                    <w:bottom w:w="113" w:type="dxa"/>
                    <w:right w:w="113" w:type="dxa"/>
                  </w:tcMar>
                  <w:hideMark/>
                </w:tcPr>
                <w:p w14:paraId="3F673D7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1.29 </w:t>
                  </w:r>
                  <w:r w:rsidRPr="00B10304">
                    <w:rPr>
                      <w:rFonts w:eastAsia="Times New Roman"/>
                      <w:sz w:val="13"/>
                      <w:szCs w:val="13"/>
                      <w:vertAlign w:val="superscript"/>
                    </w:rPr>
                    <w:t>**</w:t>
                  </w:r>
                  <w:r w:rsidRPr="00B10304">
                    <w:rPr>
                      <w:rFonts w:eastAsia="Times New Roman"/>
                      <w:sz w:val="13"/>
                      <w:szCs w:val="13"/>
                    </w:rPr>
                    <w:br/>
                    <w:t>(1.05 – 1.60)</w:t>
                  </w:r>
                </w:p>
              </w:tc>
            </w:tr>
            <w:tr w:rsidR="009B11EA" w:rsidRPr="00B10304" w14:paraId="1A1DBF58" w14:textId="77777777" w:rsidTr="00914C4B">
              <w:tc>
                <w:tcPr>
                  <w:tcW w:w="0" w:type="auto"/>
                  <w:tcBorders>
                    <w:top w:val="single" w:sz="6" w:space="0" w:color="auto"/>
                  </w:tcBorders>
                  <w:tcMar>
                    <w:top w:w="57" w:type="dxa"/>
                    <w:left w:w="113" w:type="dxa"/>
                    <w:bottom w:w="57" w:type="dxa"/>
                    <w:right w:w="113" w:type="dxa"/>
                  </w:tcMar>
                  <w:hideMark/>
                </w:tcPr>
                <w:p w14:paraId="0524A947"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A7EB61F"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1326C9C7" w14:textId="77777777" w:rsidTr="00914C4B">
              <w:tc>
                <w:tcPr>
                  <w:tcW w:w="0" w:type="auto"/>
                  <w:tcMar>
                    <w:top w:w="57" w:type="dxa"/>
                    <w:left w:w="113" w:type="dxa"/>
                    <w:bottom w:w="57" w:type="dxa"/>
                    <w:right w:w="113" w:type="dxa"/>
                  </w:tcMar>
                  <w:hideMark/>
                </w:tcPr>
                <w:p w14:paraId="02426505"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482A2052" w14:textId="77777777" w:rsidR="009B11EA" w:rsidRPr="00B10304" w:rsidRDefault="009B11EA" w:rsidP="009B11EA">
                  <w:pPr>
                    <w:rPr>
                      <w:rFonts w:eastAsia="Times New Roman"/>
                      <w:sz w:val="13"/>
                      <w:szCs w:val="13"/>
                    </w:rPr>
                  </w:pPr>
                  <w:r w:rsidRPr="00B10304">
                    <w:rPr>
                      <w:rFonts w:eastAsia="Times New Roman"/>
                      <w:sz w:val="13"/>
                      <w:szCs w:val="13"/>
                    </w:rPr>
                    <w:t>0.054</w:t>
                  </w:r>
                </w:p>
              </w:tc>
            </w:tr>
            <w:tr w:rsidR="009B11EA" w:rsidRPr="00B10304" w14:paraId="155A82CF" w14:textId="77777777" w:rsidTr="00914C4B">
              <w:tc>
                <w:tcPr>
                  <w:tcW w:w="0" w:type="auto"/>
                  <w:tcMar>
                    <w:top w:w="57" w:type="dxa"/>
                    <w:left w:w="113" w:type="dxa"/>
                    <w:bottom w:w="57" w:type="dxa"/>
                    <w:right w:w="113" w:type="dxa"/>
                  </w:tcMar>
                  <w:hideMark/>
                </w:tcPr>
                <w:p w14:paraId="5217958F"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6DD1669D" w14:textId="77777777" w:rsidR="009B11EA" w:rsidRPr="00B10304" w:rsidRDefault="009B11EA" w:rsidP="009B11EA">
                  <w:pPr>
                    <w:rPr>
                      <w:rFonts w:eastAsia="Times New Roman"/>
                      <w:sz w:val="13"/>
                      <w:szCs w:val="13"/>
                    </w:rPr>
                  </w:pPr>
                  <w:r w:rsidRPr="00B10304">
                    <w:rPr>
                      <w:rFonts w:eastAsia="Times New Roman"/>
                      <w:sz w:val="13"/>
                      <w:szCs w:val="13"/>
                    </w:rPr>
                    <w:t>1340.696</w:t>
                  </w:r>
                </w:p>
              </w:tc>
            </w:tr>
            <w:tr w:rsidR="009B11EA" w:rsidRPr="00B10304" w14:paraId="0BFDE18A" w14:textId="77777777" w:rsidTr="00914C4B">
              <w:tc>
                <w:tcPr>
                  <w:tcW w:w="0" w:type="auto"/>
                  <w:gridSpan w:val="2"/>
                  <w:tcBorders>
                    <w:top w:val="double" w:sz="6" w:space="0" w:color="000000"/>
                  </w:tcBorders>
                  <w:vAlign w:val="center"/>
                  <w:hideMark/>
                </w:tcPr>
                <w:p w14:paraId="4C58F6B8"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52E60680"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3FD842BB"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6C84DB26"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00B1454F" w14:textId="77777777" w:rsidTr="00914C4B">
              <w:tc>
                <w:tcPr>
                  <w:tcW w:w="0" w:type="auto"/>
                  <w:tcBorders>
                    <w:top w:val="double" w:sz="6" w:space="0" w:color="auto"/>
                  </w:tcBorders>
                  <w:tcMar>
                    <w:top w:w="113" w:type="dxa"/>
                    <w:left w:w="113" w:type="dxa"/>
                    <w:bottom w:w="113" w:type="dxa"/>
                    <w:right w:w="113" w:type="dxa"/>
                  </w:tcMar>
                  <w:vAlign w:val="center"/>
                  <w:hideMark/>
                </w:tcPr>
                <w:p w14:paraId="6684D86C"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116F94EF"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PTV_L</w:t>
                  </w:r>
                </w:p>
              </w:tc>
            </w:tr>
            <w:tr w:rsidR="009B11EA" w:rsidRPr="00B10304" w14:paraId="09AA5080" w14:textId="77777777" w:rsidTr="00914C4B">
              <w:tc>
                <w:tcPr>
                  <w:tcW w:w="0" w:type="auto"/>
                  <w:tcBorders>
                    <w:bottom w:val="single" w:sz="6" w:space="0" w:color="auto"/>
                  </w:tcBorders>
                  <w:vAlign w:val="center"/>
                  <w:hideMark/>
                </w:tcPr>
                <w:p w14:paraId="2BBC88D2"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7AD99EB4"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6A09EDA8" w14:textId="77777777" w:rsidTr="00914C4B">
              <w:tc>
                <w:tcPr>
                  <w:tcW w:w="0" w:type="auto"/>
                  <w:tcMar>
                    <w:top w:w="113" w:type="dxa"/>
                    <w:left w:w="113" w:type="dxa"/>
                    <w:bottom w:w="113" w:type="dxa"/>
                    <w:right w:w="113" w:type="dxa"/>
                  </w:tcMar>
                  <w:hideMark/>
                </w:tcPr>
                <w:p w14:paraId="65DEE5FC"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3329EA2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0.04 </w:t>
                  </w:r>
                  <w:r w:rsidRPr="00B10304">
                    <w:rPr>
                      <w:rFonts w:eastAsia="Times New Roman"/>
                      <w:sz w:val="13"/>
                      <w:szCs w:val="13"/>
                      <w:vertAlign w:val="superscript"/>
                    </w:rPr>
                    <w:t>***</w:t>
                  </w:r>
                  <w:r w:rsidRPr="00B10304">
                    <w:rPr>
                      <w:rFonts w:eastAsia="Times New Roman"/>
                      <w:sz w:val="13"/>
                      <w:szCs w:val="13"/>
                    </w:rPr>
                    <w:br/>
                    <w:t>(0.02 – 0.08)</w:t>
                  </w:r>
                </w:p>
              </w:tc>
            </w:tr>
            <w:tr w:rsidR="009B11EA" w:rsidRPr="00B10304" w14:paraId="1877C06C" w14:textId="77777777" w:rsidTr="00914C4B">
              <w:tc>
                <w:tcPr>
                  <w:tcW w:w="0" w:type="auto"/>
                  <w:tcMar>
                    <w:top w:w="113" w:type="dxa"/>
                    <w:left w:w="113" w:type="dxa"/>
                    <w:bottom w:w="113" w:type="dxa"/>
                    <w:right w:w="113" w:type="dxa"/>
                  </w:tcMar>
                  <w:hideMark/>
                </w:tcPr>
                <w:p w14:paraId="19EF250B" w14:textId="77777777" w:rsidR="009B11EA" w:rsidRPr="00B10304" w:rsidRDefault="009B11EA" w:rsidP="009B11EA">
                  <w:pPr>
                    <w:jc w:val="left"/>
                    <w:rPr>
                      <w:rFonts w:eastAsia="Times New Roman"/>
                      <w:sz w:val="13"/>
                      <w:szCs w:val="13"/>
                    </w:rPr>
                  </w:pPr>
                  <w:r w:rsidRPr="00B10304">
                    <w:rPr>
                      <w:rFonts w:eastAsia="Times New Roman"/>
                      <w:sz w:val="13"/>
                      <w:szCs w:val="13"/>
                    </w:rPr>
                    <w:t>PTV_L</w:t>
                  </w:r>
                </w:p>
              </w:tc>
              <w:tc>
                <w:tcPr>
                  <w:tcW w:w="0" w:type="auto"/>
                  <w:tcMar>
                    <w:top w:w="113" w:type="dxa"/>
                    <w:left w:w="113" w:type="dxa"/>
                    <w:bottom w:w="113" w:type="dxa"/>
                    <w:right w:w="113" w:type="dxa"/>
                  </w:tcMar>
                  <w:hideMark/>
                </w:tcPr>
                <w:p w14:paraId="066CD6C4"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1.13 </w:t>
                  </w:r>
                  <w:r w:rsidRPr="00B10304">
                    <w:rPr>
                      <w:rFonts w:eastAsia="Times New Roman"/>
                      <w:sz w:val="13"/>
                      <w:szCs w:val="13"/>
                      <w:vertAlign w:val="superscript"/>
                    </w:rPr>
                    <w:t>***</w:t>
                  </w:r>
                  <w:r w:rsidRPr="00B10304">
                    <w:rPr>
                      <w:rFonts w:eastAsia="Times New Roman"/>
                      <w:sz w:val="13"/>
                      <w:szCs w:val="13"/>
                    </w:rPr>
                    <w:br/>
                    <w:t>(1.09 – 1.17)</w:t>
                  </w:r>
                </w:p>
              </w:tc>
            </w:tr>
            <w:tr w:rsidR="009B11EA" w:rsidRPr="00B10304" w14:paraId="47464300" w14:textId="77777777" w:rsidTr="00914C4B">
              <w:tc>
                <w:tcPr>
                  <w:tcW w:w="0" w:type="auto"/>
                  <w:tcMar>
                    <w:top w:w="113" w:type="dxa"/>
                    <w:left w:w="113" w:type="dxa"/>
                    <w:bottom w:w="113" w:type="dxa"/>
                    <w:right w:w="113" w:type="dxa"/>
                  </w:tcMar>
                  <w:hideMark/>
                </w:tcPr>
                <w:p w14:paraId="451DB0F2"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1F1A1938"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1.37 </w:t>
                  </w:r>
                  <w:r w:rsidRPr="00B10304">
                    <w:rPr>
                      <w:rFonts w:eastAsia="Times New Roman"/>
                      <w:sz w:val="13"/>
                      <w:szCs w:val="13"/>
                      <w:vertAlign w:val="superscript"/>
                    </w:rPr>
                    <w:t>**</w:t>
                  </w:r>
                  <w:r w:rsidRPr="00B10304">
                    <w:rPr>
                      <w:rFonts w:eastAsia="Times New Roman"/>
                      <w:sz w:val="13"/>
                      <w:szCs w:val="13"/>
                    </w:rPr>
                    <w:br/>
                    <w:t>(1.04 – 1.80)</w:t>
                  </w:r>
                </w:p>
              </w:tc>
            </w:tr>
            <w:tr w:rsidR="009B11EA" w:rsidRPr="00B10304" w14:paraId="26E2E7CC" w14:textId="77777777" w:rsidTr="00914C4B">
              <w:tc>
                <w:tcPr>
                  <w:tcW w:w="0" w:type="auto"/>
                  <w:tcMar>
                    <w:top w:w="113" w:type="dxa"/>
                    <w:left w:w="113" w:type="dxa"/>
                    <w:bottom w:w="113" w:type="dxa"/>
                    <w:right w:w="113" w:type="dxa"/>
                  </w:tcMar>
                  <w:hideMark/>
                </w:tcPr>
                <w:p w14:paraId="6D851FAE"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271D376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rPr>
                    <w:br/>
                    <w:t>(1.00 – 1.02)</w:t>
                  </w:r>
                </w:p>
              </w:tc>
            </w:tr>
            <w:tr w:rsidR="009B11EA" w:rsidRPr="00B10304" w14:paraId="1A7C86AE" w14:textId="77777777" w:rsidTr="00914C4B">
              <w:tc>
                <w:tcPr>
                  <w:tcW w:w="0" w:type="auto"/>
                  <w:tcMar>
                    <w:top w:w="113" w:type="dxa"/>
                    <w:left w:w="113" w:type="dxa"/>
                    <w:bottom w:w="113" w:type="dxa"/>
                    <w:right w:w="113" w:type="dxa"/>
                  </w:tcMar>
                  <w:hideMark/>
                </w:tcPr>
                <w:p w14:paraId="69E3493C"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4F7D719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1.60 </w:t>
                  </w:r>
                  <w:r w:rsidRPr="00B10304">
                    <w:rPr>
                      <w:rFonts w:eastAsia="Times New Roman"/>
                      <w:sz w:val="13"/>
                      <w:szCs w:val="13"/>
                      <w:vertAlign w:val="superscript"/>
                    </w:rPr>
                    <w:t>***</w:t>
                  </w:r>
                  <w:r w:rsidRPr="00B10304">
                    <w:rPr>
                      <w:rFonts w:eastAsia="Times New Roman"/>
                      <w:sz w:val="13"/>
                      <w:szCs w:val="13"/>
                    </w:rPr>
                    <w:br/>
                    <w:t>(1.19 – 2.17)</w:t>
                  </w:r>
                </w:p>
              </w:tc>
            </w:tr>
            <w:tr w:rsidR="009B11EA" w:rsidRPr="00B10304" w14:paraId="63BE1417" w14:textId="77777777" w:rsidTr="00914C4B">
              <w:tc>
                <w:tcPr>
                  <w:tcW w:w="0" w:type="auto"/>
                  <w:tcMar>
                    <w:top w:w="113" w:type="dxa"/>
                    <w:left w:w="113" w:type="dxa"/>
                    <w:bottom w:w="113" w:type="dxa"/>
                    <w:right w:w="113" w:type="dxa"/>
                  </w:tcMar>
                  <w:hideMark/>
                </w:tcPr>
                <w:p w14:paraId="3647713E"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6DD01B8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1.02 </w:t>
                  </w:r>
                  <w:r w:rsidRPr="00B10304">
                    <w:rPr>
                      <w:rFonts w:eastAsia="Times New Roman"/>
                      <w:sz w:val="13"/>
                      <w:szCs w:val="13"/>
                    </w:rPr>
                    <w:br/>
                    <w:t>(0.77 – 1.35)</w:t>
                  </w:r>
                </w:p>
              </w:tc>
            </w:tr>
            <w:tr w:rsidR="009B11EA" w:rsidRPr="00B10304" w14:paraId="02BAA024" w14:textId="77777777" w:rsidTr="00914C4B">
              <w:tc>
                <w:tcPr>
                  <w:tcW w:w="0" w:type="auto"/>
                  <w:tcMar>
                    <w:top w:w="113" w:type="dxa"/>
                    <w:left w:w="113" w:type="dxa"/>
                    <w:bottom w:w="113" w:type="dxa"/>
                    <w:right w:w="113" w:type="dxa"/>
                  </w:tcMar>
                  <w:hideMark/>
                </w:tcPr>
                <w:p w14:paraId="0E1599CA" w14:textId="77777777" w:rsidR="009B11EA" w:rsidRPr="00B10304" w:rsidRDefault="009B11EA" w:rsidP="009B11EA">
                  <w:pPr>
                    <w:jc w:val="left"/>
                    <w:rPr>
                      <w:rFonts w:eastAsia="Times New Roman"/>
                      <w:sz w:val="13"/>
                      <w:szCs w:val="13"/>
                    </w:rPr>
                  </w:pPr>
                  <w:r w:rsidRPr="00B10304">
                    <w:rPr>
                      <w:rFonts w:eastAsia="Times New Roman"/>
                      <w:sz w:val="13"/>
                      <w:szCs w:val="13"/>
                    </w:rPr>
                    <w:t>eco_insec</w:t>
                  </w:r>
                </w:p>
              </w:tc>
              <w:tc>
                <w:tcPr>
                  <w:tcW w:w="0" w:type="auto"/>
                  <w:tcMar>
                    <w:top w:w="113" w:type="dxa"/>
                    <w:left w:w="113" w:type="dxa"/>
                    <w:bottom w:w="113" w:type="dxa"/>
                    <w:right w:w="113" w:type="dxa"/>
                  </w:tcMar>
                  <w:hideMark/>
                </w:tcPr>
                <w:p w14:paraId="6DB98F48"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1.29 </w:t>
                  </w:r>
                  <w:r w:rsidRPr="00B10304">
                    <w:rPr>
                      <w:rFonts w:eastAsia="Times New Roman"/>
                      <w:sz w:val="13"/>
                      <w:szCs w:val="13"/>
                      <w:vertAlign w:val="superscript"/>
                    </w:rPr>
                    <w:t>**</w:t>
                  </w:r>
                  <w:r w:rsidRPr="00B10304">
                    <w:rPr>
                      <w:rFonts w:eastAsia="Times New Roman"/>
                      <w:sz w:val="13"/>
                      <w:szCs w:val="13"/>
                    </w:rPr>
                    <w:br/>
                    <w:t>(1.05 – 1.60)</w:t>
                  </w:r>
                </w:p>
              </w:tc>
            </w:tr>
            <w:tr w:rsidR="009B11EA" w:rsidRPr="00B10304" w14:paraId="129B2037" w14:textId="77777777" w:rsidTr="00914C4B">
              <w:tc>
                <w:tcPr>
                  <w:tcW w:w="0" w:type="auto"/>
                  <w:tcBorders>
                    <w:top w:val="single" w:sz="6" w:space="0" w:color="auto"/>
                  </w:tcBorders>
                  <w:tcMar>
                    <w:top w:w="57" w:type="dxa"/>
                    <w:left w:w="113" w:type="dxa"/>
                    <w:bottom w:w="57" w:type="dxa"/>
                    <w:right w:w="113" w:type="dxa"/>
                  </w:tcMar>
                  <w:hideMark/>
                </w:tcPr>
                <w:p w14:paraId="4C9E369B"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CA1B49F"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1603FB26" w14:textId="77777777" w:rsidTr="00914C4B">
              <w:tc>
                <w:tcPr>
                  <w:tcW w:w="0" w:type="auto"/>
                  <w:tcMar>
                    <w:top w:w="57" w:type="dxa"/>
                    <w:left w:w="113" w:type="dxa"/>
                    <w:bottom w:w="57" w:type="dxa"/>
                    <w:right w:w="113" w:type="dxa"/>
                  </w:tcMar>
                  <w:hideMark/>
                </w:tcPr>
                <w:p w14:paraId="642F9966"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111CB978" w14:textId="77777777" w:rsidR="009B11EA" w:rsidRPr="00B10304" w:rsidRDefault="009B11EA" w:rsidP="009B11EA">
                  <w:pPr>
                    <w:rPr>
                      <w:rFonts w:eastAsia="Times New Roman"/>
                      <w:sz w:val="13"/>
                      <w:szCs w:val="13"/>
                    </w:rPr>
                  </w:pPr>
                  <w:r w:rsidRPr="00B10304">
                    <w:rPr>
                      <w:rFonts w:eastAsia="Times New Roman"/>
                      <w:sz w:val="13"/>
                      <w:szCs w:val="13"/>
                    </w:rPr>
                    <w:t>0.047</w:t>
                  </w:r>
                </w:p>
              </w:tc>
            </w:tr>
            <w:tr w:rsidR="009B11EA" w:rsidRPr="00B10304" w14:paraId="19153E68" w14:textId="77777777" w:rsidTr="00914C4B">
              <w:tc>
                <w:tcPr>
                  <w:tcW w:w="0" w:type="auto"/>
                  <w:tcMar>
                    <w:top w:w="57" w:type="dxa"/>
                    <w:left w:w="113" w:type="dxa"/>
                    <w:bottom w:w="57" w:type="dxa"/>
                    <w:right w:w="113" w:type="dxa"/>
                  </w:tcMar>
                  <w:hideMark/>
                </w:tcPr>
                <w:p w14:paraId="31C6B061"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2E694F55" w14:textId="77777777" w:rsidR="009B11EA" w:rsidRPr="00B10304" w:rsidRDefault="009B11EA" w:rsidP="009B11EA">
                  <w:pPr>
                    <w:rPr>
                      <w:rFonts w:eastAsia="Times New Roman"/>
                      <w:sz w:val="13"/>
                      <w:szCs w:val="13"/>
                    </w:rPr>
                  </w:pPr>
                  <w:r w:rsidRPr="00B10304">
                    <w:rPr>
                      <w:rFonts w:eastAsia="Times New Roman"/>
                      <w:sz w:val="13"/>
                      <w:szCs w:val="13"/>
                    </w:rPr>
                    <w:t>1350.314</w:t>
                  </w:r>
                </w:p>
              </w:tc>
            </w:tr>
            <w:tr w:rsidR="009B11EA" w:rsidRPr="00B10304" w14:paraId="4BB7D0DA" w14:textId="77777777" w:rsidTr="00914C4B">
              <w:tc>
                <w:tcPr>
                  <w:tcW w:w="0" w:type="auto"/>
                  <w:gridSpan w:val="2"/>
                  <w:tcBorders>
                    <w:top w:val="double" w:sz="6" w:space="0" w:color="000000"/>
                  </w:tcBorders>
                  <w:vAlign w:val="center"/>
                  <w:hideMark/>
                </w:tcPr>
                <w:p w14:paraId="5F07DD0B"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5D94306B"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483AF015"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5AFD733E"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70A33930" w14:textId="77777777" w:rsidTr="00914C4B">
              <w:tc>
                <w:tcPr>
                  <w:tcW w:w="0" w:type="auto"/>
                  <w:tcBorders>
                    <w:top w:val="double" w:sz="6" w:space="0" w:color="auto"/>
                  </w:tcBorders>
                  <w:tcMar>
                    <w:top w:w="113" w:type="dxa"/>
                    <w:left w:w="113" w:type="dxa"/>
                    <w:bottom w:w="113" w:type="dxa"/>
                    <w:right w:w="113" w:type="dxa"/>
                  </w:tcMar>
                  <w:vAlign w:val="center"/>
                  <w:hideMark/>
                </w:tcPr>
                <w:p w14:paraId="18193850"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1A921102"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risk</w:t>
                  </w:r>
                </w:p>
              </w:tc>
            </w:tr>
            <w:tr w:rsidR="009B11EA" w:rsidRPr="00B10304" w14:paraId="463BDE0F" w14:textId="77777777" w:rsidTr="00914C4B">
              <w:tc>
                <w:tcPr>
                  <w:tcW w:w="0" w:type="auto"/>
                  <w:tcBorders>
                    <w:bottom w:val="single" w:sz="6" w:space="0" w:color="auto"/>
                  </w:tcBorders>
                  <w:vAlign w:val="center"/>
                  <w:hideMark/>
                </w:tcPr>
                <w:p w14:paraId="40D5E0DF"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68209D35"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1978CB0B" w14:textId="77777777" w:rsidTr="00914C4B">
              <w:tc>
                <w:tcPr>
                  <w:tcW w:w="0" w:type="auto"/>
                  <w:tcMar>
                    <w:top w:w="113" w:type="dxa"/>
                    <w:left w:w="113" w:type="dxa"/>
                    <w:bottom w:w="113" w:type="dxa"/>
                    <w:right w:w="113" w:type="dxa"/>
                  </w:tcMar>
                  <w:hideMark/>
                </w:tcPr>
                <w:p w14:paraId="01C2BD32"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26E0CF2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0.02 </w:t>
                  </w:r>
                  <w:r w:rsidRPr="00B10304">
                    <w:rPr>
                      <w:rFonts w:eastAsia="Times New Roman"/>
                      <w:sz w:val="13"/>
                      <w:szCs w:val="13"/>
                      <w:vertAlign w:val="superscript"/>
                    </w:rPr>
                    <w:t>***</w:t>
                  </w:r>
                  <w:r w:rsidRPr="00B10304">
                    <w:rPr>
                      <w:rFonts w:eastAsia="Times New Roman"/>
                      <w:sz w:val="13"/>
                      <w:szCs w:val="13"/>
                    </w:rPr>
                    <w:br/>
                    <w:t>(0.01 – 0.06)</w:t>
                  </w:r>
                </w:p>
              </w:tc>
            </w:tr>
            <w:tr w:rsidR="009B11EA" w:rsidRPr="00B10304" w14:paraId="24AF0F91" w14:textId="77777777" w:rsidTr="00914C4B">
              <w:tc>
                <w:tcPr>
                  <w:tcW w:w="0" w:type="auto"/>
                  <w:tcMar>
                    <w:top w:w="113" w:type="dxa"/>
                    <w:left w:w="113" w:type="dxa"/>
                    <w:bottom w:w="113" w:type="dxa"/>
                    <w:right w:w="113" w:type="dxa"/>
                  </w:tcMar>
                  <w:hideMark/>
                </w:tcPr>
                <w:p w14:paraId="4A12195F" w14:textId="77777777" w:rsidR="009B11EA" w:rsidRPr="00B10304" w:rsidRDefault="009B11EA" w:rsidP="009B11EA">
                  <w:pPr>
                    <w:jc w:val="left"/>
                    <w:rPr>
                      <w:rFonts w:eastAsia="Times New Roman"/>
                      <w:sz w:val="13"/>
                      <w:szCs w:val="13"/>
                    </w:rPr>
                  </w:pPr>
                  <w:r w:rsidRPr="00B10304">
                    <w:rPr>
                      <w:rFonts w:eastAsia="Times New Roman"/>
                      <w:sz w:val="13"/>
                      <w:szCs w:val="13"/>
                    </w:rPr>
                    <w:t>risk</w:t>
                  </w:r>
                </w:p>
              </w:tc>
              <w:tc>
                <w:tcPr>
                  <w:tcW w:w="0" w:type="auto"/>
                  <w:tcMar>
                    <w:top w:w="113" w:type="dxa"/>
                    <w:left w:w="113" w:type="dxa"/>
                    <w:bottom w:w="113" w:type="dxa"/>
                    <w:right w:w="113" w:type="dxa"/>
                  </w:tcMar>
                  <w:hideMark/>
                </w:tcPr>
                <w:p w14:paraId="33642A14"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1.31 </w:t>
                  </w:r>
                  <w:r w:rsidRPr="00B10304">
                    <w:rPr>
                      <w:rFonts w:eastAsia="Times New Roman"/>
                      <w:sz w:val="13"/>
                      <w:szCs w:val="13"/>
                      <w:vertAlign w:val="superscript"/>
                    </w:rPr>
                    <w:t>***</w:t>
                  </w:r>
                  <w:r w:rsidRPr="00B10304">
                    <w:rPr>
                      <w:rFonts w:eastAsia="Times New Roman"/>
                      <w:sz w:val="13"/>
                      <w:szCs w:val="13"/>
                    </w:rPr>
                    <w:br/>
                    <w:t>(1.10 – 1.57)</w:t>
                  </w:r>
                </w:p>
              </w:tc>
            </w:tr>
            <w:tr w:rsidR="009B11EA" w:rsidRPr="00B10304" w14:paraId="7A1E9BF9" w14:textId="77777777" w:rsidTr="00914C4B">
              <w:tc>
                <w:tcPr>
                  <w:tcW w:w="0" w:type="auto"/>
                  <w:tcMar>
                    <w:top w:w="113" w:type="dxa"/>
                    <w:left w:w="113" w:type="dxa"/>
                    <w:bottom w:w="113" w:type="dxa"/>
                    <w:right w:w="113" w:type="dxa"/>
                  </w:tcMar>
                  <w:hideMark/>
                </w:tcPr>
                <w:p w14:paraId="6AF50065"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541D10E9"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1.40 </w:t>
                  </w:r>
                  <w:r w:rsidRPr="00B10304">
                    <w:rPr>
                      <w:rFonts w:eastAsia="Times New Roman"/>
                      <w:sz w:val="13"/>
                      <w:szCs w:val="13"/>
                      <w:vertAlign w:val="superscript"/>
                    </w:rPr>
                    <w:t>**</w:t>
                  </w:r>
                  <w:r w:rsidRPr="00B10304">
                    <w:rPr>
                      <w:rFonts w:eastAsia="Times New Roman"/>
                      <w:sz w:val="13"/>
                      <w:szCs w:val="13"/>
                    </w:rPr>
                    <w:br/>
                    <w:t>(1.07 – 1.84)</w:t>
                  </w:r>
                </w:p>
              </w:tc>
            </w:tr>
            <w:tr w:rsidR="009B11EA" w:rsidRPr="00B10304" w14:paraId="18CA564E" w14:textId="77777777" w:rsidTr="00914C4B">
              <w:tc>
                <w:tcPr>
                  <w:tcW w:w="0" w:type="auto"/>
                  <w:tcMar>
                    <w:top w:w="113" w:type="dxa"/>
                    <w:left w:w="113" w:type="dxa"/>
                    <w:bottom w:w="113" w:type="dxa"/>
                    <w:right w:w="113" w:type="dxa"/>
                  </w:tcMar>
                  <w:hideMark/>
                </w:tcPr>
                <w:p w14:paraId="03529DCA"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137C0B4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1.00 </w:t>
                  </w:r>
                  <w:r w:rsidRPr="00B10304">
                    <w:rPr>
                      <w:rFonts w:eastAsia="Times New Roman"/>
                      <w:sz w:val="13"/>
                      <w:szCs w:val="13"/>
                    </w:rPr>
                    <w:br/>
                    <w:t>(0.99 – 1.01)</w:t>
                  </w:r>
                </w:p>
              </w:tc>
            </w:tr>
            <w:tr w:rsidR="009B11EA" w:rsidRPr="00B10304" w14:paraId="386C543C" w14:textId="77777777" w:rsidTr="00914C4B">
              <w:tc>
                <w:tcPr>
                  <w:tcW w:w="0" w:type="auto"/>
                  <w:tcMar>
                    <w:top w:w="113" w:type="dxa"/>
                    <w:left w:w="113" w:type="dxa"/>
                    <w:bottom w:w="113" w:type="dxa"/>
                    <w:right w:w="113" w:type="dxa"/>
                  </w:tcMar>
                  <w:hideMark/>
                </w:tcPr>
                <w:p w14:paraId="255DA3D6"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146316B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1.76 </w:t>
                  </w:r>
                  <w:r w:rsidRPr="00B10304">
                    <w:rPr>
                      <w:rFonts w:eastAsia="Times New Roman"/>
                      <w:sz w:val="13"/>
                      <w:szCs w:val="13"/>
                      <w:vertAlign w:val="superscript"/>
                    </w:rPr>
                    <w:t>***</w:t>
                  </w:r>
                  <w:r w:rsidRPr="00B10304">
                    <w:rPr>
                      <w:rFonts w:eastAsia="Times New Roman"/>
                      <w:sz w:val="13"/>
                      <w:szCs w:val="13"/>
                    </w:rPr>
                    <w:br/>
                    <w:t>(1.31 – 2.38)</w:t>
                  </w:r>
                </w:p>
              </w:tc>
            </w:tr>
            <w:tr w:rsidR="009B11EA" w:rsidRPr="00B10304" w14:paraId="2608910B" w14:textId="77777777" w:rsidTr="00914C4B">
              <w:tc>
                <w:tcPr>
                  <w:tcW w:w="0" w:type="auto"/>
                  <w:tcMar>
                    <w:top w:w="113" w:type="dxa"/>
                    <w:left w:w="113" w:type="dxa"/>
                    <w:bottom w:w="113" w:type="dxa"/>
                    <w:right w:w="113" w:type="dxa"/>
                  </w:tcMar>
                  <w:hideMark/>
                </w:tcPr>
                <w:p w14:paraId="2EE85A24"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22D6D07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1.05 </w:t>
                  </w:r>
                  <w:r w:rsidRPr="00B10304">
                    <w:rPr>
                      <w:rFonts w:eastAsia="Times New Roman"/>
                      <w:sz w:val="13"/>
                      <w:szCs w:val="13"/>
                    </w:rPr>
                    <w:br/>
                    <w:t>(0.80 – 1.38)</w:t>
                  </w:r>
                </w:p>
              </w:tc>
            </w:tr>
            <w:tr w:rsidR="009B11EA" w:rsidRPr="00B10304" w14:paraId="719144C7" w14:textId="77777777" w:rsidTr="00914C4B">
              <w:tc>
                <w:tcPr>
                  <w:tcW w:w="0" w:type="auto"/>
                  <w:tcMar>
                    <w:top w:w="113" w:type="dxa"/>
                    <w:left w:w="113" w:type="dxa"/>
                    <w:bottom w:w="113" w:type="dxa"/>
                    <w:right w:w="113" w:type="dxa"/>
                  </w:tcMar>
                  <w:hideMark/>
                </w:tcPr>
                <w:p w14:paraId="31B119BB" w14:textId="77777777" w:rsidR="009B11EA" w:rsidRPr="00B10304" w:rsidRDefault="009B11EA" w:rsidP="009B11EA">
                  <w:pPr>
                    <w:jc w:val="left"/>
                    <w:rPr>
                      <w:rFonts w:eastAsia="Times New Roman"/>
                      <w:sz w:val="13"/>
                      <w:szCs w:val="13"/>
                    </w:rPr>
                  </w:pPr>
                  <w:r w:rsidRPr="00B10304">
                    <w:rPr>
                      <w:rFonts w:eastAsia="Times New Roman"/>
                      <w:sz w:val="13"/>
                      <w:szCs w:val="13"/>
                    </w:rPr>
                    <w:t>eco_insec</w:t>
                  </w:r>
                </w:p>
              </w:tc>
              <w:tc>
                <w:tcPr>
                  <w:tcW w:w="0" w:type="auto"/>
                  <w:tcMar>
                    <w:top w:w="113" w:type="dxa"/>
                    <w:left w:w="113" w:type="dxa"/>
                    <w:bottom w:w="113" w:type="dxa"/>
                    <w:right w:w="113" w:type="dxa"/>
                  </w:tcMar>
                  <w:hideMark/>
                </w:tcPr>
                <w:p w14:paraId="7234E064"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1.28 </w:t>
                  </w:r>
                  <w:r w:rsidRPr="00B10304">
                    <w:rPr>
                      <w:rFonts w:eastAsia="Times New Roman"/>
                      <w:sz w:val="13"/>
                      <w:szCs w:val="13"/>
                      <w:vertAlign w:val="superscript"/>
                    </w:rPr>
                    <w:t>**</w:t>
                  </w:r>
                  <w:r w:rsidRPr="00B10304">
                    <w:rPr>
                      <w:rFonts w:eastAsia="Times New Roman"/>
                      <w:sz w:val="13"/>
                      <w:szCs w:val="13"/>
                    </w:rPr>
                    <w:br/>
                    <w:t>(1.04 – 1.58)</w:t>
                  </w:r>
                </w:p>
              </w:tc>
            </w:tr>
            <w:tr w:rsidR="009B11EA" w:rsidRPr="00B10304" w14:paraId="2CE9D9ED" w14:textId="77777777" w:rsidTr="00914C4B">
              <w:tc>
                <w:tcPr>
                  <w:tcW w:w="0" w:type="auto"/>
                  <w:tcBorders>
                    <w:top w:val="single" w:sz="6" w:space="0" w:color="auto"/>
                  </w:tcBorders>
                  <w:tcMar>
                    <w:top w:w="57" w:type="dxa"/>
                    <w:left w:w="113" w:type="dxa"/>
                    <w:bottom w:w="57" w:type="dxa"/>
                    <w:right w:w="113" w:type="dxa"/>
                  </w:tcMar>
                  <w:hideMark/>
                </w:tcPr>
                <w:p w14:paraId="6D086812"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768D7C63"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605D3206" w14:textId="77777777" w:rsidTr="00914C4B">
              <w:tc>
                <w:tcPr>
                  <w:tcW w:w="0" w:type="auto"/>
                  <w:tcMar>
                    <w:top w:w="57" w:type="dxa"/>
                    <w:left w:w="113" w:type="dxa"/>
                    <w:bottom w:w="57" w:type="dxa"/>
                    <w:right w:w="113" w:type="dxa"/>
                  </w:tcMar>
                  <w:hideMark/>
                </w:tcPr>
                <w:p w14:paraId="225A2B99"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78473F88" w14:textId="77777777" w:rsidR="009B11EA" w:rsidRPr="00B10304" w:rsidRDefault="009B11EA" w:rsidP="009B11EA">
                  <w:pPr>
                    <w:rPr>
                      <w:rFonts w:eastAsia="Times New Roman"/>
                      <w:sz w:val="13"/>
                      <w:szCs w:val="13"/>
                    </w:rPr>
                  </w:pPr>
                  <w:r w:rsidRPr="00B10304">
                    <w:rPr>
                      <w:rFonts w:eastAsia="Times New Roman"/>
                      <w:sz w:val="13"/>
                      <w:szCs w:val="13"/>
                    </w:rPr>
                    <w:t>0.027</w:t>
                  </w:r>
                </w:p>
              </w:tc>
            </w:tr>
            <w:tr w:rsidR="009B11EA" w:rsidRPr="00B10304" w14:paraId="2E862A41" w14:textId="77777777" w:rsidTr="00914C4B">
              <w:tc>
                <w:tcPr>
                  <w:tcW w:w="0" w:type="auto"/>
                  <w:tcMar>
                    <w:top w:w="57" w:type="dxa"/>
                    <w:left w:w="113" w:type="dxa"/>
                    <w:bottom w:w="57" w:type="dxa"/>
                    <w:right w:w="113" w:type="dxa"/>
                  </w:tcMar>
                  <w:hideMark/>
                </w:tcPr>
                <w:p w14:paraId="7255067D"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42E6E258" w14:textId="77777777" w:rsidR="009B11EA" w:rsidRPr="00B10304" w:rsidRDefault="009B11EA" w:rsidP="009B11EA">
                  <w:pPr>
                    <w:rPr>
                      <w:rFonts w:eastAsia="Times New Roman"/>
                      <w:sz w:val="13"/>
                      <w:szCs w:val="13"/>
                    </w:rPr>
                  </w:pPr>
                  <w:r w:rsidRPr="00B10304">
                    <w:rPr>
                      <w:rFonts w:eastAsia="Times New Roman"/>
                      <w:sz w:val="13"/>
                      <w:szCs w:val="13"/>
                    </w:rPr>
                    <w:t>1385.843</w:t>
                  </w:r>
                </w:p>
              </w:tc>
            </w:tr>
            <w:tr w:rsidR="009B11EA" w:rsidRPr="00B10304" w14:paraId="33AF1000" w14:textId="77777777" w:rsidTr="00914C4B">
              <w:tc>
                <w:tcPr>
                  <w:tcW w:w="0" w:type="auto"/>
                  <w:gridSpan w:val="2"/>
                  <w:tcBorders>
                    <w:top w:val="double" w:sz="6" w:space="0" w:color="000000"/>
                  </w:tcBorders>
                  <w:vAlign w:val="center"/>
                  <w:hideMark/>
                </w:tcPr>
                <w:p w14:paraId="6C0FC2BF"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1912637F" w14:textId="77777777" w:rsidR="009B11EA" w:rsidRDefault="009B11EA" w:rsidP="009B11EA"/>
        </w:tc>
      </w:tr>
    </w:tbl>
    <w:p w14:paraId="5488D75F" w14:textId="77777777" w:rsidR="009B11EA" w:rsidRDefault="009B11EA" w:rsidP="009B11EA"/>
    <w:p w14:paraId="20BB3733" w14:textId="77777777" w:rsidR="009B11EA" w:rsidRDefault="009B11EA" w:rsidP="009B11EA"/>
    <w:p w14:paraId="319E5553" w14:textId="77777777" w:rsidR="009B11EA" w:rsidRDefault="009B11EA" w:rsidP="009B11EA"/>
    <w:p w14:paraId="4C6F0C14" w14:textId="77777777" w:rsidR="009B11EA" w:rsidRDefault="009B11EA" w:rsidP="009B11EA"/>
    <w:p w14:paraId="4223FC34" w14:textId="77777777" w:rsidR="004833F5" w:rsidRDefault="004833F5" w:rsidP="009B11EA"/>
    <w:p w14:paraId="5B2F4B82" w14:textId="77777777" w:rsidR="009B11EA" w:rsidRDefault="009B11EA" w:rsidP="009B11EA"/>
    <w:p w14:paraId="4070AED1" w14:textId="77777777" w:rsidR="009B11EA" w:rsidRDefault="009B11EA" w:rsidP="009B11EA"/>
    <w:p w14:paraId="3DEF53AE" w14:textId="49754290" w:rsidR="009B11EA" w:rsidRPr="00752AC2" w:rsidRDefault="00752AC2" w:rsidP="00752AC2">
      <w:pPr>
        <w:jc w:val="center"/>
        <w:rPr>
          <w:b/>
          <w:bCs/>
        </w:rPr>
      </w:pPr>
      <w:r>
        <w:rPr>
          <w:b/>
          <w:bCs/>
        </w:rPr>
        <w:lastRenderedPageBreak/>
        <w:t xml:space="preserve">Table 5: Models for vac_bad, vac_ob, worry, </w:t>
      </w:r>
      <w:proofErr w:type="gramStart"/>
      <w:r>
        <w:rPr>
          <w:b/>
          <w:bCs/>
        </w:rPr>
        <w:t>educ</w:t>
      </w:r>
      <w:proofErr w:type="gramEnd"/>
    </w:p>
    <w:p w14:paraId="216A0631" w14:textId="77777777" w:rsidR="009B11EA" w:rsidRDefault="009B11EA" w:rsidP="009B11E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B11EA" w14:paraId="1A3FC439"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39309F28"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417178B5"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5B1B8845" w14:textId="77777777" w:rsidTr="00914C4B">
              <w:tc>
                <w:tcPr>
                  <w:tcW w:w="0" w:type="auto"/>
                  <w:tcBorders>
                    <w:top w:val="double" w:sz="6" w:space="0" w:color="auto"/>
                  </w:tcBorders>
                  <w:tcMar>
                    <w:top w:w="113" w:type="dxa"/>
                    <w:left w:w="113" w:type="dxa"/>
                    <w:bottom w:w="113" w:type="dxa"/>
                    <w:right w:w="113" w:type="dxa"/>
                  </w:tcMar>
                  <w:vAlign w:val="center"/>
                  <w:hideMark/>
                </w:tcPr>
                <w:p w14:paraId="19568E7C"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8A4F36E"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vac_bad</w:t>
                  </w:r>
                </w:p>
              </w:tc>
            </w:tr>
            <w:tr w:rsidR="009B11EA" w:rsidRPr="00B10304" w14:paraId="01809C0D" w14:textId="77777777" w:rsidTr="00914C4B">
              <w:tc>
                <w:tcPr>
                  <w:tcW w:w="0" w:type="auto"/>
                  <w:tcBorders>
                    <w:bottom w:val="single" w:sz="6" w:space="0" w:color="auto"/>
                  </w:tcBorders>
                  <w:vAlign w:val="center"/>
                  <w:hideMark/>
                </w:tcPr>
                <w:p w14:paraId="4A479994"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37DBACCA"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17374969" w14:textId="77777777" w:rsidTr="00914C4B">
              <w:tc>
                <w:tcPr>
                  <w:tcW w:w="0" w:type="auto"/>
                  <w:tcMar>
                    <w:top w:w="113" w:type="dxa"/>
                    <w:left w:w="113" w:type="dxa"/>
                    <w:bottom w:w="113" w:type="dxa"/>
                    <w:right w:w="113" w:type="dxa"/>
                  </w:tcMar>
                  <w:hideMark/>
                </w:tcPr>
                <w:p w14:paraId="3DEF49F5"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1FF50E6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0.00 </w:t>
                  </w:r>
                  <w:r w:rsidRPr="00B10304">
                    <w:rPr>
                      <w:rFonts w:eastAsia="Times New Roman"/>
                      <w:sz w:val="13"/>
                      <w:szCs w:val="13"/>
                      <w:vertAlign w:val="superscript"/>
                    </w:rPr>
                    <w:t>***</w:t>
                  </w:r>
                  <w:r w:rsidRPr="00B10304">
                    <w:rPr>
                      <w:rFonts w:eastAsia="Times New Roman"/>
                      <w:sz w:val="13"/>
                      <w:szCs w:val="13"/>
                    </w:rPr>
                    <w:br/>
                    <w:t>(0.00 – 0.01)</w:t>
                  </w:r>
                </w:p>
              </w:tc>
            </w:tr>
            <w:tr w:rsidR="009B11EA" w:rsidRPr="00B10304" w14:paraId="229DB189" w14:textId="77777777" w:rsidTr="00914C4B">
              <w:tc>
                <w:tcPr>
                  <w:tcW w:w="0" w:type="auto"/>
                  <w:tcMar>
                    <w:top w:w="113" w:type="dxa"/>
                    <w:left w:w="113" w:type="dxa"/>
                    <w:bottom w:w="113" w:type="dxa"/>
                    <w:right w:w="113" w:type="dxa"/>
                  </w:tcMar>
                  <w:hideMark/>
                </w:tcPr>
                <w:p w14:paraId="3F080481" w14:textId="77777777" w:rsidR="009B11EA" w:rsidRPr="00B10304" w:rsidRDefault="009B11EA" w:rsidP="009B11EA">
                  <w:pPr>
                    <w:jc w:val="left"/>
                    <w:rPr>
                      <w:rFonts w:eastAsia="Times New Roman"/>
                      <w:sz w:val="13"/>
                      <w:szCs w:val="13"/>
                    </w:rPr>
                  </w:pPr>
                  <w:r w:rsidRPr="00B10304">
                    <w:rPr>
                      <w:rFonts w:eastAsia="Times New Roman"/>
                      <w:sz w:val="13"/>
                      <w:szCs w:val="13"/>
                    </w:rPr>
                    <w:t>vac_bad</w:t>
                  </w:r>
                </w:p>
              </w:tc>
              <w:tc>
                <w:tcPr>
                  <w:tcW w:w="0" w:type="auto"/>
                  <w:tcMar>
                    <w:top w:w="113" w:type="dxa"/>
                    <w:left w:w="113" w:type="dxa"/>
                    <w:bottom w:w="113" w:type="dxa"/>
                    <w:right w:w="113" w:type="dxa"/>
                  </w:tcMar>
                  <w:hideMark/>
                </w:tcPr>
                <w:p w14:paraId="31A1AE0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3.39 </w:t>
                  </w:r>
                  <w:r w:rsidRPr="00B10304">
                    <w:rPr>
                      <w:rFonts w:eastAsia="Times New Roman"/>
                      <w:sz w:val="13"/>
                      <w:szCs w:val="13"/>
                      <w:vertAlign w:val="superscript"/>
                    </w:rPr>
                    <w:t>***</w:t>
                  </w:r>
                  <w:r w:rsidRPr="00B10304">
                    <w:rPr>
                      <w:rFonts w:eastAsia="Times New Roman"/>
                      <w:sz w:val="13"/>
                      <w:szCs w:val="13"/>
                    </w:rPr>
                    <w:br/>
                    <w:t>(2.95 – 3.93)</w:t>
                  </w:r>
                </w:p>
              </w:tc>
            </w:tr>
            <w:tr w:rsidR="009B11EA" w:rsidRPr="00B10304" w14:paraId="271F985F" w14:textId="77777777" w:rsidTr="00914C4B">
              <w:tc>
                <w:tcPr>
                  <w:tcW w:w="0" w:type="auto"/>
                  <w:tcMar>
                    <w:top w:w="113" w:type="dxa"/>
                    <w:left w:w="113" w:type="dxa"/>
                    <w:bottom w:w="113" w:type="dxa"/>
                    <w:right w:w="113" w:type="dxa"/>
                  </w:tcMar>
                  <w:hideMark/>
                </w:tcPr>
                <w:p w14:paraId="16B0A5B2"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11D157B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1.04 </w:t>
                  </w:r>
                  <w:r w:rsidRPr="00B10304">
                    <w:rPr>
                      <w:rFonts w:eastAsia="Times New Roman"/>
                      <w:sz w:val="13"/>
                      <w:szCs w:val="13"/>
                    </w:rPr>
                    <w:br/>
                    <w:t>(0.75 – 1.44)</w:t>
                  </w:r>
                </w:p>
              </w:tc>
            </w:tr>
            <w:tr w:rsidR="009B11EA" w:rsidRPr="00B10304" w14:paraId="41A71190" w14:textId="77777777" w:rsidTr="00914C4B">
              <w:tc>
                <w:tcPr>
                  <w:tcW w:w="0" w:type="auto"/>
                  <w:tcMar>
                    <w:top w:w="113" w:type="dxa"/>
                    <w:left w:w="113" w:type="dxa"/>
                    <w:bottom w:w="113" w:type="dxa"/>
                    <w:right w:w="113" w:type="dxa"/>
                  </w:tcMar>
                  <w:hideMark/>
                </w:tcPr>
                <w:p w14:paraId="02253C86"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698F832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vertAlign w:val="superscript"/>
                    </w:rPr>
                    <w:t>**</w:t>
                  </w:r>
                  <w:r w:rsidRPr="00B10304">
                    <w:rPr>
                      <w:rFonts w:eastAsia="Times New Roman"/>
                      <w:sz w:val="13"/>
                      <w:szCs w:val="13"/>
                    </w:rPr>
                    <w:br/>
                    <w:t>(1.00 – 1.02)</w:t>
                  </w:r>
                </w:p>
              </w:tc>
            </w:tr>
            <w:tr w:rsidR="009B11EA" w:rsidRPr="00B10304" w14:paraId="49FA5F06" w14:textId="77777777" w:rsidTr="00914C4B">
              <w:tc>
                <w:tcPr>
                  <w:tcW w:w="0" w:type="auto"/>
                  <w:tcMar>
                    <w:top w:w="113" w:type="dxa"/>
                    <w:left w:w="113" w:type="dxa"/>
                    <w:bottom w:w="113" w:type="dxa"/>
                    <w:right w:w="113" w:type="dxa"/>
                  </w:tcMar>
                  <w:hideMark/>
                </w:tcPr>
                <w:p w14:paraId="41599A1A"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2579BAA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1.28 </w:t>
                  </w:r>
                  <w:r w:rsidRPr="00B10304">
                    <w:rPr>
                      <w:rFonts w:eastAsia="Times New Roman"/>
                      <w:sz w:val="13"/>
                      <w:szCs w:val="13"/>
                    </w:rPr>
                    <w:br/>
                    <w:t>(0.90 – 1.83)</w:t>
                  </w:r>
                </w:p>
              </w:tc>
            </w:tr>
            <w:tr w:rsidR="009B11EA" w:rsidRPr="00B10304" w14:paraId="112B936C" w14:textId="77777777" w:rsidTr="00914C4B">
              <w:tc>
                <w:tcPr>
                  <w:tcW w:w="0" w:type="auto"/>
                  <w:tcMar>
                    <w:top w:w="113" w:type="dxa"/>
                    <w:left w:w="113" w:type="dxa"/>
                    <w:bottom w:w="113" w:type="dxa"/>
                    <w:right w:w="113" w:type="dxa"/>
                  </w:tcMar>
                  <w:hideMark/>
                </w:tcPr>
                <w:p w14:paraId="251C5886"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4B7CE35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1.12 </w:t>
                  </w:r>
                  <w:r w:rsidRPr="00B10304">
                    <w:rPr>
                      <w:rFonts w:eastAsia="Times New Roman"/>
                      <w:sz w:val="13"/>
                      <w:szCs w:val="13"/>
                    </w:rPr>
                    <w:br/>
                    <w:t>(0.80 – 1.55)</w:t>
                  </w:r>
                </w:p>
              </w:tc>
            </w:tr>
            <w:tr w:rsidR="009B11EA" w:rsidRPr="00B10304" w14:paraId="76C8AEC7" w14:textId="77777777" w:rsidTr="00914C4B">
              <w:tc>
                <w:tcPr>
                  <w:tcW w:w="0" w:type="auto"/>
                  <w:tcMar>
                    <w:top w:w="113" w:type="dxa"/>
                    <w:left w:w="113" w:type="dxa"/>
                    <w:bottom w:w="113" w:type="dxa"/>
                    <w:right w:w="113" w:type="dxa"/>
                  </w:tcMar>
                  <w:hideMark/>
                </w:tcPr>
                <w:p w14:paraId="4FC35CE4" w14:textId="77777777" w:rsidR="009B11EA" w:rsidRPr="00B10304" w:rsidRDefault="009B11EA" w:rsidP="009B11EA">
                  <w:pPr>
                    <w:jc w:val="left"/>
                    <w:rPr>
                      <w:rFonts w:eastAsia="Times New Roman"/>
                      <w:sz w:val="13"/>
                      <w:szCs w:val="13"/>
                    </w:rPr>
                  </w:pPr>
                  <w:r w:rsidRPr="00B10304">
                    <w:rPr>
                      <w:rFonts w:eastAsia="Times New Roman"/>
                      <w:sz w:val="13"/>
                      <w:szCs w:val="13"/>
                    </w:rPr>
                    <w:t>eco_insec</w:t>
                  </w:r>
                </w:p>
              </w:tc>
              <w:tc>
                <w:tcPr>
                  <w:tcW w:w="0" w:type="auto"/>
                  <w:tcMar>
                    <w:top w:w="113" w:type="dxa"/>
                    <w:left w:w="113" w:type="dxa"/>
                    <w:bottom w:w="113" w:type="dxa"/>
                    <w:right w:w="113" w:type="dxa"/>
                  </w:tcMar>
                  <w:hideMark/>
                </w:tcPr>
                <w:p w14:paraId="14CF7BA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1.06 </w:t>
                  </w:r>
                  <w:r w:rsidRPr="00B10304">
                    <w:rPr>
                      <w:rFonts w:eastAsia="Times New Roman"/>
                      <w:sz w:val="13"/>
                      <w:szCs w:val="13"/>
                    </w:rPr>
                    <w:br/>
                    <w:t>(0.82 – 1.35)</w:t>
                  </w:r>
                </w:p>
              </w:tc>
            </w:tr>
            <w:tr w:rsidR="009B11EA" w:rsidRPr="00B10304" w14:paraId="553FC28B" w14:textId="77777777" w:rsidTr="00914C4B">
              <w:tc>
                <w:tcPr>
                  <w:tcW w:w="0" w:type="auto"/>
                  <w:tcBorders>
                    <w:top w:val="single" w:sz="6" w:space="0" w:color="auto"/>
                  </w:tcBorders>
                  <w:tcMar>
                    <w:top w:w="57" w:type="dxa"/>
                    <w:left w:w="113" w:type="dxa"/>
                    <w:bottom w:w="57" w:type="dxa"/>
                    <w:right w:w="113" w:type="dxa"/>
                  </w:tcMar>
                  <w:hideMark/>
                </w:tcPr>
                <w:p w14:paraId="0BE61011"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140314C0"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65397C21" w14:textId="77777777" w:rsidTr="00914C4B">
              <w:tc>
                <w:tcPr>
                  <w:tcW w:w="0" w:type="auto"/>
                  <w:tcMar>
                    <w:top w:w="57" w:type="dxa"/>
                    <w:left w:w="113" w:type="dxa"/>
                    <w:bottom w:w="57" w:type="dxa"/>
                    <w:right w:w="113" w:type="dxa"/>
                  </w:tcMar>
                  <w:hideMark/>
                </w:tcPr>
                <w:p w14:paraId="0A174290"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39614FA7" w14:textId="77777777" w:rsidR="009B11EA" w:rsidRPr="00B10304" w:rsidRDefault="009B11EA" w:rsidP="009B11EA">
                  <w:pPr>
                    <w:rPr>
                      <w:rFonts w:eastAsia="Times New Roman"/>
                      <w:sz w:val="13"/>
                      <w:szCs w:val="13"/>
                    </w:rPr>
                  </w:pPr>
                  <w:r w:rsidRPr="00B10304">
                    <w:rPr>
                      <w:rFonts w:eastAsia="Times New Roman"/>
                      <w:sz w:val="13"/>
                      <w:szCs w:val="13"/>
                    </w:rPr>
                    <w:t>0.319</w:t>
                  </w:r>
                </w:p>
              </w:tc>
            </w:tr>
            <w:tr w:rsidR="009B11EA" w:rsidRPr="00B10304" w14:paraId="72AEEDE0" w14:textId="77777777" w:rsidTr="00914C4B">
              <w:tc>
                <w:tcPr>
                  <w:tcW w:w="0" w:type="auto"/>
                  <w:tcMar>
                    <w:top w:w="57" w:type="dxa"/>
                    <w:left w:w="113" w:type="dxa"/>
                    <w:bottom w:w="57" w:type="dxa"/>
                    <w:right w:w="113" w:type="dxa"/>
                  </w:tcMar>
                  <w:hideMark/>
                </w:tcPr>
                <w:p w14:paraId="695BDC3F"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041D4A10" w14:textId="77777777" w:rsidR="009B11EA" w:rsidRPr="00B10304" w:rsidRDefault="009B11EA" w:rsidP="009B11EA">
                  <w:pPr>
                    <w:rPr>
                      <w:rFonts w:eastAsia="Times New Roman"/>
                      <w:sz w:val="13"/>
                      <w:szCs w:val="13"/>
                    </w:rPr>
                  </w:pPr>
                  <w:r w:rsidRPr="00B10304">
                    <w:rPr>
                      <w:rFonts w:eastAsia="Times New Roman"/>
                      <w:sz w:val="13"/>
                      <w:szCs w:val="13"/>
                    </w:rPr>
                    <w:t>986.178</w:t>
                  </w:r>
                </w:p>
              </w:tc>
            </w:tr>
            <w:tr w:rsidR="009B11EA" w:rsidRPr="00B10304" w14:paraId="63B7719F" w14:textId="77777777" w:rsidTr="00914C4B">
              <w:tc>
                <w:tcPr>
                  <w:tcW w:w="0" w:type="auto"/>
                  <w:gridSpan w:val="2"/>
                  <w:tcBorders>
                    <w:top w:val="double" w:sz="6" w:space="0" w:color="000000"/>
                  </w:tcBorders>
                  <w:vAlign w:val="center"/>
                  <w:hideMark/>
                </w:tcPr>
                <w:p w14:paraId="3BE88EB4"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1BA777F0"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14:paraId="11C370C9"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1D34E860"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14:paraId="7837753C" w14:textId="77777777" w:rsidTr="00914C4B">
              <w:tc>
                <w:tcPr>
                  <w:tcW w:w="0" w:type="auto"/>
                  <w:tcBorders>
                    <w:top w:val="double" w:sz="6" w:space="0" w:color="auto"/>
                  </w:tcBorders>
                  <w:tcMar>
                    <w:top w:w="113" w:type="dxa"/>
                    <w:left w:w="113" w:type="dxa"/>
                    <w:bottom w:w="113" w:type="dxa"/>
                    <w:right w:w="113" w:type="dxa"/>
                  </w:tcMar>
                  <w:vAlign w:val="center"/>
                  <w:hideMark/>
                </w:tcPr>
                <w:p w14:paraId="11CA948E"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3B1D4A5"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vac_ob</w:t>
                  </w:r>
                </w:p>
              </w:tc>
            </w:tr>
            <w:tr w:rsidR="009B11EA" w14:paraId="2745E4E8" w14:textId="77777777" w:rsidTr="00914C4B">
              <w:tc>
                <w:tcPr>
                  <w:tcW w:w="0" w:type="auto"/>
                  <w:tcBorders>
                    <w:bottom w:val="single" w:sz="6" w:space="0" w:color="auto"/>
                  </w:tcBorders>
                  <w:vAlign w:val="center"/>
                  <w:hideMark/>
                </w:tcPr>
                <w:p w14:paraId="029980F4"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5F4B162"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14:paraId="702F275F" w14:textId="77777777" w:rsidTr="00914C4B">
              <w:tc>
                <w:tcPr>
                  <w:tcW w:w="0" w:type="auto"/>
                  <w:tcMar>
                    <w:top w:w="113" w:type="dxa"/>
                    <w:left w:w="113" w:type="dxa"/>
                    <w:bottom w:w="113" w:type="dxa"/>
                    <w:right w:w="113" w:type="dxa"/>
                  </w:tcMar>
                  <w:hideMark/>
                </w:tcPr>
                <w:p w14:paraId="3F6B5CC4"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14D2A5CB"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0.00 </w:t>
                  </w:r>
                  <w:r w:rsidRPr="00B10304">
                    <w:rPr>
                      <w:rFonts w:eastAsia="Times New Roman"/>
                      <w:sz w:val="13"/>
                      <w:szCs w:val="13"/>
                      <w:vertAlign w:val="superscript"/>
                    </w:rPr>
                    <w:t>***</w:t>
                  </w:r>
                  <w:r w:rsidRPr="00B10304">
                    <w:rPr>
                      <w:rFonts w:eastAsia="Times New Roman"/>
                      <w:sz w:val="13"/>
                      <w:szCs w:val="13"/>
                    </w:rPr>
                    <w:br/>
                    <w:t>(0.00 – 0.00)</w:t>
                  </w:r>
                </w:p>
              </w:tc>
            </w:tr>
            <w:tr w:rsidR="009B11EA" w14:paraId="51DFC33D" w14:textId="77777777" w:rsidTr="00914C4B">
              <w:tc>
                <w:tcPr>
                  <w:tcW w:w="0" w:type="auto"/>
                  <w:tcMar>
                    <w:top w:w="113" w:type="dxa"/>
                    <w:left w:w="113" w:type="dxa"/>
                    <w:bottom w:w="113" w:type="dxa"/>
                    <w:right w:w="113" w:type="dxa"/>
                  </w:tcMar>
                  <w:hideMark/>
                </w:tcPr>
                <w:p w14:paraId="5C06646A" w14:textId="77777777" w:rsidR="009B11EA" w:rsidRPr="00B10304" w:rsidRDefault="009B11EA" w:rsidP="009B11EA">
                  <w:pPr>
                    <w:jc w:val="left"/>
                    <w:rPr>
                      <w:rFonts w:eastAsia="Times New Roman"/>
                      <w:sz w:val="13"/>
                      <w:szCs w:val="13"/>
                    </w:rPr>
                  </w:pPr>
                  <w:r w:rsidRPr="00B10304">
                    <w:rPr>
                      <w:rFonts w:eastAsia="Times New Roman"/>
                      <w:sz w:val="13"/>
                      <w:szCs w:val="13"/>
                    </w:rPr>
                    <w:t>vac_ob</w:t>
                  </w:r>
                </w:p>
              </w:tc>
              <w:tc>
                <w:tcPr>
                  <w:tcW w:w="0" w:type="auto"/>
                  <w:tcMar>
                    <w:top w:w="113" w:type="dxa"/>
                    <w:left w:w="113" w:type="dxa"/>
                    <w:bottom w:w="113" w:type="dxa"/>
                    <w:right w:w="113" w:type="dxa"/>
                  </w:tcMar>
                  <w:hideMark/>
                </w:tcPr>
                <w:p w14:paraId="7C472EE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5.67 </w:t>
                  </w:r>
                  <w:r w:rsidRPr="00B10304">
                    <w:rPr>
                      <w:rFonts w:eastAsia="Times New Roman"/>
                      <w:sz w:val="13"/>
                      <w:szCs w:val="13"/>
                      <w:vertAlign w:val="superscript"/>
                    </w:rPr>
                    <w:t>***</w:t>
                  </w:r>
                  <w:r w:rsidRPr="00B10304">
                    <w:rPr>
                      <w:rFonts w:eastAsia="Times New Roman"/>
                      <w:sz w:val="13"/>
                      <w:szCs w:val="13"/>
                    </w:rPr>
                    <w:br/>
                    <w:t>(4.71 – 6.94)</w:t>
                  </w:r>
                </w:p>
              </w:tc>
            </w:tr>
            <w:tr w:rsidR="009B11EA" w14:paraId="4DE3B4E8" w14:textId="77777777" w:rsidTr="00914C4B">
              <w:tc>
                <w:tcPr>
                  <w:tcW w:w="0" w:type="auto"/>
                  <w:tcMar>
                    <w:top w:w="113" w:type="dxa"/>
                    <w:left w:w="113" w:type="dxa"/>
                    <w:bottom w:w="113" w:type="dxa"/>
                    <w:right w:w="113" w:type="dxa"/>
                  </w:tcMar>
                  <w:hideMark/>
                </w:tcPr>
                <w:p w14:paraId="1051DB26"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2F50E812"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0.98 </w:t>
                  </w:r>
                  <w:r w:rsidRPr="00B10304">
                    <w:rPr>
                      <w:rFonts w:eastAsia="Times New Roman"/>
                      <w:sz w:val="13"/>
                      <w:szCs w:val="13"/>
                    </w:rPr>
                    <w:br/>
                    <w:t>(0.67 – 1.43)</w:t>
                  </w:r>
                </w:p>
              </w:tc>
            </w:tr>
            <w:tr w:rsidR="009B11EA" w14:paraId="084B9456" w14:textId="77777777" w:rsidTr="00914C4B">
              <w:tc>
                <w:tcPr>
                  <w:tcW w:w="0" w:type="auto"/>
                  <w:tcMar>
                    <w:top w:w="113" w:type="dxa"/>
                    <w:left w:w="113" w:type="dxa"/>
                    <w:bottom w:w="113" w:type="dxa"/>
                    <w:right w:w="113" w:type="dxa"/>
                  </w:tcMar>
                  <w:hideMark/>
                </w:tcPr>
                <w:p w14:paraId="33A0153A"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1F5B2FF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vertAlign w:val="superscript"/>
                    </w:rPr>
                    <w:t>*</w:t>
                  </w:r>
                  <w:r w:rsidRPr="00B10304">
                    <w:rPr>
                      <w:rFonts w:eastAsia="Times New Roman"/>
                      <w:sz w:val="13"/>
                      <w:szCs w:val="13"/>
                    </w:rPr>
                    <w:br/>
                    <w:t>(1.00 – 1.03)</w:t>
                  </w:r>
                </w:p>
              </w:tc>
            </w:tr>
            <w:tr w:rsidR="009B11EA" w14:paraId="17FB54D9" w14:textId="77777777" w:rsidTr="00914C4B">
              <w:tc>
                <w:tcPr>
                  <w:tcW w:w="0" w:type="auto"/>
                  <w:tcMar>
                    <w:top w:w="113" w:type="dxa"/>
                    <w:left w:w="113" w:type="dxa"/>
                    <w:bottom w:w="113" w:type="dxa"/>
                    <w:right w:w="113" w:type="dxa"/>
                  </w:tcMar>
                  <w:hideMark/>
                </w:tcPr>
                <w:p w14:paraId="568661E9"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7C670A19"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1.61 </w:t>
                  </w:r>
                  <w:r w:rsidRPr="00B10304">
                    <w:rPr>
                      <w:rFonts w:eastAsia="Times New Roman"/>
                      <w:sz w:val="13"/>
                      <w:szCs w:val="13"/>
                      <w:vertAlign w:val="superscript"/>
                    </w:rPr>
                    <w:t>**</w:t>
                  </w:r>
                  <w:r w:rsidRPr="00B10304">
                    <w:rPr>
                      <w:rFonts w:eastAsia="Times New Roman"/>
                      <w:sz w:val="13"/>
                      <w:szCs w:val="13"/>
                    </w:rPr>
                    <w:br/>
                    <w:t>(1.07 – 2.43)</w:t>
                  </w:r>
                </w:p>
              </w:tc>
            </w:tr>
            <w:tr w:rsidR="009B11EA" w14:paraId="180C9243" w14:textId="77777777" w:rsidTr="00914C4B">
              <w:tc>
                <w:tcPr>
                  <w:tcW w:w="0" w:type="auto"/>
                  <w:tcMar>
                    <w:top w:w="113" w:type="dxa"/>
                    <w:left w:w="113" w:type="dxa"/>
                    <w:bottom w:w="113" w:type="dxa"/>
                    <w:right w:w="113" w:type="dxa"/>
                  </w:tcMar>
                  <w:hideMark/>
                </w:tcPr>
                <w:p w14:paraId="1FF2D4BD"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41D80A36"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1.09 </w:t>
                  </w:r>
                  <w:r w:rsidRPr="00B10304">
                    <w:rPr>
                      <w:rFonts w:eastAsia="Times New Roman"/>
                      <w:sz w:val="13"/>
                      <w:szCs w:val="13"/>
                    </w:rPr>
                    <w:br/>
                    <w:t>(0.74 – 1.60)</w:t>
                  </w:r>
                </w:p>
              </w:tc>
            </w:tr>
            <w:tr w:rsidR="009B11EA" w14:paraId="724981A3" w14:textId="77777777" w:rsidTr="00914C4B">
              <w:tc>
                <w:tcPr>
                  <w:tcW w:w="0" w:type="auto"/>
                  <w:tcMar>
                    <w:top w:w="113" w:type="dxa"/>
                    <w:left w:w="113" w:type="dxa"/>
                    <w:bottom w:w="113" w:type="dxa"/>
                    <w:right w:w="113" w:type="dxa"/>
                  </w:tcMar>
                  <w:hideMark/>
                </w:tcPr>
                <w:p w14:paraId="3553C33F" w14:textId="77777777" w:rsidR="009B11EA" w:rsidRPr="00B10304" w:rsidRDefault="009B11EA" w:rsidP="009B11EA">
                  <w:pPr>
                    <w:jc w:val="left"/>
                    <w:rPr>
                      <w:rFonts w:eastAsia="Times New Roman"/>
                      <w:sz w:val="13"/>
                      <w:szCs w:val="13"/>
                    </w:rPr>
                  </w:pPr>
                  <w:r w:rsidRPr="00B10304">
                    <w:rPr>
                      <w:rFonts w:eastAsia="Times New Roman"/>
                      <w:sz w:val="13"/>
                      <w:szCs w:val="13"/>
                    </w:rPr>
                    <w:t>eco_insec</w:t>
                  </w:r>
                </w:p>
              </w:tc>
              <w:tc>
                <w:tcPr>
                  <w:tcW w:w="0" w:type="auto"/>
                  <w:tcMar>
                    <w:top w:w="113" w:type="dxa"/>
                    <w:left w:w="113" w:type="dxa"/>
                    <w:bottom w:w="113" w:type="dxa"/>
                    <w:right w:w="113" w:type="dxa"/>
                  </w:tcMar>
                  <w:hideMark/>
                </w:tcPr>
                <w:p w14:paraId="6976167C"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0.79 </w:t>
                  </w:r>
                  <w:r w:rsidRPr="00B10304">
                    <w:rPr>
                      <w:rFonts w:eastAsia="Times New Roman"/>
                      <w:sz w:val="13"/>
                      <w:szCs w:val="13"/>
                    </w:rPr>
                    <w:br/>
                    <w:t>(0.58 – 1.07)</w:t>
                  </w:r>
                </w:p>
              </w:tc>
            </w:tr>
            <w:tr w:rsidR="009B11EA" w14:paraId="635C5C12" w14:textId="77777777" w:rsidTr="00914C4B">
              <w:tc>
                <w:tcPr>
                  <w:tcW w:w="0" w:type="auto"/>
                  <w:tcBorders>
                    <w:top w:val="single" w:sz="6" w:space="0" w:color="auto"/>
                  </w:tcBorders>
                  <w:tcMar>
                    <w:top w:w="57" w:type="dxa"/>
                    <w:left w:w="113" w:type="dxa"/>
                    <w:bottom w:w="57" w:type="dxa"/>
                    <w:right w:w="113" w:type="dxa"/>
                  </w:tcMar>
                  <w:hideMark/>
                </w:tcPr>
                <w:p w14:paraId="08FF4E51"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456C35E5"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14:paraId="277ADC92" w14:textId="77777777" w:rsidTr="00914C4B">
              <w:tc>
                <w:tcPr>
                  <w:tcW w:w="0" w:type="auto"/>
                  <w:tcMar>
                    <w:top w:w="57" w:type="dxa"/>
                    <w:left w:w="113" w:type="dxa"/>
                    <w:bottom w:w="57" w:type="dxa"/>
                    <w:right w:w="113" w:type="dxa"/>
                  </w:tcMar>
                  <w:hideMark/>
                </w:tcPr>
                <w:p w14:paraId="6944FC1F"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16892C72" w14:textId="77777777" w:rsidR="009B11EA" w:rsidRPr="00B10304" w:rsidRDefault="009B11EA" w:rsidP="009B11EA">
                  <w:pPr>
                    <w:rPr>
                      <w:rFonts w:eastAsia="Times New Roman"/>
                      <w:sz w:val="13"/>
                      <w:szCs w:val="13"/>
                    </w:rPr>
                  </w:pPr>
                  <w:r w:rsidRPr="00B10304">
                    <w:rPr>
                      <w:rFonts w:eastAsia="Times New Roman"/>
                      <w:sz w:val="13"/>
                      <w:szCs w:val="13"/>
                    </w:rPr>
                    <w:t>0.509</w:t>
                  </w:r>
                </w:p>
              </w:tc>
            </w:tr>
            <w:tr w:rsidR="009B11EA" w14:paraId="0F843421" w14:textId="77777777" w:rsidTr="00914C4B">
              <w:tc>
                <w:tcPr>
                  <w:tcW w:w="0" w:type="auto"/>
                  <w:tcMar>
                    <w:top w:w="57" w:type="dxa"/>
                    <w:left w:w="113" w:type="dxa"/>
                    <w:bottom w:w="57" w:type="dxa"/>
                    <w:right w:w="113" w:type="dxa"/>
                  </w:tcMar>
                  <w:hideMark/>
                </w:tcPr>
                <w:p w14:paraId="2F6C87A2"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719C2D56" w14:textId="77777777" w:rsidR="009B11EA" w:rsidRPr="00B10304" w:rsidRDefault="009B11EA" w:rsidP="009B11EA">
                  <w:pPr>
                    <w:rPr>
                      <w:rFonts w:eastAsia="Times New Roman"/>
                      <w:sz w:val="13"/>
                      <w:szCs w:val="13"/>
                    </w:rPr>
                  </w:pPr>
                  <w:r w:rsidRPr="00B10304">
                    <w:rPr>
                      <w:rFonts w:eastAsia="Times New Roman"/>
                      <w:sz w:val="13"/>
                      <w:szCs w:val="13"/>
                    </w:rPr>
                    <w:t>736.441</w:t>
                  </w:r>
                </w:p>
              </w:tc>
            </w:tr>
            <w:tr w:rsidR="009B11EA" w14:paraId="27CE4285" w14:textId="77777777" w:rsidTr="00914C4B">
              <w:tc>
                <w:tcPr>
                  <w:tcW w:w="0" w:type="auto"/>
                  <w:gridSpan w:val="2"/>
                  <w:tcBorders>
                    <w:top w:val="double" w:sz="6" w:space="0" w:color="000000"/>
                  </w:tcBorders>
                  <w:vAlign w:val="center"/>
                  <w:hideMark/>
                </w:tcPr>
                <w:p w14:paraId="5DD0A171"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02B0F2C8"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069710A0"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0D6C1610"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25011C41" w14:textId="77777777" w:rsidTr="00914C4B">
              <w:tc>
                <w:tcPr>
                  <w:tcW w:w="0" w:type="auto"/>
                  <w:tcBorders>
                    <w:top w:val="double" w:sz="6" w:space="0" w:color="auto"/>
                  </w:tcBorders>
                  <w:tcMar>
                    <w:top w:w="113" w:type="dxa"/>
                    <w:left w:w="113" w:type="dxa"/>
                    <w:bottom w:w="113" w:type="dxa"/>
                    <w:right w:w="113" w:type="dxa"/>
                  </w:tcMar>
                  <w:vAlign w:val="center"/>
                  <w:hideMark/>
                </w:tcPr>
                <w:p w14:paraId="6C657A90"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0C1BE3DC"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worry</w:t>
                  </w:r>
                </w:p>
              </w:tc>
            </w:tr>
            <w:tr w:rsidR="009B11EA" w:rsidRPr="00B10304" w14:paraId="05B2E6F8" w14:textId="77777777" w:rsidTr="00914C4B">
              <w:tc>
                <w:tcPr>
                  <w:tcW w:w="0" w:type="auto"/>
                  <w:tcBorders>
                    <w:bottom w:val="single" w:sz="6" w:space="0" w:color="auto"/>
                  </w:tcBorders>
                  <w:vAlign w:val="center"/>
                  <w:hideMark/>
                </w:tcPr>
                <w:p w14:paraId="36A5BF55"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0FA9F1EE"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6F3AB78A" w14:textId="77777777" w:rsidTr="00914C4B">
              <w:tc>
                <w:tcPr>
                  <w:tcW w:w="0" w:type="auto"/>
                  <w:tcMar>
                    <w:top w:w="113" w:type="dxa"/>
                    <w:left w:w="113" w:type="dxa"/>
                    <w:bottom w:w="113" w:type="dxa"/>
                    <w:right w:w="113" w:type="dxa"/>
                  </w:tcMar>
                  <w:hideMark/>
                </w:tcPr>
                <w:p w14:paraId="3B5371B7"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0B3E471C"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0.05 </w:t>
                  </w:r>
                  <w:r w:rsidRPr="00B10304">
                    <w:rPr>
                      <w:rFonts w:eastAsia="Times New Roman"/>
                      <w:sz w:val="13"/>
                      <w:szCs w:val="13"/>
                      <w:vertAlign w:val="superscript"/>
                    </w:rPr>
                    <w:t>***</w:t>
                  </w:r>
                  <w:r w:rsidRPr="00B10304">
                    <w:rPr>
                      <w:rFonts w:eastAsia="Times New Roman"/>
                      <w:sz w:val="13"/>
                      <w:szCs w:val="13"/>
                    </w:rPr>
                    <w:br/>
                    <w:t>(0.02 – 0.11)</w:t>
                  </w:r>
                </w:p>
              </w:tc>
            </w:tr>
            <w:tr w:rsidR="009B11EA" w:rsidRPr="00B10304" w14:paraId="6C93317F" w14:textId="77777777" w:rsidTr="00914C4B">
              <w:tc>
                <w:tcPr>
                  <w:tcW w:w="0" w:type="auto"/>
                  <w:tcMar>
                    <w:top w:w="113" w:type="dxa"/>
                    <w:left w:w="113" w:type="dxa"/>
                    <w:bottom w:w="113" w:type="dxa"/>
                    <w:right w:w="113" w:type="dxa"/>
                  </w:tcMar>
                  <w:hideMark/>
                </w:tcPr>
                <w:p w14:paraId="3AA01614" w14:textId="77777777" w:rsidR="009B11EA" w:rsidRPr="00B10304" w:rsidRDefault="009B11EA" w:rsidP="009B11EA">
                  <w:pPr>
                    <w:jc w:val="left"/>
                    <w:rPr>
                      <w:rFonts w:eastAsia="Times New Roman"/>
                      <w:sz w:val="13"/>
                      <w:szCs w:val="13"/>
                    </w:rPr>
                  </w:pPr>
                  <w:r w:rsidRPr="00B10304">
                    <w:rPr>
                      <w:rFonts w:eastAsia="Times New Roman"/>
                      <w:sz w:val="13"/>
                      <w:szCs w:val="13"/>
                    </w:rPr>
                    <w:t>worry</w:t>
                  </w:r>
                </w:p>
              </w:tc>
              <w:tc>
                <w:tcPr>
                  <w:tcW w:w="0" w:type="auto"/>
                  <w:tcMar>
                    <w:top w:w="113" w:type="dxa"/>
                    <w:left w:w="113" w:type="dxa"/>
                    <w:bottom w:w="113" w:type="dxa"/>
                    <w:right w:w="113" w:type="dxa"/>
                  </w:tcMar>
                  <w:hideMark/>
                </w:tcPr>
                <w:p w14:paraId="2A7BDB2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1.12 </w:t>
                  </w:r>
                  <w:r w:rsidRPr="00B10304">
                    <w:rPr>
                      <w:rFonts w:eastAsia="Times New Roman"/>
                      <w:sz w:val="13"/>
                      <w:szCs w:val="13"/>
                    </w:rPr>
                    <w:br/>
                    <w:t>(0.84 – 1.50)</w:t>
                  </w:r>
                </w:p>
              </w:tc>
            </w:tr>
            <w:tr w:rsidR="009B11EA" w:rsidRPr="00B10304" w14:paraId="01CB168B" w14:textId="77777777" w:rsidTr="00914C4B">
              <w:tc>
                <w:tcPr>
                  <w:tcW w:w="0" w:type="auto"/>
                  <w:tcMar>
                    <w:top w:w="113" w:type="dxa"/>
                    <w:left w:w="113" w:type="dxa"/>
                    <w:bottom w:w="113" w:type="dxa"/>
                    <w:right w:w="113" w:type="dxa"/>
                  </w:tcMar>
                  <w:hideMark/>
                </w:tcPr>
                <w:p w14:paraId="65DEB62B"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2BFF722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1.41 </w:t>
                  </w:r>
                  <w:r w:rsidRPr="00B10304">
                    <w:rPr>
                      <w:rFonts w:eastAsia="Times New Roman"/>
                      <w:sz w:val="13"/>
                      <w:szCs w:val="13"/>
                      <w:vertAlign w:val="superscript"/>
                    </w:rPr>
                    <w:t>**</w:t>
                  </w:r>
                  <w:r w:rsidRPr="00B10304">
                    <w:rPr>
                      <w:rFonts w:eastAsia="Times New Roman"/>
                      <w:sz w:val="13"/>
                      <w:szCs w:val="13"/>
                    </w:rPr>
                    <w:br/>
                    <w:t>(1.08 – 1.85)</w:t>
                  </w:r>
                </w:p>
              </w:tc>
            </w:tr>
            <w:tr w:rsidR="009B11EA" w:rsidRPr="00B10304" w14:paraId="49E98FD7" w14:textId="77777777" w:rsidTr="00914C4B">
              <w:tc>
                <w:tcPr>
                  <w:tcW w:w="0" w:type="auto"/>
                  <w:tcMar>
                    <w:top w:w="113" w:type="dxa"/>
                    <w:left w:w="113" w:type="dxa"/>
                    <w:bottom w:w="113" w:type="dxa"/>
                    <w:right w:w="113" w:type="dxa"/>
                  </w:tcMar>
                  <w:hideMark/>
                </w:tcPr>
                <w:p w14:paraId="672C73D6"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2F64D26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1.00 </w:t>
                  </w:r>
                  <w:r w:rsidRPr="00B10304">
                    <w:rPr>
                      <w:rFonts w:eastAsia="Times New Roman"/>
                      <w:sz w:val="13"/>
                      <w:szCs w:val="13"/>
                    </w:rPr>
                    <w:br/>
                    <w:t>(0.99 – 1.01)</w:t>
                  </w:r>
                </w:p>
              </w:tc>
            </w:tr>
            <w:tr w:rsidR="009B11EA" w:rsidRPr="00B10304" w14:paraId="600DC76A" w14:textId="77777777" w:rsidTr="00914C4B">
              <w:tc>
                <w:tcPr>
                  <w:tcW w:w="0" w:type="auto"/>
                  <w:tcMar>
                    <w:top w:w="113" w:type="dxa"/>
                    <w:left w:w="113" w:type="dxa"/>
                    <w:bottom w:w="113" w:type="dxa"/>
                    <w:right w:w="113" w:type="dxa"/>
                  </w:tcMar>
                  <w:hideMark/>
                </w:tcPr>
                <w:p w14:paraId="204008B1"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539A431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1.77 </w:t>
                  </w:r>
                  <w:r w:rsidRPr="00B10304">
                    <w:rPr>
                      <w:rFonts w:eastAsia="Times New Roman"/>
                      <w:sz w:val="13"/>
                      <w:szCs w:val="13"/>
                      <w:vertAlign w:val="superscript"/>
                    </w:rPr>
                    <w:t>***</w:t>
                  </w:r>
                  <w:r w:rsidRPr="00B10304">
                    <w:rPr>
                      <w:rFonts w:eastAsia="Times New Roman"/>
                      <w:sz w:val="13"/>
                      <w:szCs w:val="13"/>
                    </w:rPr>
                    <w:br/>
                    <w:t>(1.32 – 2.39)</w:t>
                  </w:r>
                </w:p>
              </w:tc>
            </w:tr>
            <w:tr w:rsidR="009B11EA" w:rsidRPr="00B10304" w14:paraId="2EB7525E" w14:textId="77777777" w:rsidTr="00914C4B">
              <w:tc>
                <w:tcPr>
                  <w:tcW w:w="0" w:type="auto"/>
                  <w:tcMar>
                    <w:top w:w="113" w:type="dxa"/>
                    <w:left w:w="113" w:type="dxa"/>
                    <w:bottom w:w="113" w:type="dxa"/>
                    <w:right w:w="113" w:type="dxa"/>
                  </w:tcMar>
                  <w:hideMark/>
                </w:tcPr>
                <w:p w14:paraId="0BA80E78"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493FC6B8"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1.07 </w:t>
                  </w:r>
                  <w:r w:rsidRPr="00B10304">
                    <w:rPr>
                      <w:rFonts w:eastAsia="Times New Roman"/>
                      <w:sz w:val="13"/>
                      <w:szCs w:val="13"/>
                    </w:rPr>
                    <w:br/>
                    <w:t>(0.82 – 1.40)</w:t>
                  </w:r>
                </w:p>
              </w:tc>
            </w:tr>
            <w:tr w:rsidR="009B11EA" w:rsidRPr="00B10304" w14:paraId="02C0F284" w14:textId="77777777" w:rsidTr="00914C4B">
              <w:tc>
                <w:tcPr>
                  <w:tcW w:w="0" w:type="auto"/>
                  <w:tcMar>
                    <w:top w:w="113" w:type="dxa"/>
                    <w:left w:w="113" w:type="dxa"/>
                    <w:bottom w:w="113" w:type="dxa"/>
                    <w:right w:w="113" w:type="dxa"/>
                  </w:tcMar>
                  <w:hideMark/>
                </w:tcPr>
                <w:p w14:paraId="49DFAB9A" w14:textId="77777777" w:rsidR="009B11EA" w:rsidRPr="00B10304" w:rsidRDefault="009B11EA" w:rsidP="009B11EA">
                  <w:pPr>
                    <w:jc w:val="left"/>
                    <w:rPr>
                      <w:rFonts w:eastAsia="Times New Roman"/>
                      <w:sz w:val="13"/>
                      <w:szCs w:val="13"/>
                    </w:rPr>
                  </w:pPr>
                  <w:r w:rsidRPr="00B10304">
                    <w:rPr>
                      <w:rFonts w:eastAsia="Times New Roman"/>
                      <w:sz w:val="13"/>
                      <w:szCs w:val="13"/>
                    </w:rPr>
                    <w:t>eco_insec</w:t>
                  </w:r>
                </w:p>
              </w:tc>
              <w:tc>
                <w:tcPr>
                  <w:tcW w:w="0" w:type="auto"/>
                  <w:tcMar>
                    <w:top w:w="113" w:type="dxa"/>
                    <w:left w:w="113" w:type="dxa"/>
                    <w:bottom w:w="113" w:type="dxa"/>
                    <w:right w:w="113" w:type="dxa"/>
                  </w:tcMar>
                  <w:hideMark/>
                </w:tcPr>
                <w:p w14:paraId="24C7096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1.26 </w:t>
                  </w:r>
                  <w:r w:rsidRPr="00B10304">
                    <w:rPr>
                      <w:rFonts w:eastAsia="Times New Roman"/>
                      <w:sz w:val="13"/>
                      <w:szCs w:val="13"/>
                      <w:vertAlign w:val="superscript"/>
                    </w:rPr>
                    <w:t>**</w:t>
                  </w:r>
                  <w:r w:rsidRPr="00B10304">
                    <w:rPr>
                      <w:rFonts w:eastAsia="Times New Roman"/>
                      <w:sz w:val="13"/>
                      <w:szCs w:val="13"/>
                    </w:rPr>
                    <w:br/>
                    <w:t>(1.02 – 1.56)</w:t>
                  </w:r>
                </w:p>
              </w:tc>
            </w:tr>
            <w:tr w:rsidR="009B11EA" w:rsidRPr="00B10304" w14:paraId="6854D931" w14:textId="77777777" w:rsidTr="00914C4B">
              <w:tc>
                <w:tcPr>
                  <w:tcW w:w="0" w:type="auto"/>
                  <w:tcBorders>
                    <w:top w:val="single" w:sz="6" w:space="0" w:color="auto"/>
                  </w:tcBorders>
                  <w:tcMar>
                    <w:top w:w="57" w:type="dxa"/>
                    <w:left w:w="113" w:type="dxa"/>
                    <w:bottom w:w="57" w:type="dxa"/>
                    <w:right w:w="113" w:type="dxa"/>
                  </w:tcMar>
                  <w:hideMark/>
                </w:tcPr>
                <w:p w14:paraId="3F245E9C"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714E6A67"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11BF737F" w14:textId="77777777" w:rsidTr="00914C4B">
              <w:tc>
                <w:tcPr>
                  <w:tcW w:w="0" w:type="auto"/>
                  <w:tcMar>
                    <w:top w:w="57" w:type="dxa"/>
                    <w:left w:w="113" w:type="dxa"/>
                    <w:bottom w:w="57" w:type="dxa"/>
                    <w:right w:w="113" w:type="dxa"/>
                  </w:tcMar>
                  <w:hideMark/>
                </w:tcPr>
                <w:p w14:paraId="1A1D1CAC"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69E1AD3A" w14:textId="77777777" w:rsidR="009B11EA" w:rsidRPr="00B10304" w:rsidRDefault="009B11EA" w:rsidP="009B11EA">
                  <w:pPr>
                    <w:rPr>
                      <w:rFonts w:eastAsia="Times New Roman"/>
                      <w:sz w:val="13"/>
                      <w:szCs w:val="13"/>
                    </w:rPr>
                  </w:pPr>
                  <w:r w:rsidRPr="00B10304">
                    <w:rPr>
                      <w:rFonts w:eastAsia="Times New Roman"/>
                      <w:sz w:val="13"/>
                      <w:szCs w:val="13"/>
                    </w:rPr>
                    <w:t>0.021</w:t>
                  </w:r>
                </w:p>
              </w:tc>
            </w:tr>
            <w:tr w:rsidR="009B11EA" w:rsidRPr="00B10304" w14:paraId="28046167" w14:textId="77777777" w:rsidTr="00914C4B">
              <w:tc>
                <w:tcPr>
                  <w:tcW w:w="0" w:type="auto"/>
                  <w:tcMar>
                    <w:top w:w="57" w:type="dxa"/>
                    <w:left w:w="113" w:type="dxa"/>
                    <w:bottom w:w="57" w:type="dxa"/>
                    <w:right w:w="113" w:type="dxa"/>
                  </w:tcMar>
                  <w:hideMark/>
                </w:tcPr>
                <w:p w14:paraId="78BE986A"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42EA0D13" w14:textId="77777777" w:rsidR="009B11EA" w:rsidRPr="00B10304" w:rsidRDefault="009B11EA" w:rsidP="009B11EA">
                  <w:pPr>
                    <w:rPr>
                      <w:rFonts w:eastAsia="Times New Roman"/>
                      <w:sz w:val="13"/>
                      <w:szCs w:val="13"/>
                    </w:rPr>
                  </w:pPr>
                  <w:r w:rsidRPr="00B10304">
                    <w:rPr>
                      <w:rFonts w:eastAsia="Times New Roman"/>
                      <w:sz w:val="13"/>
                      <w:szCs w:val="13"/>
                    </w:rPr>
                    <w:t>1394.191</w:t>
                  </w:r>
                </w:p>
              </w:tc>
            </w:tr>
            <w:tr w:rsidR="009B11EA" w:rsidRPr="00B10304" w14:paraId="2BA55625" w14:textId="77777777" w:rsidTr="00914C4B">
              <w:tc>
                <w:tcPr>
                  <w:tcW w:w="0" w:type="auto"/>
                  <w:gridSpan w:val="2"/>
                  <w:tcBorders>
                    <w:top w:val="double" w:sz="6" w:space="0" w:color="000000"/>
                  </w:tcBorders>
                  <w:vAlign w:val="center"/>
                  <w:hideMark/>
                </w:tcPr>
                <w:p w14:paraId="4B197B8B"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595E85CC" w14:textId="77777777" w:rsidR="009B11EA" w:rsidRDefault="009B11EA" w:rsidP="009B11EA"/>
        </w:tc>
      </w:tr>
      <w:tr w:rsidR="009B11EA" w14:paraId="0AB91F21"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656BAB73"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190EBCBF"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5B9FA00E" w14:textId="77777777" w:rsidTr="00914C4B">
              <w:tc>
                <w:tcPr>
                  <w:tcW w:w="0" w:type="auto"/>
                  <w:tcBorders>
                    <w:top w:val="double" w:sz="6" w:space="0" w:color="auto"/>
                  </w:tcBorders>
                  <w:tcMar>
                    <w:top w:w="113" w:type="dxa"/>
                    <w:left w:w="113" w:type="dxa"/>
                    <w:bottom w:w="113" w:type="dxa"/>
                    <w:right w:w="113" w:type="dxa"/>
                  </w:tcMar>
                  <w:vAlign w:val="center"/>
                  <w:hideMark/>
                </w:tcPr>
                <w:p w14:paraId="6E9D403A"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1B5EF07"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educ</w:t>
                  </w:r>
                </w:p>
              </w:tc>
            </w:tr>
            <w:tr w:rsidR="009B11EA" w:rsidRPr="00B10304" w14:paraId="722485FA" w14:textId="77777777" w:rsidTr="00914C4B">
              <w:tc>
                <w:tcPr>
                  <w:tcW w:w="0" w:type="auto"/>
                  <w:tcBorders>
                    <w:bottom w:val="single" w:sz="6" w:space="0" w:color="auto"/>
                  </w:tcBorders>
                  <w:vAlign w:val="center"/>
                  <w:hideMark/>
                </w:tcPr>
                <w:p w14:paraId="15CC21FD"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340A5C6"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4B92EE8E" w14:textId="77777777" w:rsidTr="00914C4B">
              <w:tc>
                <w:tcPr>
                  <w:tcW w:w="0" w:type="auto"/>
                  <w:tcMar>
                    <w:top w:w="113" w:type="dxa"/>
                    <w:left w:w="113" w:type="dxa"/>
                    <w:bottom w:w="113" w:type="dxa"/>
                    <w:right w:w="113" w:type="dxa"/>
                  </w:tcMar>
                  <w:hideMark/>
                </w:tcPr>
                <w:p w14:paraId="7E34BAFB"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47F6366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0.06 </w:t>
                  </w:r>
                  <w:r w:rsidRPr="00B10304">
                    <w:rPr>
                      <w:rFonts w:eastAsia="Times New Roman"/>
                      <w:sz w:val="13"/>
                      <w:szCs w:val="13"/>
                      <w:vertAlign w:val="superscript"/>
                    </w:rPr>
                    <w:t>***</w:t>
                  </w:r>
                  <w:r w:rsidRPr="00B10304">
                    <w:rPr>
                      <w:rFonts w:eastAsia="Times New Roman"/>
                      <w:sz w:val="13"/>
                      <w:szCs w:val="13"/>
                    </w:rPr>
                    <w:br/>
                    <w:t>(0.03 – 0.12)</w:t>
                  </w:r>
                </w:p>
              </w:tc>
            </w:tr>
            <w:tr w:rsidR="009B11EA" w:rsidRPr="00B10304" w14:paraId="459D3869" w14:textId="77777777" w:rsidTr="00914C4B">
              <w:tc>
                <w:tcPr>
                  <w:tcW w:w="0" w:type="auto"/>
                  <w:tcMar>
                    <w:top w:w="113" w:type="dxa"/>
                    <w:left w:w="113" w:type="dxa"/>
                    <w:bottom w:w="113" w:type="dxa"/>
                    <w:right w:w="113" w:type="dxa"/>
                  </w:tcMar>
                  <w:hideMark/>
                </w:tcPr>
                <w:p w14:paraId="5ED69A32"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69E65D7B"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1.76 </w:t>
                  </w:r>
                  <w:r w:rsidRPr="00B10304">
                    <w:rPr>
                      <w:rFonts w:eastAsia="Times New Roman"/>
                      <w:sz w:val="13"/>
                      <w:szCs w:val="13"/>
                      <w:vertAlign w:val="superscript"/>
                    </w:rPr>
                    <w:t>***</w:t>
                  </w:r>
                  <w:r w:rsidRPr="00B10304">
                    <w:rPr>
                      <w:rFonts w:eastAsia="Times New Roman"/>
                      <w:sz w:val="13"/>
                      <w:szCs w:val="13"/>
                    </w:rPr>
                    <w:br/>
                    <w:t>(1.31 – 2.38)</w:t>
                  </w:r>
                </w:p>
              </w:tc>
            </w:tr>
            <w:tr w:rsidR="009B11EA" w:rsidRPr="00B10304" w14:paraId="5117DC74" w14:textId="77777777" w:rsidTr="00914C4B">
              <w:tc>
                <w:tcPr>
                  <w:tcW w:w="0" w:type="auto"/>
                  <w:tcMar>
                    <w:top w:w="113" w:type="dxa"/>
                    <w:left w:w="113" w:type="dxa"/>
                    <w:bottom w:w="113" w:type="dxa"/>
                    <w:right w:w="113" w:type="dxa"/>
                  </w:tcMar>
                  <w:hideMark/>
                </w:tcPr>
                <w:p w14:paraId="3B89F03B"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35D1EA5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1.41 </w:t>
                  </w:r>
                  <w:r w:rsidRPr="00B10304">
                    <w:rPr>
                      <w:rFonts w:eastAsia="Times New Roman"/>
                      <w:sz w:val="13"/>
                      <w:szCs w:val="13"/>
                      <w:vertAlign w:val="superscript"/>
                    </w:rPr>
                    <w:t>**</w:t>
                  </w:r>
                  <w:r w:rsidRPr="00B10304">
                    <w:rPr>
                      <w:rFonts w:eastAsia="Times New Roman"/>
                      <w:sz w:val="13"/>
                      <w:szCs w:val="13"/>
                    </w:rPr>
                    <w:br/>
                    <w:t>(1.07 – 1.84)</w:t>
                  </w:r>
                </w:p>
              </w:tc>
            </w:tr>
            <w:tr w:rsidR="009B11EA" w:rsidRPr="00B10304" w14:paraId="00162E80" w14:textId="77777777" w:rsidTr="00914C4B">
              <w:tc>
                <w:tcPr>
                  <w:tcW w:w="0" w:type="auto"/>
                  <w:tcMar>
                    <w:top w:w="113" w:type="dxa"/>
                    <w:left w:w="113" w:type="dxa"/>
                    <w:bottom w:w="113" w:type="dxa"/>
                    <w:right w:w="113" w:type="dxa"/>
                  </w:tcMar>
                  <w:hideMark/>
                </w:tcPr>
                <w:p w14:paraId="1B71279C"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5F093A80"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1.00 </w:t>
                  </w:r>
                  <w:r w:rsidRPr="00B10304">
                    <w:rPr>
                      <w:rFonts w:eastAsia="Times New Roman"/>
                      <w:sz w:val="13"/>
                      <w:szCs w:val="13"/>
                    </w:rPr>
                    <w:br/>
                    <w:t>(0.99 – 1.01)</w:t>
                  </w:r>
                </w:p>
              </w:tc>
            </w:tr>
            <w:tr w:rsidR="009B11EA" w:rsidRPr="00B10304" w14:paraId="5C150B7B" w14:textId="77777777" w:rsidTr="00914C4B">
              <w:tc>
                <w:tcPr>
                  <w:tcW w:w="0" w:type="auto"/>
                  <w:tcMar>
                    <w:top w:w="113" w:type="dxa"/>
                    <w:left w:w="113" w:type="dxa"/>
                    <w:bottom w:w="113" w:type="dxa"/>
                    <w:right w:w="113" w:type="dxa"/>
                  </w:tcMar>
                  <w:hideMark/>
                </w:tcPr>
                <w:p w14:paraId="6E028A7C"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7287BAC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1.07 </w:t>
                  </w:r>
                  <w:r w:rsidRPr="00B10304">
                    <w:rPr>
                      <w:rFonts w:eastAsia="Times New Roman"/>
                      <w:sz w:val="13"/>
                      <w:szCs w:val="13"/>
                    </w:rPr>
                    <w:br/>
                    <w:t>(0.82 – 1.41)</w:t>
                  </w:r>
                </w:p>
              </w:tc>
            </w:tr>
            <w:tr w:rsidR="009B11EA" w:rsidRPr="00B10304" w14:paraId="41EAA316" w14:textId="77777777" w:rsidTr="00914C4B">
              <w:tc>
                <w:tcPr>
                  <w:tcW w:w="0" w:type="auto"/>
                  <w:tcMar>
                    <w:top w:w="113" w:type="dxa"/>
                    <w:left w:w="113" w:type="dxa"/>
                    <w:bottom w:w="113" w:type="dxa"/>
                    <w:right w:w="113" w:type="dxa"/>
                  </w:tcMar>
                  <w:hideMark/>
                </w:tcPr>
                <w:p w14:paraId="2E664786" w14:textId="77777777" w:rsidR="009B11EA" w:rsidRPr="00B10304" w:rsidRDefault="009B11EA" w:rsidP="009B11EA">
                  <w:pPr>
                    <w:jc w:val="left"/>
                    <w:rPr>
                      <w:rFonts w:eastAsia="Times New Roman"/>
                      <w:sz w:val="13"/>
                      <w:szCs w:val="13"/>
                    </w:rPr>
                  </w:pPr>
                  <w:r w:rsidRPr="00B10304">
                    <w:rPr>
                      <w:rFonts w:eastAsia="Times New Roman"/>
                      <w:sz w:val="13"/>
                      <w:szCs w:val="13"/>
                    </w:rPr>
                    <w:t>eco_insec</w:t>
                  </w:r>
                </w:p>
              </w:tc>
              <w:tc>
                <w:tcPr>
                  <w:tcW w:w="0" w:type="auto"/>
                  <w:tcMar>
                    <w:top w:w="113" w:type="dxa"/>
                    <w:left w:w="113" w:type="dxa"/>
                    <w:bottom w:w="113" w:type="dxa"/>
                    <w:right w:w="113" w:type="dxa"/>
                  </w:tcMar>
                  <w:hideMark/>
                </w:tcPr>
                <w:p w14:paraId="24D2B15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1.26 </w:t>
                  </w:r>
                  <w:r w:rsidRPr="00B10304">
                    <w:rPr>
                      <w:rFonts w:eastAsia="Times New Roman"/>
                      <w:sz w:val="13"/>
                      <w:szCs w:val="13"/>
                      <w:vertAlign w:val="superscript"/>
                    </w:rPr>
                    <w:t>**</w:t>
                  </w:r>
                  <w:r w:rsidRPr="00B10304">
                    <w:rPr>
                      <w:rFonts w:eastAsia="Times New Roman"/>
                      <w:sz w:val="13"/>
                      <w:szCs w:val="13"/>
                    </w:rPr>
                    <w:br/>
                    <w:t>(1.02 – 1.55)</w:t>
                  </w:r>
                </w:p>
              </w:tc>
            </w:tr>
            <w:tr w:rsidR="009B11EA" w:rsidRPr="00B10304" w14:paraId="11A69410" w14:textId="77777777" w:rsidTr="00914C4B">
              <w:tc>
                <w:tcPr>
                  <w:tcW w:w="0" w:type="auto"/>
                  <w:tcBorders>
                    <w:top w:val="single" w:sz="6" w:space="0" w:color="auto"/>
                  </w:tcBorders>
                  <w:tcMar>
                    <w:top w:w="57" w:type="dxa"/>
                    <w:left w:w="113" w:type="dxa"/>
                    <w:bottom w:w="57" w:type="dxa"/>
                    <w:right w:w="113" w:type="dxa"/>
                  </w:tcMar>
                  <w:hideMark/>
                </w:tcPr>
                <w:p w14:paraId="617F5137"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C5B9D18"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004CCFB4" w14:textId="77777777" w:rsidTr="00914C4B">
              <w:tc>
                <w:tcPr>
                  <w:tcW w:w="0" w:type="auto"/>
                  <w:tcMar>
                    <w:top w:w="57" w:type="dxa"/>
                    <w:left w:w="113" w:type="dxa"/>
                    <w:bottom w:w="57" w:type="dxa"/>
                    <w:right w:w="113" w:type="dxa"/>
                  </w:tcMar>
                  <w:hideMark/>
                </w:tcPr>
                <w:p w14:paraId="3E8AE455"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71666565" w14:textId="77777777" w:rsidR="009B11EA" w:rsidRPr="00B10304" w:rsidRDefault="009B11EA" w:rsidP="009B11EA">
                  <w:pPr>
                    <w:rPr>
                      <w:rFonts w:eastAsia="Times New Roman"/>
                      <w:sz w:val="13"/>
                      <w:szCs w:val="13"/>
                    </w:rPr>
                  </w:pPr>
                  <w:r w:rsidRPr="00B10304">
                    <w:rPr>
                      <w:rFonts w:eastAsia="Times New Roman"/>
                      <w:sz w:val="13"/>
                      <w:szCs w:val="13"/>
                    </w:rPr>
                    <w:t>0.020</w:t>
                  </w:r>
                </w:p>
              </w:tc>
            </w:tr>
            <w:tr w:rsidR="009B11EA" w:rsidRPr="00B10304" w14:paraId="748C33FE" w14:textId="77777777" w:rsidTr="00914C4B">
              <w:tc>
                <w:tcPr>
                  <w:tcW w:w="0" w:type="auto"/>
                  <w:tcMar>
                    <w:top w:w="57" w:type="dxa"/>
                    <w:left w:w="113" w:type="dxa"/>
                    <w:bottom w:w="57" w:type="dxa"/>
                    <w:right w:w="113" w:type="dxa"/>
                  </w:tcMar>
                  <w:hideMark/>
                </w:tcPr>
                <w:p w14:paraId="1DC8D12F"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3C0DB2AC" w14:textId="77777777" w:rsidR="009B11EA" w:rsidRPr="00B10304" w:rsidRDefault="009B11EA" w:rsidP="009B11EA">
                  <w:pPr>
                    <w:rPr>
                      <w:rFonts w:eastAsia="Times New Roman"/>
                      <w:sz w:val="13"/>
                      <w:szCs w:val="13"/>
                    </w:rPr>
                  </w:pPr>
                  <w:r w:rsidRPr="00B10304">
                    <w:rPr>
                      <w:rFonts w:eastAsia="Times New Roman"/>
                      <w:sz w:val="13"/>
                      <w:szCs w:val="13"/>
                    </w:rPr>
                    <w:t>1392.803</w:t>
                  </w:r>
                </w:p>
              </w:tc>
            </w:tr>
            <w:tr w:rsidR="009B11EA" w:rsidRPr="00B10304" w14:paraId="1FCFEBA0" w14:textId="77777777" w:rsidTr="00914C4B">
              <w:tc>
                <w:tcPr>
                  <w:tcW w:w="0" w:type="auto"/>
                  <w:gridSpan w:val="2"/>
                  <w:tcBorders>
                    <w:top w:val="double" w:sz="6" w:space="0" w:color="000000"/>
                  </w:tcBorders>
                  <w:vAlign w:val="center"/>
                  <w:hideMark/>
                </w:tcPr>
                <w:p w14:paraId="41B38A5D"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1B577269" w14:textId="77777777" w:rsidR="009B11EA" w:rsidRDefault="009B11EA" w:rsidP="009B11EA"/>
        </w:tc>
        <w:tc>
          <w:tcPr>
            <w:tcW w:w="3005" w:type="dxa"/>
          </w:tcPr>
          <w:p w14:paraId="04CCE65D" w14:textId="77777777" w:rsidR="009B11EA" w:rsidRDefault="009B11EA" w:rsidP="009B11EA"/>
        </w:tc>
        <w:tc>
          <w:tcPr>
            <w:tcW w:w="3006" w:type="dxa"/>
          </w:tcPr>
          <w:p w14:paraId="43AE2473" w14:textId="77777777" w:rsidR="009B11EA" w:rsidRDefault="009B11EA" w:rsidP="009B11EA"/>
        </w:tc>
      </w:tr>
    </w:tbl>
    <w:p w14:paraId="7B7C4051" w14:textId="77777777" w:rsidR="009B11EA" w:rsidRDefault="009B11EA" w:rsidP="009B11EA"/>
    <w:p w14:paraId="68BC5E4E" w14:textId="77777777" w:rsidR="009B11EA" w:rsidRDefault="009B11EA" w:rsidP="009B11EA"/>
    <w:p w14:paraId="770B159D" w14:textId="32875E1D" w:rsidR="00752AC2" w:rsidRDefault="00752AC2">
      <w:pPr>
        <w:jc w:val="left"/>
      </w:pPr>
      <w:r>
        <w:br w:type="page"/>
      </w:r>
    </w:p>
    <w:p w14:paraId="2CB13716" w14:textId="77904E9D" w:rsidR="008454BD" w:rsidRDefault="008454BD" w:rsidP="008454BD">
      <w:pPr>
        <w:pStyle w:val="Heading2"/>
      </w:pPr>
      <w:bookmarkStart w:id="7" w:name="_Toc140145265"/>
      <w:r>
        <w:lastRenderedPageBreak/>
        <w:t>8 Additional materials for scatterplots</w:t>
      </w:r>
      <w:bookmarkEnd w:id="7"/>
    </w:p>
    <w:p w14:paraId="12991EB8" w14:textId="48D0CD4F" w:rsidR="008454BD" w:rsidRDefault="00752AC2" w:rsidP="009B11EA">
      <w:r>
        <w:t xml:space="preserve">After </w:t>
      </w:r>
      <w:r w:rsidR="008454BD">
        <w:t>estimating these regression models</w:t>
      </w:r>
      <w:r>
        <w:t xml:space="preserve">, we </w:t>
      </w:r>
      <w:r w:rsidR="008454BD">
        <w:t xml:space="preserve">exponentiated the original coefficients to work with odds ratios. Table 6 summarizes the odds ratio coefficient of each variable and reports its significance. These data, together with those reported in Table </w:t>
      </w:r>
      <w:r w:rsidR="008454BD" w:rsidRPr="008454BD">
        <w:t>2</w:t>
      </w:r>
      <w:r w:rsidR="008454BD">
        <w:t xml:space="preserve"> of Supplement S1 (</w:t>
      </w:r>
      <w:r w:rsidR="008454BD" w:rsidRPr="008454BD">
        <w:t xml:space="preserve">Strength and Degree </w:t>
      </w:r>
      <w:r w:rsidR="008454BD">
        <w:t xml:space="preserve">Centrality), are the input for the scatterplot shown in the main article (Figure 4: </w:t>
      </w:r>
      <w:r w:rsidR="008454BD" w:rsidRPr="008454BD">
        <w:t>Scatterplot between Strength and regression coefficient</w:t>
      </w:r>
      <w:r w:rsidR="008454BD">
        <w:t xml:space="preserve">). </w:t>
      </w:r>
    </w:p>
    <w:p w14:paraId="6B2580B6" w14:textId="77777777" w:rsidR="009B11EA" w:rsidRPr="00917D03" w:rsidRDefault="009B11EA" w:rsidP="009B11EA"/>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03"/>
        <w:gridCol w:w="1803"/>
        <w:gridCol w:w="1803"/>
      </w:tblGrid>
      <w:tr w:rsidR="009B11EA" w:rsidRPr="00B10304" w14:paraId="42245424" w14:textId="77777777" w:rsidTr="008454BD">
        <w:trPr>
          <w:jc w:val="center"/>
        </w:trPr>
        <w:tc>
          <w:tcPr>
            <w:tcW w:w="5409" w:type="dxa"/>
            <w:gridSpan w:val="3"/>
            <w:tcBorders>
              <w:top w:val="nil"/>
              <w:bottom w:val="single" w:sz="18" w:space="0" w:color="auto"/>
            </w:tcBorders>
          </w:tcPr>
          <w:p w14:paraId="18C7C02E" w14:textId="1AD61BF4" w:rsidR="009B11EA" w:rsidRPr="008454BD" w:rsidRDefault="009B11EA" w:rsidP="00914C4B">
            <w:pPr>
              <w:jc w:val="center"/>
              <w:rPr>
                <w:b/>
                <w:bCs/>
              </w:rPr>
            </w:pPr>
            <w:r w:rsidRPr="008454BD">
              <w:rPr>
                <w:b/>
                <w:bCs/>
              </w:rPr>
              <w:t xml:space="preserve">Table </w:t>
            </w:r>
            <w:r w:rsidR="008454BD">
              <w:rPr>
                <w:b/>
                <w:bCs/>
              </w:rPr>
              <w:t>6</w:t>
            </w:r>
            <w:r w:rsidRPr="008454BD">
              <w:rPr>
                <w:b/>
                <w:bCs/>
              </w:rPr>
              <w:t>: summary of odds ratio coefficients</w:t>
            </w:r>
          </w:p>
        </w:tc>
      </w:tr>
      <w:tr w:rsidR="008454BD" w:rsidRPr="00B10304" w14:paraId="37522C05" w14:textId="77777777" w:rsidTr="008454BD">
        <w:trPr>
          <w:jc w:val="center"/>
        </w:trPr>
        <w:tc>
          <w:tcPr>
            <w:tcW w:w="1803" w:type="dxa"/>
            <w:tcBorders>
              <w:top w:val="single" w:sz="18" w:space="0" w:color="auto"/>
            </w:tcBorders>
          </w:tcPr>
          <w:p w14:paraId="7DC6CCDC" w14:textId="5FC84D69" w:rsidR="008454BD" w:rsidRPr="008454BD" w:rsidRDefault="008454BD" w:rsidP="00914C4B">
            <w:pPr>
              <w:rPr>
                <w:i/>
                <w:iCs/>
              </w:rPr>
            </w:pPr>
            <w:r w:rsidRPr="008454BD">
              <w:rPr>
                <w:i/>
                <w:iCs/>
              </w:rPr>
              <w:t>Variable</w:t>
            </w:r>
          </w:p>
        </w:tc>
        <w:tc>
          <w:tcPr>
            <w:tcW w:w="1803" w:type="dxa"/>
            <w:tcBorders>
              <w:top w:val="single" w:sz="18" w:space="0" w:color="auto"/>
            </w:tcBorders>
          </w:tcPr>
          <w:p w14:paraId="4EAE1998" w14:textId="79AAB6E5" w:rsidR="008454BD" w:rsidRPr="008454BD" w:rsidRDefault="008454BD" w:rsidP="00914C4B">
            <w:pPr>
              <w:rPr>
                <w:i/>
                <w:iCs/>
              </w:rPr>
            </w:pPr>
            <w:r w:rsidRPr="008454BD">
              <w:rPr>
                <w:i/>
                <w:iCs/>
              </w:rPr>
              <w:t>Odds ratio</w:t>
            </w:r>
          </w:p>
        </w:tc>
        <w:tc>
          <w:tcPr>
            <w:tcW w:w="1803" w:type="dxa"/>
            <w:tcBorders>
              <w:top w:val="single" w:sz="18" w:space="0" w:color="auto"/>
            </w:tcBorders>
          </w:tcPr>
          <w:p w14:paraId="0818B7DC" w14:textId="0129087E" w:rsidR="008454BD" w:rsidRPr="008454BD" w:rsidRDefault="008454BD" w:rsidP="00914C4B">
            <w:pPr>
              <w:rPr>
                <w:i/>
                <w:iCs/>
              </w:rPr>
            </w:pPr>
            <w:r w:rsidRPr="008454BD">
              <w:rPr>
                <w:i/>
                <w:iCs/>
              </w:rPr>
              <w:t>Significance</w:t>
            </w:r>
          </w:p>
        </w:tc>
      </w:tr>
      <w:tr w:rsidR="009B11EA" w:rsidRPr="00B10304" w14:paraId="778E2FF5" w14:textId="77777777" w:rsidTr="008454BD">
        <w:trPr>
          <w:jc w:val="center"/>
        </w:trPr>
        <w:tc>
          <w:tcPr>
            <w:tcW w:w="1803" w:type="dxa"/>
            <w:tcBorders>
              <w:top w:val="single" w:sz="18" w:space="0" w:color="auto"/>
            </w:tcBorders>
          </w:tcPr>
          <w:p w14:paraId="06BCC219" w14:textId="77777777" w:rsidR="009B11EA" w:rsidRPr="00B10304" w:rsidRDefault="009B11EA" w:rsidP="00914C4B">
            <w:r w:rsidRPr="00B10304">
              <w:t>vac_bad</w:t>
            </w:r>
          </w:p>
        </w:tc>
        <w:tc>
          <w:tcPr>
            <w:tcW w:w="1803" w:type="dxa"/>
            <w:tcBorders>
              <w:top w:val="single" w:sz="18" w:space="0" w:color="auto"/>
            </w:tcBorders>
          </w:tcPr>
          <w:p w14:paraId="126EE478" w14:textId="77777777" w:rsidR="009B11EA" w:rsidRPr="00B10304" w:rsidRDefault="009B11EA" w:rsidP="00914C4B">
            <w:r w:rsidRPr="00B10304">
              <w:t>3.3883357</w:t>
            </w:r>
          </w:p>
        </w:tc>
        <w:tc>
          <w:tcPr>
            <w:tcW w:w="1803" w:type="dxa"/>
            <w:tcBorders>
              <w:top w:val="single" w:sz="18" w:space="0" w:color="auto"/>
            </w:tcBorders>
          </w:tcPr>
          <w:p w14:paraId="433F8997" w14:textId="77777777" w:rsidR="009B11EA" w:rsidRPr="00B10304" w:rsidRDefault="009B11EA" w:rsidP="00914C4B">
            <w:r w:rsidRPr="00B10304">
              <w:t>Significant</w:t>
            </w:r>
          </w:p>
        </w:tc>
      </w:tr>
      <w:tr w:rsidR="009B11EA" w:rsidRPr="00B10304" w14:paraId="06664188" w14:textId="77777777" w:rsidTr="008454BD">
        <w:trPr>
          <w:jc w:val="center"/>
        </w:trPr>
        <w:tc>
          <w:tcPr>
            <w:tcW w:w="1803" w:type="dxa"/>
          </w:tcPr>
          <w:p w14:paraId="24D2BC7F" w14:textId="77777777" w:rsidR="009B11EA" w:rsidRPr="00B10304" w:rsidRDefault="009B11EA" w:rsidP="00914C4B">
            <w:r w:rsidRPr="00B10304">
              <w:t>vac_free</w:t>
            </w:r>
          </w:p>
        </w:tc>
        <w:tc>
          <w:tcPr>
            <w:tcW w:w="1803" w:type="dxa"/>
          </w:tcPr>
          <w:p w14:paraId="43961C98" w14:textId="77777777" w:rsidR="009B11EA" w:rsidRPr="00B10304" w:rsidRDefault="009B11EA" w:rsidP="00914C4B">
            <w:r w:rsidRPr="00B10304">
              <w:t>5.6708848</w:t>
            </w:r>
          </w:p>
        </w:tc>
        <w:tc>
          <w:tcPr>
            <w:tcW w:w="1803" w:type="dxa"/>
          </w:tcPr>
          <w:p w14:paraId="70D3BF7E" w14:textId="77777777" w:rsidR="009B11EA" w:rsidRPr="00B10304" w:rsidRDefault="009B11EA" w:rsidP="00914C4B">
            <w:r w:rsidRPr="00B10304">
              <w:t>Significant</w:t>
            </w:r>
          </w:p>
        </w:tc>
      </w:tr>
      <w:tr w:rsidR="009B11EA" w:rsidRPr="00B10304" w14:paraId="5E38D207" w14:textId="77777777" w:rsidTr="008454BD">
        <w:trPr>
          <w:jc w:val="center"/>
        </w:trPr>
        <w:tc>
          <w:tcPr>
            <w:tcW w:w="1803" w:type="dxa"/>
          </w:tcPr>
          <w:p w14:paraId="1BECC285" w14:textId="77777777" w:rsidR="009B11EA" w:rsidRPr="00B10304" w:rsidRDefault="009B11EA" w:rsidP="00914C4B">
            <w:r w:rsidRPr="00B10304">
              <w:t>low_worry</w:t>
            </w:r>
          </w:p>
        </w:tc>
        <w:tc>
          <w:tcPr>
            <w:tcW w:w="1803" w:type="dxa"/>
          </w:tcPr>
          <w:p w14:paraId="64EF2010" w14:textId="77777777" w:rsidR="009B11EA" w:rsidRPr="00B10304" w:rsidRDefault="009B11EA" w:rsidP="00914C4B">
            <w:r w:rsidRPr="00B10304">
              <w:t>1.1215813</w:t>
            </w:r>
          </w:p>
        </w:tc>
        <w:tc>
          <w:tcPr>
            <w:tcW w:w="1803" w:type="dxa"/>
          </w:tcPr>
          <w:p w14:paraId="44ADE50C" w14:textId="77777777" w:rsidR="009B11EA" w:rsidRPr="00B10304" w:rsidRDefault="009B11EA" w:rsidP="00914C4B">
            <w:r w:rsidRPr="00B10304">
              <w:t>Not significant</w:t>
            </w:r>
          </w:p>
        </w:tc>
      </w:tr>
      <w:tr w:rsidR="009B11EA" w:rsidRPr="00B10304" w14:paraId="69D777DF" w14:textId="77777777" w:rsidTr="008454BD">
        <w:trPr>
          <w:jc w:val="center"/>
        </w:trPr>
        <w:tc>
          <w:tcPr>
            <w:tcW w:w="1803" w:type="dxa"/>
          </w:tcPr>
          <w:p w14:paraId="44DE3A1F" w14:textId="77777777" w:rsidR="009B11EA" w:rsidRPr="00B10304" w:rsidRDefault="009B11EA" w:rsidP="00914C4B">
            <w:r w:rsidRPr="00B10304">
              <w:t>low_risk</w:t>
            </w:r>
          </w:p>
        </w:tc>
        <w:tc>
          <w:tcPr>
            <w:tcW w:w="1803" w:type="dxa"/>
          </w:tcPr>
          <w:p w14:paraId="1C68A077" w14:textId="77777777" w:rsidR="009B11EA" w:rsidRPr="00B10304" w:rsidRDefault="009B11EA" w:rsidP="00914C4B">
            <w:r w:rsidRPr="00B10304">
              <w:t>1.3108932</w:t>
            </w:r>
          </w:p>
        </w:tc>
        <w:tc>
          <w:tcPr>
            <w:tcW w:w="1803" w:type="dxa"/>
          </w:tcPr>
          <w:p w14:paraId="74E0A99A" w14:textId="77777777" w:rsidR="009B11EA" w:rsidRPr="00B10304" w:rsidRDefault="009B11EA" w:rsidP="00914C4B">
            <w:r w:rsidRPr="00B10304">
              <w:t>Significant</w:t>
            </w:r>
          </w:p>
        </w:tc>
      </w:tr>
      <w:tr w:rsidR="009B11EA" w:rsidRPr="00B10304" w14:paraId="120E3374" w14:textId="77777777" w:rsidTr="008454BD">
        <w:trPr>
          <w:jc w:val="center"/>
        </w:trPr>
        <w:tc>
          <w:tcPr>
            <w:tcW w:w="1803" w:type="dxa"/>
          </w:tcPr>
          <w:p w14:paraId="0A1E9AAE" w14:textId="77777777" w:rsidR="009B11EA" w:rsidRPr="00B10304" w:rsidRDefault="009B11EA" w:rsidP="00914C4B">
            <w:r w:rsidRPr="00B10304">
              <w:t>conspiracy</w:t>
            </w:r>
          </w:p>
        </w:tc>
        <w:tc>
          <w:tcPr>
            <w:tcW w:w="1803" w:type="dxa"/>
          </w:tcPr>
          <w:p w14:paraId="5320B191" w14:textId="77777777" w:rsidR="009B11EA" w:rsidRPr="00B10304" w:rsidRDefault="009B11EA" w:rsidP="00914C4B">
            <w:r w:rsidRPr="00B10304">
              <w:t>5.1779681</w:t>
            </w:r>
          </w:p>
        </w:tc>
        <w:tc>
          <w:tcPr>
            <w:tcW w:w="1803" w:type="dxa"/>
          </w:tcPr>
          <w:p w14:paraId="2848F5E6" w14:textId="77777777" w:rsidR="009B11EA" w:rsidRPr="00B10304" w:rsidRDefault="009B11EA" w:rsidP="00914C4B">
            <w:r w:rsidRPr="00B10304">
              <w:t>Significant</w:t>
            </w:r>
          </w:p>
        </w:tc>
      </w:tr>
      <w:tr w:rsidR="009B11EA" w:rsidRPr="00B10304" w14:paraId="66D0C2C2" w14:textId="77777777" w:rsidTr="008454BD">
        <w:trPr>
          <w:jc w:val="center"/>
        </w:trPr>
        <w:tc>
          <w:tcPr>
            <w:tcW w:w="1803" w:type="dxa"/>
          </w:tcPr>
          <w:p w14:paraId="45D893C6" w14:textId="77777777" w:rsidR="009B11EA" w:rsidRPr="00B10304" w:rsidRDefault="009B11EA" w:rsidP="00914C4B">
            <w:r w:rsidRPr="00B10304">
              <w:t>nat</w:t>
            </w:r>
          </w:p>
        </w:tc>
        <w:tc>
          <w:tcPr>
            <w:tcW w:w="1803" w:type="dxa"/>
          </w:tcPr>
          <w:p w14:paraId="20A9FA55" w14:textId="77777777" w:rsidR="009B11EA" w:rsidRPr="00B10304" w:rsidRDefault="009B11EA" w:rsidP="00914C4B">
            <w:r w:rsidRPr="00B10304">
              <w:t>1.3207578</w:t>
            </w:r>
          </w:p>
        </w:tc>
        <w:tc>
          <w:tcPr>
            <w:tcW w:w="1803" w:type="dxa"/>
          </w:tcPr>
          <w:p w14:paraId="33F55BD5" w14:textId="77777777" w:rsidR="009B11EA" w:rsidRPr="00B10304" w:rsidRDefault="009B11EA" w:rsidP="00914C4B">
            <w:r w:rsidRPr="00B10304">
              <w:t>Significant</w:t>
            </w:r>
          </w:p>
        </w:tc>
      </w:tr>
      <w:tr w:rsidR="009B11EA" w:rsidRPr="00B10304" w14:paraId="70D01370" w14:textId="77777777" w:rsidTr="008454BD">
        <w:trPr>
          <w:jc w:val="center"/>
        </w:trPr>
        <w:tc>
          <w:tcPr>
            <w:tcW w:w="1803" w:type="dxa"/>
          </w:tcPr>
          <w:p w14:paraId="71CC7825" w14:textId="77777777" w:rsidR="009B11EA" w:rsidRPr="00B10304" w:rsidRDefault="009B11EA" w:rsidP="00914C4B">
            <w:r w:rsidRPr="00B10304">
              <w:t>int_locus</w:t>
            </w:r>
          </w:p>
        </w:tc>
        <w:tc>
          <w:tcPr>
            <w:tcW w:w="1803" w:type="dxa"/>
          </w:tcPr>
          <w:p w14:paraId="4C2A2451" w14:textId="77777777" w:rsidR="009B11EA" w:rsidRPr="00B10304" w:rsidRDefault="009B11EA" w:rsidP="00914C4B">
            <w:r w:rsidRPr="00B10304">
              <w:t>0.7773671</w:t>
            </w:r>
          </w:p>
        </w:tc>
        <w:tc>
          <w:tcPr>
            <w:tcW w:w="1803" w:type="dxa"/>
          </w:tcPr>
          <w:p w14:paraId="07C02174" w14:textId="77777777" w:rsidR="009B11EA" w:rsidRPr="00B10304" w:rsidRDefault="009B11EA" w:rsidP="00914C4B">
            <w:r w:rsidRPr="00B10304">
              <w:t>Significant</w:t>
            </w:r>
          </w:p>
        </w:tc>
      </w:tr>
      <w:tr w:rsidR="009B11EA" w:rsidRPr="00B10304" w14:paraId="1BA39E83" w14:textId="77777777" w:rsidTr="008454BD">
        <w:trPr>
          <w:jc w:val="center"/>
        </w:trPr>
        <w:tc>
          <w:tcPr>
            <w:tcW w:w="1803" w:type="dxa"/>
          </w:tcPr>
          <w:p w14:paraId="7986A7A5" w14:textId="77777777" w:rsidR="009B11EA" w:rsidRPr="00B10304" w:rsidRDefault="009B11EA" w:rsidP="00914C4B">
            <w:r w:rsidRPr="00B10304">
              <w:t>low_col_resp</w:t>
            </w:r>
          </w:p>
        </w:tc>
        <w:tc>
          <w:tcPr>
            <w:tcW w:w="1803" w:type="dxa"/>
          </w:tcPr>
          <w:p w14:paraId="3DDA5DCD" w14:textId="77777777" w:rsidR="009B11EA" w:rsidRPr="00B10304" w:rsidRDefault="009B11EA" w:rsidP="00914C4B">
            <w:r w:rsidRPr="00B10304">
              <w:t>1.2379600</w:t>
            </w:r>
          </w:p>
        </w:tc>
        <w:tc>
          <w:tcPr>
            <w:tcW w:w="1803" w:type="dxa"/>
          </w:tcPr>
          <w:p w14:paraId="7D4D5ADC" w14:textId="77777777" w:rsidR="009B11EA" w:rsidRPr="00B10304" w:rsidRDefault="009B11EA" w:rsidP="00914C4B">
            <w:r w:rsidRPr="00B10304">
              <w:t>Significant</w:t>
            </w:r>
          </w:p>
        </w:tc>
      </w:tr>
      <w:tr w:rsidR="009B11EA" w:rsidRPr="00B10304" w14:paraId="5B02ACA1" w14:textId="77777777" w:rsidTr="008454BD">
        <w:trPr>
          <w:jc w:val="center"/>
        </w:trPr>
        <w:tc>
          <w:tcPr>
            <w:tcW w:w="1803" w:type="dxa"/>
          </w:tcPr>
          <w:p w14:paraId="6F04D357" w14:textId="77777777" w:rsidR="009B11EA" w:rsidRPr="00B10304" w:rsidRDefault="009B11EA" w:rsidP="00914C4B">
            <w:r w:rsidRPr="00B10304">
              <w:t>PTV_L</w:t>
            </w:r>
          </w:p>
        </w:tc>
        <w:tc>
          <w:tcPr>
            <w:tcW w:w="1803" w:type="dxa"/>
          </w:tcPr>
          <w:p w14:paraId="272CA2F3" w14:textId="77777777" w:rsidR="009B11EA" w:rsidRPr="00B10304" w:rsidRDefault="009B11EA" w:rsidP="00914C4B">
            <w:r w:rsidRPr="00B10304">
              <w:t>1.1313915</w:t>
            </w:r>
          </w:p>
        </w:tc>
        <w:tc>
          <w:tcPr>
            <w:tcW w:w="1803" w:type="dxa"/>
          </w:tcPr>
          <w:p w14:paraId="7673FECB" w14:textId="77777777" w:rsidR="009B11EA" w:rsidRPr="00B10304" w:rsidRDefault="009B11EA" w:rsidP="00914C4B">
            <w:r w:rsidRPr="00B10304">
              <w:t>Significant</w:t>
            </w:r>
          </w:p>
        </w:tc>
      </w:tr>
      <w:tr w:rsidR="009B11EA" w:rsidRPr="00B10304" w14:paraId="2C649FE3" w14:textId="77777777" w:rsidTr="008454BD">
        <w:trPr>
          <w:jc w:val="center"/>
        </w:trPr>
        <w:tc>
          <w:tcPr>
            <w:tcW w:w="1803" w:type="dxa"/>
          </w:tcPr>
          <w:p w14:paraId="10A57222" w14:textId="77777777" w:rsidR="009B11EA" w:rsidRPr="00B10304" w:rsidRDefault="009B11EA" w:rsidP="00914C4B">
            <w:r w:rsidRPr="00B10304">
              <w:t>PTV_5SM</w:t>
            </w:r>
          </w:p>
        </w:tc>
        <w:tc>
          <w:tcPr>
            <w:tcW w:w="1803" w:type="dxa"/>
          </w:tcPr>
          <w:p w14:paraId="36184D6E" w14:textId="77777777" w:rsidR="009B11EA" w:rsidRPr="00B10304" w:rsidRDefault="009B11EA" w:rsidP="00914C4B">
            <w:r w:rsidRPr="00B10304">
              <w:t>0.9810478</w:t>
            </w:r>
          </w:p>
        </w:tc>
        <w:tc>
          <w:tcPr>
            <w:tcW w:w="1803" w:type="dxa"/>
          </w:tcPr>
          <w:p w14:paraId="5D5F4EF3" w14:textId="77777777" w:rsidR="009B11EA" w:rsidRPr="00B10304" w:rsidRDefault="009B11EA" w:rsidP="00914C4B">
            <w:r w:rsidRPr="00B10304">
              <w:t>Not significant</w:t>
            </w:r>
          </w:p>
        </w:tc>
      </w:tr>
      <w:tr w:rsidR="009B11EA" w:rsidRPr="00B10304" w14:paraId="7998FA99" w14:textId="77777777" w:rsidTr="008454BD">
        <w:trPr>
          <w:jc w:val="center"/>
        </w:trPr>
        <w:tc>
          <w:tcPr>
            <w:tcW w:w="1803" w:type="dxa"/>
          </w:tcPr>
          <w:p w14:paraId="2B56989D" w14:textId="77777777" w:rsidR="009B11EA" w:rsidRPr="00B10304" w:rsidRDefault="009B11EA" w:rsidP="00914C4B">
            <w:r w:rsidRPr="00B10304">
              <w:t>PTV_BOI</w:t>
            </w:r>
          </w:p>
        </w:tc>
        <w:tc>
          <w:tcPr>
            <w:tcW w:w="1803" w:type="dxa"/>
          </w:tcPr>
          <w:p w14:paraId="34298E03" w14:textId="77777777" w:rsidR="009B11EA" w:rsidRPr="00B10304" w:rsidRDefault="009B11EA" w:rsidP="00914C4B">
            <w:r w:rsidRPr="00B10304">
              <w:t>1.1476554</w:t>
            </w:r>
          </w:p>
        </w:tc>
        <w:tc>
          <w:tcPr>
            <w:tcW w:w="1803" w:type="dxa"/>
          </w:tcPr>
          <w:p w14:paraId="3939CDCD" w14:textId="77777777" w:rsidR="009B11EA" w:rsidRPr="00B10304" w:rsidRDefault="009B11EA" w:rsidP="00914C4B">
            <w:r w:rsidRPr="00B10304">
              <w:t>Significant</w:t>
            </w:r>
          </w:p>
        </w:tc>
      </w:tr>
      <w:tr w:rsidR="009B11EA" w:rsidRPr="00B10304" w14:paraId="3401697D" w14:textId="77777777" w:rsidTr="008454BD">
        <w:trPr>
          <w:jc w:val="center"/>
        </w:trPr>
        <w:tc>
          <w:tcPr>
            <w:tcW w:w="1803" w:type="dxa"/>
          </w:tcPr>
          <w:p w14:paraId="7CD2CA92" w14:textId="77777777" w:rsidR="009B11EA" w:rsidRPr="00B10304" w:rsidRDefault="009B11EA" w:rsidP="00914C4B">
            <w:r w:rsidRPr="00B10304">
              <w:t>distrust_sci</w:t>
            </w:r>
          </w:p>
        </w:tc>
        <w:tc>
          <w:tcPr>
            <w:tcW w:w="1803" w:type="dxa"/>
          </w:tcPr>
          <w:p w14:paraId="3DB24125" w14:textId="77777777" w:rsidR="009B11EA" w:rsidRPr="00B10304" w:rsidRDefault="009B11EA" w:rsidP="00914C4B">
            <w:r w:rsidRPr="00B10304">
              <w:t>3.3740932</w:t>
            </w:r>
          </w:p>
        </w:tc>
        <w:tc>
          <w:tcPr>
            <w:tcW w:w="1803" w:type="dxa"/>
          </w:tcPr>
          <w:p w14:paraId="7A79F6E3" w14:textId="77777777" w:rsidR="009B11EA" w:rsidRPr="00B10304" w:rsidRDefault="009B11EA" w:rsidP="00914C4B">
            <w:r w:rsidRPr="00B10304">
              <w:t>Significant</w:t>
            </w:r>
          </w:p>
        </w:tc>
      </w:tr>
      <w:tr w:rsidR="009B11EA" w:rsidRPr="00B10304" w14:paraId="323537E2" w14:textId="77777777" w:rsidTr="008454BD">
        <w:trPr>
          <w:jc w:val="center"/>
        </w:trPr>
        <w:tc>
          <w:tcPr>
            <w:tcW w:w="1803" w:type="dxa"/>
          </w:tcPr>
          <w:p w14:paraId="3538A006" w14:textId="77777777" w:rsidR="009B11EA" w:rsidRPr="00B10304" w:rsidRDefault="009B11EA" w:rsidP="00914C4B">
            <w:r w:rsidRPr="00B10304">
              <w:t>pray</w:t>
            </w:r>
          </w:p>
        </w:tc>
        <w:tc>
          <w:tcPr>
            <w:tcW w:w="1803" w:type="dxa"/>
          </w:tcPr>
          <w:p w14:paraId="585FE82F" w14:textId="77777777" w:rsidR="009B11EA" w:rsidRPr="00B10304" w:rsidRDefault="009B11EA" w:rsidP="00914C4B">
            <w:r w:rsidRPr="00B10304">
              <w:t>0.7902768</w:t>
            </w:r>
          </w:p>
        </w:tc>
        <w:tc>
          <w:tcPr>
            <w:tcW w:w="1803" w:type="dxa"/>
          </w:tcPr>
          <w:p w14:paraId="725B4364" w14:textId="77777777" w:rsidR="009B11EA" w:rsidRPr="00B10304" w:rsidRDefault="009B11EA" w:rsidP="00914C4B">
            <w:r w:rsidRPr="00B10304">
              <w:t>Not significant</w:t>
            </w:r>
          </w:p>
        </w:tc>
      </w:tr>
      <w:tr w:rsidR="009B11EA" w:rsidRPr="00B10304" w14:paraId="79A2C991" w14:textId="77777777" w:rsidTr="008454BD">
        <w:trPr>
          <w:jc w:val="center"/>
        </w:trPr>
        <w:tc>
          <w:tcPr>
            <w:tcW w:w="1803" w:type="dxa"/>
          </w:tcPr>
          <w:p w14:paraId="3EADA9CD" w14:textId="77777777" w:rsidR="009B11EA" w:rsidRPr="00B10304" w:rsidRDefault="009B11EA" w:rsidP="00914C4B">
            <w:r w:rsidRPr="00B10304">
              <w:t>media</w:t>
            </w:r>
          </w:p>
        </w:tc>
        <w:tc>
          <w:tcPr>
            <w:tcW w:w="1803" w:type="dxa"/>
          </w:tcPr>
          <w:p w14:paraId="2757E901" w14:textId="77777777" w:rsidR="009B11EA" w:rsidRPr="00B10304" w:rsidRDefault="009B11EA" w:rsidP="00914C4B">
            <w:r w:rsidRPr="00B10304">
              <w:t>0.9895658</w:t>
            </w:r>
          </w:p>
        </w:tc>
        <w:tc>
          <w:tcPr>
            <w:tcW w:w="1803" w:type="dxa"/>
          </w:tcPr>
          <w:p w14:paraId="7292826F" w14:textId="77777777" w:rsidR="009B11EA" w:rsidRPr="00B10304" w:rsidRDefault="009B11EA" w:rsidP="00914C4B">
            <w:r w:rsidRPr="00B10304">
              <w:t>Not significant</w:t>
            </w:r>
          </w:p>
        </w:tc>
      </w:tr>
      <w:tr w:rsidR="009B11EA" w:rsidRPr="00B10304" w14:paraId="52B91B51" w14:textId="77777777" w:rsidTr="008454BD">
        <w:trPr>
          <w:jc w:val="center"/>
        </w:trPr>
        <w:tc>
          <w:tcPr>
            <w:tcW w:w="1803" w:type="dxa"/>
          </w:tcPr>
          <w:p w14:paraId="751BB96E" w14:textId="77777777" w:rsidR="009B11EA" w:rsidRPr="00B10304" w:rsidRDefault="009B11EA" w:rsidP="00914C4B">
            <w:r w:rsidRPr="00B10304">
              <w:t>low_comp</w:t>
            </w:r>
          </w:p>
        </w:tc>
        <w:tc>
          <w:tcPr>
            <w:tcW w:w="1803" w:type="dxa"/>
          </w:tcPr>
          <w:p w14:paraId="43A5B79B" w14:textId="77777777" w:rsidR="009B11EA" w:rsidRPr="00B10304" w:rsidRDefault="009B11EA" w:rsidP="00914C4B">
            <w:r w:rsidRPr="00B10304">
              <w:t>1.5665293</w:t>
            </w:r>
          </w:p>
        </w:tc>
        <w:tc>
          <w:tcPr>
            <w:tcW w:w="1803" w:type="dxa"/>
          </w:tcPr>
          <w:p w14:paraId="47819EE2" w14:textId="77777777" w:rsidR="009B11EA" w:rsidRPr="00B10304" w:rsidRDefault="009B11EA" w:rsidP="00914C4B">
            <w:r w:rsidRPr="00B10304">
              <w:t>Significant</w:t>
            </w:r>
          </w:p>
        </w:tc>
      </w:tr>
      <w:tr w:rsidR="009B11EA" w:rsidRPr="00B10304" w14:paraId="0B24459E" w14:textId="77777777" w:rsidTr="008454BD">
        <w:trPr>
          <w:jc w:val="center"/>
        </w:trPr>
        <w:tc>
          <w:tcPr>
            <w:tcW w:w="1803" w:type="dxa"/>
            <w:tcBorders>
              <w:bottom w:val="single" w:sz="4" w:space="0" w:color="auto"/>
            </w:tcBorders>
          </w:tcPr>
          <w:p w14:paraId="2259DCC0" w14:textId="77777777" w:rsidR="009B11EA" w:rsidRPr="00B10304" w:rsidRDefault="009B11EA" w:rsidP="00914C4B">
            <w:r w:rsidRPr="00B10304">
              <w:t>distrust_gov</w:t>
            </w:r>
          </w:p>
        </w:tc>
        <w:tc>
          <w:tcPr>
            <w:tcW w:w="1803" w:type="dxa"/>
            <w:tcBorders>
              <w:bottom w:val="single" w:sz="4" w:space="0" w:color="auto"/>
            </w:tcBorders>
          </w:tcPr>
          <w:p w14:paraId="6C7681EC" w14:textId="77777777" w:rsidR="009B11EA" w:rsidRPr="00B10304" w:rsidRDefault="009B11EA" w:rsidP="00914C4B">
            <w:r w:rsidRPr="00B10304">
              <w:t>1.4257922</w:t>
            </w:r>
          </w:p>
        </w:tc>
        <w:tc>
          <w:tcPr>
            <w:tcW w:w="1803" w:type="dxa"/>
            <w:tcBorders>
              <w:bottom w:val="single" w:sz="4" w:space="0" w:color="auto"/>
            </w:tcBorders>
          </w:tcPr>
          <w:p w14:paraId="19632237" w14:textId="77777777" w:rsidR="009B11EA" w:rsidRPr="00B10304" w:rsidRDefault="009B11EA" w:rsidP="00914C4B">
            <w:r w:rsidRPr="00B10304">
              <w:t>Significant</w:t>
            </w:r>
          </w:p>
        </w:tc>
      </w:tr>
      <w:tr w:rsidR="009B11EA" w14:paraId="6F705D6F" w14:textId="77777777" w:rsidTr="008454BD">
        <w:trPr>
          <w:jc w:val="center"/>
        </w:trPr>
        <w:tc>
          <w:tcPr>
            <w:tcW w:w="1803" w:type="dxa"/>
            <w:tcBorders>
              <w:bottom w:val="single" w:sz="18" w:space="0" w:color="auto"/>
            </w:tcBorders>
          </w:tcPr>
          <w:p w14:paraId="098F6344" w14:textId="77777777" w:rsidR="009B11EA" w:rsidRPr="00B10304" w:rsidRDefault="009B11EA" w:rsidP="00914C4B">
            <w:r w:rsidRPr="00B10304">
              <w:t>distrust_inst</w:t>
            </w:r>
          </w:p>
        </w:tc>
        <w:tc>
          <w:tcPr>
            <w:tcW w:w="1803" w:type="dxa"/>
            <w:tcBorders>
              <w:bottom w:val="single" w:sz="18" w:space="0" w:color="auto"/>
            </w:tcBorders>
          </w:tcPr>
          <w:p w14:paraId="5CDFE944" w14:textId="77777777" w:rsidR="009B11EA" w:rsidRPr="00B10304" w:rsidRDefault="009B11EA" w:rsidP="00914C4B">
            <w:r w:rsidRPr="00B10304">
              <w:t>1.3790392</w:t>
            </w:r>
          </w:p>
        </w:tc>
        <w:tc>
          <w:tcPr>
            <w:tcW w:w="1803" w:type="dxa"/>
            <w:tcBorders>
              <w:bottom w:val="single" w:sz="18" w:space="0" w:color="auto"/>
            </w:tcBorders>
          </w:tcPr>
          <w:p w14:paraId="1504AD13" w14:textId="77777777" w:rsidR="009B11EA" w:rsidRDefault="009B11EA" w:rsidP="00914C4B">
            <w:r w:rsidRPr="00B10304">
              <w:t>Significant</w:t>
            </w:r>
          </w:p>
        </w:tc>
      </w:tr>
    </w:tbl>
    <w:p w14:paraId="44BD599E" w14:textId="77777777" w:rsidR="009B11EA" w:rsidRDefault="009B11EA" w:rsidP="009B11EA">
      <w:r>
        <w:tab/>
      </w:r>
    </w:p>
    <w:p w14:paraId="0FECC901" w14:textId="74A538BB" w:rsidR="009B11EA" w:rsidRDefault="009B11EA" w:rsidP="009B11EA">
      <w:pPr>
        <w:pStyle w:val="Heading2"/>
      </w:pPr>
    </w:p>
    <w:p w14:paraId="62B71D91" w14:textId="77777777" w:rsidR="00A82D33" w:rsidRDefault="00A82D33">
      <w:pPr>
        <w:jc w:val="left"/>
      </w:pPr>
      <w:r>
        <w:br w:type="page"/>
      </w:r>
    </w:p>
    <w:p w14:paraId="09E7ECC8" w14:textId="7FD67E45" w:rsidR="009B11EA" w:rsidRPr="00A82D33" w:rsidRDefault="009B11EA" w:rsidP="00A82D33">
      <w:pPr>
        <w:jc w:val="center"/>
        <w:rPr>
          <w:b/>
          <w:bCs/>
        </w:rPr>
      </w:pPr>
      <w:r w:rsidRPr="00A82D33">
        <w:rPr>
          <w:b/>
          <w:bCs/>
        </w:rPr>
        <w:lastRenderedPageBreak/>
        <w:t>Figure 10: Scatterplot Degree and Coefficient</w:t>
      </w:r>
    </w:p>
    <w:p w14:paraId="217357BA" w14:textId="77777777" w:rsidR="009B11EA" w:rsidRPr="001A27E8" w:rsidRDefault="009B11EA" w:rsidP="009B11EA">
      <w:r>
        <w:rPr>
          <w:noProof/>
        </w:rPr>
        <w:drawing>
          <wp:inline distT="0" distB="0" distL="0" distR="0" wp14:anchorId="5273D383" wp14:editId="6467243C">
            <wp:extent cx="5731256" cy="3582035"/>
            <wp:effectExtent l="0" t="0" r="0" b="0"/>
            <wp:docPr id="164450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082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256" cy="3582035"/>
                    </a:xfrm>
                    <a:prstGeom prst="rect">
                      <a:avLst/>
                    </a:prstGeom>
                  </pic:spPr>
                </pic:pic>
              </a:graphicData>
            </a:graphic>
          </wp:inline>
        </w:drawing>
      </w:r>
    </w:p>
    <w:p w14:paraId="0627BDC8" w14:textId="77777777" w:rsidR="004833F5" w:rsidRDefault="004833F5" w:rsidP="00A82D33"/>
    <w:p w14:paraId="29F560A7" w14:textId="798F366C" w:rsidR="00A82D33" w:rsidRDefault="00A82D33" w:rsidP="00A82D33">
      <w:r>
        <w:t xml:space="preserve">Figure 10 consists of a scatterplot between odds ratio coefficients and the degree centrality of each node. Once again, we observe a feeble relationship between degree and coefficients that vanishes when </w:t>
      </w:r>
      <w:r w:rsidR="00F06E38">
        <w:t>considering</w:t>
      </w:r>
      <w:r>
        <w:t xml:space="preserve"> the role of the outliers (</w:t>
      </w:r>
      <w:r w:rsidRPr="00476B02">
        <w:rPr>
          <w:i/>
          <w:iCs/>
        </w:rPr>
        <w:t>vac_free</w:t>
      </w:r>
      <w:r>
        <w:t xml:space="preserve">, </w:t>
      </w:r>
      <w:r w:rsidRPr="00476B02">
        <w:rPr>
          <w:i/>
          <w:iCs/>
        </w:rPr>
        <w:t>conspiracy</w:t>
      </w:r>
      <w:r>
        <w:t xml:space="preserve">).  </w:t>
      </w:r>
    </w:p>
    <w:p w14:paraId="4C837CC0" w14:textId="6EF13985" w:rsidR="00A82D33" w:rsidRDefault="00A82D33" w:rsidP="00A82D33">
      <w:pPr>
        <w:rPr>
          <w:rFonts w:eastAsia="Times New Roman"/>
          <w:kern w:val="0"/>
          <w:lang w:eastAsia="en-GB"/>
          <w14:ligatures w14:val="none"/>
        </w:rPr>
      </w:pPr>
      <w:r>
        <w:rPr>
          <w:rFonts w:eastAsia="Times New Roman"/>
          <w:kern w:val="0"/>
          <w:lang w:eastAsia="en-GB"/>
          <w14:ligatures w14:val="none"/>
        </w:rPr>
        <w:t xml:space="preserve"> </w:t>
      </w:r>
    </w:p>
    <w:p w14:paraId="60F92E58" w14:textId="77777777" w:rsidR="009B11EA" w:rsidRDefault="009B11EA" w:rsidP="009B11EA">
      <w:pPr>
        <w:pStyle w:val="Heading2"/>
      </w:pPr>
    </w:p>
    <w:p w14:paraId="0F4860B6" w14:textId="77777777" w:rsidR="00A82D33" w:rsidRDefault="00A82D33">
      <w:pPr>
        <w:jc w:val="left"/>
        <w:rPr>
          <w:rFonts w:asciiTheme="majorHAnsi" w:eastAsiaTheme="majorEastAsia" w:hAnsiTheme="majorHAnsi" w:cstheme="majorBidi"/>
          <w:color w:val="2F5496" w:themeColor="accent1" w:themeShade="BF"/>
          <w:sz w:val="26"/>
          <w:szCs w:val="26"/>
        </w:rPr>
      </w:pPr>
      <w:r>
        <w:br w:type="page"/>
      </w:r>
    </w:p>
    <w:p w14:paraId="1BCFD529" w14:textId="74F0DDCB" w:rsidR="00F96DCF" w:rsidRDefault="00A82D33" w:rsidP="00B5111A">
      <w:pPr>
        <w:pStyle w:val="Heading2"/>
      </w:pPr>
      <w:bookmarkStart w:id="8" w:name="_Toc140145266"/>
      <w:r>
        <w:lastRenderedPageBreak/>
        <w:t xml:space="preserve">9 </w:t>
      </w:r>
      <w:r w:rsidR="00F96DCF">
        <w:t>Robustness analysis</w:t>
      </w:r>
      <w:bookmarkEnd w:id="8"/>
    </w:p>
    <w:p w14:paraId="0B9547EB" w14:textId="41CCEF9C" w:rsidR="00E750B1" w:rsidRDefault="00F96DCF" w:rsidP="00B5111A">
      <w:r w:rsidRPr="00F96DCF">
        <w:t xml:space="preserve">This </w:t>
      </w:r>
      <w:r>
        <w:t xml:space="preserve">section reports the results of several robustness </w:t>
      </w:r>
      <w:r w:rsidR="00A82D33">
        <w:t>analyses</w:t>
      </w:r>
      <w:r>
        <w:t xml:space="preserve"> done with </w:t>
      </w:r>
      <w:r w:rsidRPr="00A82D33">
        <w:rPr>
          <w:i/>
          <w:iCs/>
        </w:rPr>
        <w:t>Bootnet</w:t>
      </w:r>
      <w:r>
        <w:t xml:space="preserve"> </w:t>
      </w:r>
      <w:r>
        <w:fldChar w:fldCharType="begin"/>
      </w:r>
      <w:r>
        <w:instrText xml:space="preserve"> ADDIN ZOTERO_ITEM CSL_CITATION {"citationID":"GNTbvwzE","properties":{"formattedCitation":"(Epskamp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t xml:space="preserve">, and the interested reader is suggested to consult </w:t>
      </w:r>
      <w:r w:rsidR="00A82D33">
        <w:t>this contribution</w:t>
      </w:r>
      <w:r>
        <w:t xml:space="preserve"> for an </w:t>
      </w:r>
      <w:r w:rsidR="00A82D33">
        <w:t>in-depth</w:t>
      </w:r>
      <w:r>
        <w:t xml:space="preserve"> discussion of the methods used. Bootstrap analyses are advised by the reporting standard for </w:t>
      </w:r>
      <w:r w:rsidR="00A82D33">
        <w:t xml:space="preserve">the </w:t>
      </w:r>
      <w:r>
        <w:t xml:space="preserve">psychological network analysis </w:t>
      </w:r>
      <w:r>
        <w:fldChar w:fldCharType="begin"/>
      </w:r>
      <w:r>
        <w:instrText xml:space="preserve"> ADDIN ZOTERO_ITEM CSL_CITATION {"citationID":"UYBQwULn","properties":{"formattedCitation":"(Burger et al., 2022)","plainCitation":"(Burger et al., 2022)","noteIndex":0},"citationItems":[{"id":687,"uris":["http://zotero.org/users/10425122/items/LSDGMPZI"],"itemData":{"id":687,"type":"article-journal","abstract":"Statistical network models describing multivariate dependency structures in psychological data have gained increasing popularity. Such comparably novel statistical techniques require specific guidelines to make them accessible to the research community. So far, researchers have provided tutorials guiding the estimation of networks and their accuracy. However, there is currently little guidance in determining what parts of the analyses and results should be documented in a scientific report. A lack of such reporting standards may foster researcher degrees of freedom and could provide fertile ground for questionable reporting practices. Here, we introduce reporting standards for network analyses in cross-sectional data, along with a tutorial and two examples. The presented guidelines are aimed at researchers as well as the broader scientific community, such as reviewers and journal editors evaluating scientific work. We conclude by discussing how the network literature specifically can benefit from such guidelines for reporting and transparency.","container-title":"Psychological Methods","DOI":"10.1037/met0000471","ISSN":"1082-989X","note":"PMID: 35404629","title":"Reporting Standards for Psychological Network Analyses in Cross-Sectional Data","author":[{"family":"Burger","given":"Julian"},{"family":"Isvoranu","given":"Adela-Maria"},{"family":"Lunansky","given":"Gabriela"},{"family":"Haslbeck","given":"Jonas M. B."},{"family":"Epskamp","given":"Sacha"},{"family":"Hoekstra","given":"Ria H. A."},{"family":"Fried","given":"Eiko I."},{"family":"Borsboom","given":"Denny"},{"family":"Blanken","given":"Tessa F."}],"issued":{"date-parts":[["2022"]]}}}],"schema":"https://github.com/citation-style-language/schema/raw/master/csl-citation.json"} </w:instrText>
      </w:r>
      <w:r>
        <w:fldChar w:fldCharType="separate"/>
      </w:r>
      <w:r>
        <w:rPr>
          <w:noProof/>
        </w:rPr>
        <w:t>(Burger et al., 2022)</w:t>
      </w:r>
      <w:r>
        <w:fldChar w:fldCharType="end"/>
      </w:r>
      <w:r>
        <w:t xml:space="preserve">. </w:t>
      </w:r>
    </w:p>
    <w:p w14:paraId="61F094F9" w14:textId="77777777" w:rsidR="00E750B1" w:rsidRDefault="00E750B1" w:rsidP="00B5111A"/>
    <w:p w14:paraId="50362F95" w14:textId="2E147BDE" w:rsidR="00E750B1" w:rsidRDefault="00E750B1" w:rsidP="00B5111A">
      <w:r w:rsidRPr="00E750B1">
        <w:rPr>
          <w:b/>
          <w:bCs/>
        </w:rPr>
        <w:t>Nonparametric</w:t>
      </w:r>
      <w:r w:rsidR="00F96DCF" w:rsidRPr="00E750B1">
        <w:rPr>
          <w:b/>
          <w:bCs/>
        </w:rPr>
        <w:t xml:space="preserve"> </w:t>
      </w:r>
      <w:r w:rsidRPr="00E750B1">
        <w:rPr>
          <w:b/>
          <w:bCs/>
        </w:rPr>
        <w:t>bootstraps</w:t>
      </w:r>
      <w:r w:rsidR="00F96DCF">
        <w:t xml:space="preserve"> allow </w:t>
      </w:r>
      <w:r>
        <w:t xml:space="preserve">building bootstrapped confidence intervals around each </w:t>
      </w:r>
      <w:r w:rsidRPr="00CF1FA3">
        <w:rPr>
          <w:b/>
          <w:bCs/>
        </w:rPr>
        <w:t>edge</w:t>
      </w:r>
      <w:r>
        <w:t xml:space="preserve"> of the network. Note that if a </w:t>
      </w:r>
      <w:r w:rsidR="00A82D33">
        <w:t>bootstrapped</w:t>
      </w:r>
      <w:r>
        <w:t xml:space="preserve"> CI </w:t>
      </w:r>
      <w:r w:rsidRPr="00A82D33">
        <w:rPr>
          <w:i/>
          <w:iCs/>
        </w:rPr>
        <w:t>does</w:t>
      </w:r>
      <w:r>
        <w:t xml:space="preserve"> include zero, this </w:t>
      </w:r>
      <w:r w:rsidRPr="00A82D33">
        <w:rPr>
          <w:i/>
          <w:iCs/>
        </w:rPr>
        <w:t>does not</w:t>
      </w:r>
      <w:r>
        <w:t xml:space="preserve"> imply that a certain edge is statistically </w:t>
      </w:r>
      <w:r w:rsidR="00A82D33">
        <w:t>indistinguishable</w:t>
      </w:r>
      <w:r>
        <w:t xml:space="preserve"> from zero, as LASSO regularization already provided </w:t>
      </w:r>
      <w:r w:rsidR="00A82D33">
        <w:t>information</w:t>
      </w:r>
      <w:r>
        <w:t xml:space="preserve"> about its validity </w:t>
      </w:r>
      <w:r>
        <w:fldChar w:fldCharType="begin"/>
      </w:r>
      <w:r w:rsidR="00C009FE">
        <w:instrText xml:space="preserve"> ADDIN ZOTERO_ITEM CSL_CITATION {"citationID":"QJIGiRjw","properties":{"formattedCitation":"(Epskamp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t>. Figure 5 below reports b</w:t>
      </w:r>
      <w:r w:rsidRPr="00E750B1">
        <w:t xml:space="preserve">ootstrapped confidence intervals </w:t>
      </w:r>
      <w:r w:rsidR="00A82D33">
        <w:t xml:space="preserve">for each </w:t>
      </w:r>
      <w:r w:rsidRPr="00E750B1">
        <w:t>edge</w:t>
      </w:r>
      <w:r w:rsidR="00A82D33">
        <w:t xml:space="preserve"> present in the model</w:t>
      </w:r>
      <w:r w:rsidRPr="00E750B1">
        <w:t xml:space="preserve">. The red line indicates the </w:t>
      </w:r>
      <w:r w:rsidR="00A82D33">
        <w:t xml:space="preserve">point estimates obtained in each subsample, </w:t>
      </w:r>
      <w:r w:rsidRPr="00E750B1">
        <w:t xml:space="preserve">and the gray area </w:t>
      </w:r>
      <w:r w:rsidR="00A82D33">
        <w:t xml:space="preserve">is </w:t>
      </w:r>
      <w:r w:rsidRPr="00E750B1">
        <w:t xml:space="preserve">the </w:t>
      </w:r>
      <w:r w:rsidR="00A82D33">
        <w:t xml:space="preserve">corresponding </w:t>
      </w:r>
      <w:r w:rsidRPr="00E750B1">
        <w:t xml:space="preserve">bootstrapped CI. </w:t>
      </w:r>
      <w:r>
        <w:t>H</w:t>
      </w:r>
      <w:r w:rsidRPr="00E750B1">
        <w:t>orizontal line</w:t>
      </w:r>
      <w:r>
        <w:t>s</w:t>
      </w:r>
      <w:r w:rsidRPr="00E750B1">
        <w:t xml:space="preserve"> represent network</w:t>
      </w:r>
      <w:r>
        <w:t xml:space="preserve"> edges</w:t>
      </w:r>
      <w:r w:rsidRPr="00E750B1">
        <w:t xml:space="preserve">, ordered from the edge with the highest </w:t>
      </w:r>
      <w:r w:rsidR="00A82D33">
        <w:t>edge weight</w:t>
      </w:r>
      <w:r w:rsidRPr="00E750B1">
        <w:t xml:space="preserve"> to the edge with the lowest </w:t>
      </w:r>
      <w:r w:rsidR="00A82D33">
        <w:t>edge weight</w:t>
      </w:r>
      <w:r w:rsidRPr="00E750B1">
        <w:t xml:space="preserve">. </w:t>
      </w:r>
      <w:r w:rsidR="00A82D33">
        <w:t>A higher</w:t>
      </w:r>
      <w:r>
        <w:t xml:space="preserve"> resolution image is made </w:t>
      </w:r>
      <w:r w:rsidR="00A82D33">
        <w:t>available</w:t>
      </w:r>
      <w:r>
        <w:t xml:space="preserve"> in the Github folder “Output/</w:t>
      </w:r>
      <w:r w:rsidR="00A82D33">
        <w:t>Supplement/</w:t>
      </w:r>
      <w:r>
        <w:t xml:space="preserve">robustness”. </w:t>
      </w:r>
    </w:p>
    <w:p w14:paraId="79547DE7" w14:textId="77777777" w:rsidR="00E750B1" w:rsidRDefault="00E750B1" w:rsidP="00B5111A"/>
    <w:p w14:paraId="6F970E4A" w14:textId="23868F15" w:rsidR="00E750B1" w:rsidRDefault="00E750B1" w:rsidP="00B5111A">
      <w:r w:rsidRPr="00E750B1">
        <w:t>Confidence intervals can not be built around centrality metrics, since these values are calculated, and not estimated from the data.</w:t>
      </w:r>
      <w:r>
        <w:t xml:space="preserve"> However, Strength centrality is affected by the uncertainty characterizing the estimation of network edges. Therefore, it is important to </w:t>
      </w:r>
      <w:r w:rsidR="00CF1FA3">
        <w:t>verify</w:t>
      </w:r>
      <w:r>
        <w:t xml:space="preserve"> </w:t>
      </w:r>
      <w:r w:rsidRPr="00E750B1">
        <w:rPr>
          <w:b/>
          <w:bCs/>
        </w:rPr>
        <w:t>Centrality stabilit</w:t>
      </w:r>
      <w:r>
        <w:rPr>
          <w:b/>
          <w:bCs/>
        </w:rPr>
        <w:t xml:space="preserve">y </w:t>
      </w:r>
      <w:r>
        <w:fldChar w:fldCharType="begin"/>
      </w:r>
      <w:r w:rsidR="00C009FE">
        <w:instrText xml:space="preserve"> ADDIN ZOTERO_ITEM CSL_CITATION {"citationID":"eUP6ql88","properties":{"formattedCitation":"(Epskamp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rPr>
          <w:b/>
          <w:bCs/>
        </w:rPr>
        <w:t xml:space="preserve">. </w:t>
      </w:r>
      <w:r w:rsidRPr="00E750B1">
        <w:rPr>
          <w:b/>
          <w:bCs/>
        </w:rPr>
        <w:t xml:space="preserve"> </w:t>
      </w:r>
      <w:r>
        <w:t xml:space="preserve">In </w:t>
      </w:r>
      <w:r w:rsidR="00A82D33" w:rsidRPr="00A82D33">
        <w:rPr>
          <w:i/>
          <w:iCs/>
        </w:rPr>
        <w:t>Bootnet</w:t>
      </w:r>
      <w:r>
        <w:t xml:space="preserve">, this is done by calculating the </w:t>
      </w:r>
      <w:r w:rsidR="00892175">
        <w:t>CS coefficient</w:t>
      </w:r>
      <w:r>
        <w:t xml:space="preserve">. </w:t>
      </w:r>
      <w:r w:rsidR="00CF1FA3">
        <w:t xml:space="preserve">The procedure is a case-dropping bootstrap where rows are dropped randomly from the dataset. At each </w:t>
      </w:r>
      <w:r w:rsidR="00CF1FA3" w:rsidRPr="00B5111A">
        <w:t>bootstrap iteration</w:t>
      </w:r>
      <w:r w:rsidR="00CF1FA3">
        <w:t xml:space="preserve">, the network is re-estimated, and resulting Strength </w:t>
      </w:r>
      <w:r w:rsidR="00A82D33">
        <w:t>scores</w:t>
      </w:r>
      <w:r w:rsidR="00CF1FA3">
        <w:t xml:space="preserve"> are recorded in the process. The CS-coefficient </w:t>
      </w:r>
      <w:r w:rsidR="00A82D33">
        <w:t>represents</w:t>
      </w:r>
      <w:r w:rsidR="00CF1FA3" w:rsidRPr="00CF1FA3">
        <w:t xml:space="preserve"> the maximum proportion of cases that can be dropped, such that with 95 % probability the correlation between original centrality indices and centrality of networks based on subsets is 0.7 or higher</w:t>
      </w:r>
      <w:r w:rsidR="00CF1FA3">
        <w:t xml:space="preserve">. CS values greater than 0.5 are indicative of stable results. We obtain a very high CS score of 0.75. We show the results of the aggregated Strength </w:t>
      </w:r>
      <w:r w:rsidR="00A82D33">
        <w:t xml:space="preserve">stability </w:t>
      </w:r>
      <w:r w:rsidR="00CF1FA3">
        <w:t xml:space="preserve">scores in Figure 6, and we unpack </w:t>
      </w:r>
      <w:r w:rsidR="00A82D33">
        <w:t>these</w:t>
      </w:r>
      <w:r w:rsidR="00CF1FA3">
        <w:t xml:space="preserve"> by node in Figure 7. </w:t>
      </w:r>
      <w:r w:rsidR="00923F09">
        <w:t xml:space="preserve">Again, </w:t>
      </w:r>
      <w:r w:rsidR="00A82D33">
        <w:t>higher-resolution</w:t>
      </w:r>
      <w:r w:rsidR="00923F09">
        <w:t xml:space="preserve"> image</w:t>
      </w:r>
      <w:r w:rsidR="00A82D33">
        <w:t>s</w:t>
      </w:r>
      <w:r w:rsidR="00923F09">
        <w:t xml:space="preserve"> are provided in the Github folder “Output/</w:t>
      </w:r>
      <w:r w:rsidR="00A82D33">
        <w:t>Supplement/</w:t>
      </w:r>
      <w:r w:rsidR="00923F09">
        <w:t>robustness”.</w:t>
      </w:r>
    </w:p>
    <w:p w14:paraId="2702E3BF" w14:textId="77777777" w:rsidR="00923F09" w:rsidRDefault="00923F09" w:rsidP="00B5111A"/>
    <w:p w14:paraId="3C182ADF" w14:textId="2898B543" w:rsidR="00923F09" w:rsidRPr="00E750B1" w:rsidRDefault="00923F09" w:rsidP="00B5111A">
      <w:r>
        <w:t xml:space="preserve">Finally, we execute </w:t>
      </w:r>
      <w:r w:rsidR="00A82D33" w:rsidRPr="00A82D33">
        <w:rPr>
          <w:b/>
          <w:bCs/>
        </w:rPr>
        <w:t>bootstrapped</w:t>
      </w:r>
      <w:r w:rsidRPr="00923F09">
        <w:rPr>
          <w:b/>
          <w:bCs/>
        </w:rPr>
        <w:t xml:space="preserve"> difference tests</w:t>
      </w:r>
      <w:r>
        <w:t xml:space="preserve"> for edges and Strength scores. This </w:t>
      </w:r>
      <w:r w:rsidR="00A82D33">
        <w:t>allows</w:t>
      </w:r>
      <w:r>
        <w:t xml:space="preserve"> us to evaluate </w:t>
      </w:r>
      <w:r w:rsidR="00A82D33">
        <w:t>whether</w:t>
      </w:r>
      <w:r>
        <w:t xml:space="preserve"> a certain edge is statistically stronger than another and </w:t>
      </w:r>
      <w:r w:rsidR="00A82D33">
        <w:t>whether</w:t>
      </w:r>
      <w:r>
        <w:t xml:space="preserve"> a node is more important than others. Results of such a test were already reported in the main text, but Figure 8 and Figure 9 perform tests systematically for edges and centrality </w:t>
      </w:r>
      <w:r w:rsidR="00A82D33">
        <w:t>respectively</w:t>
      </w:r>
      <w:r>
        <w:t xml:space="preserve">. These plots are performed with </w:t>
      </w:r>
      <w:r w:rsidRPr="00923F09">
        <w:t>α = 0.05</w:t>
      </w:r>
      <w:r>
        <w:t>, and g</w:t>
      </w:r>
      <w:r w:rsidRPr="00923F09">
        <w:t xml:space="preserve">ray boxes indicate nodes or edges that do not differ significantly from </w:t>
      </w:r>
      <w:r w:rsidR="00A82D33">
        <w:t>one another</w:t>
      </w:r>
      <w:r>
        <w:t>.</w:t>
      </w:r>
      <w:r w:rsidRPr="00923F09">
        <w:t xml:space="preserve"> </w:t>
      </w:r>
      <w:r>
        <w:t>B</w:t>
      </w:r>
      <w:r w:rsidRPr="00923F09">
        <w:t>lack</w:t>
      </w:r>
      <w:r>
        <w:t xml:space="preserve"> </w:t>
      </w:r>
      <w:r w:rsidRPr="00923F09">
        <w:t xml:space="preserve">boxes represent nodes or edges that do differ significantly from </w:t>
      </w:r>
      <w:r w:rsidR="00A82D33">
        <w:t>one another</w:t>
      </w:r>
      <w:r>
        <w:t xml:space="preserve"> instead</w:t>
      </w:r>
      <w:r w:rsidRPr="00923F09">
        <w:t xml:space="preserve">. </w:t>
      </w:r>
      <w:r w:rsidR="00A82D33">
        <w:t>Blue-colored</w:t>
      </w:r>
      <w:r w:rsidRPr="00923F09">
        <w:t xml:space="preserve"> boxes in </w:t>
      </w:r>
      <w:r>
        <w:t>Figure 8</w:t>
      </w:r>
      <w:r w:rsidRPr="00923F09">
        <w:t xml:space="preserve"> correspond to the </w:t>
      </w:r>
      <w:r>
        <w:t>intensity of the edge</w:t>
      </w:r>
      <w:r w:rsidRPr="00923F09">
        <w:t xml:space="preserve">, and white boxes in </w:t>
      </w:r>
      <w:r>
        <w:t>Figure 9</w:t>
      </w:r>
      <w:r w:rsidRPr="00923F09">
        <w:t xml:space="preserve"> show </w:t>
      </w:r>
      <w:r>
        <w:t>S</w:t>
      </w:r>
      <w:r w:rsidRPr="00923F09">
        <w:t>trength</w:t>
      </w:r>
      <w:r>
        <w:t xml:space="preserve"> scores. Note that these tests do not account for multiple testing </w:t>
      </w:r>
      <w:r>
        <w:fldChar w:fldCharType="begin"/>
      </w:r>
      <w:r w:rsidR="00C009FE">
        <w:instrText xml:space="preserve"> ADDIN ZOTERO_ITEM CSL_CITATION {"citationID":"aoPrB3NY","properties":{"formattedCitation":"(Epskamp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t xml:space="preserve">. </w:t>
      </w:r>
    </w:p>
    <w:p w14:paraId="702988AA" w14:textId="77777777" w:rsidR="00E750B1" w:rsidRDefault="00E750B1" w:rsidP="00B5111A"/>
    <w:p w14:paraId="602B2BDB" w14:textId="77777777" w:rsidR="00E750B1" w:rsidRDefault="00E750B1" w:rsidP="00B5111A"/>
    <w:p w14:paraId="3776DFB4" w14:textId="77777777" w:rsidR="00E750B1" w:rsidRDefault="00E750B1" w:rsidP="00B5111A"/>
    <w:p w14:paraId="0EBE0ACD" w14:textId="77777777" w:rsidR="00E750B1" w:rsidRDefault="00E750B1" w:rsidP="00B5111A"/>
    <w:p w14:paraId="461A0ACA" w14:textId="77777777" w:rsidR="00E750B1" w:rsidRDefault="00E750B1" w:rsidP="00B5111A"/>
    <w:p w14:paraId="19FF7B73" w14:textId="77777777" w:rsidR="00E750B1" w:rsidRDefault="00E750B1" w:rsidP="00B5111A"/>
    <w:p w14:paraId="36E78678" w14:textId="77777777" w:rsidR="00E750B1" w:rsidRDefault="00E750B1" w:rsidP="00B5111A"/>
    <w:p w14:paraId="0D3A8446" w14:textId="77777777" w:rsidR="00E750B1" w:rsidRDefault="00E750B1" w:rsidP="00B5111A"/>
    <w:p w14:paraId="7871CF4F" w14:textId="77777777" w:rsidR="00E750B1" w:rsidRDefault="00E750B1" w:rsidP="00B5111A"/>
    <w:p w14:paraId="2F41E1D5" w14:textId="77777777" w:rsidR="00A82D33" w:rsidRDefault="00A82D33" w:rsidP="00B5111A"/>
    <w:p w14:paraId="39E6AD1D" w14:textId="77777777" w:rsidR="00A82D33" w:rsidRDefault="00A82D33">
      <w:pPr>
        <w:jc w:val="left"/>
      </w:pPr>
      <w:r>
        <w:br w:type="page"/>
      </w:r>
    </w:p>
    <w:p w14:paraId="2C3BD5E3" w14:textId="0D81715D" w:rsidR="00E750B1" w:rsidRPr="00A82D33" w:rsidRDefault="00E750B1" w:rsidP="00A82D33">
      <w:pPr>
        <w:jc w:val="center"/>
        <w:rPr>
          <w:b/>
          <w:bCs/>
        </w:rPr>
      </w:pPr>
      <w:r w:rsidRPr="00A82D33">
        <w:rPr>
          <w:b/>
          <w:bCs/>
        </w:rPr>
        <w:lastRenderedPageBreak/>
        <w:t>Figure 5: Bootstrapped CIs</w:t>
      </w:r>
    </w:p>
    <w:p w14:paraId="7FE56B45" w14:textId="77777777" w:rsidR="00CF1FA3" w:rsidRDefault="00E750B1" w:rsidP="00B5111A">
      <w:r>
        <w:rPr>
          <w:noProof/>
        </w:rPr>
        <w:drawing>
          <wp:inline distT="0" distB="0" distL="0" distR="0" wp14:anchorId="7BC1754A" wp14:editId="0898C65A">
            <wp:extent cx="5731328" cy="8023860"/>
            <wp:effectExtent l="0" t="0" r="0" b="2540"/>
            <wp:docPr id="1753220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20637"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28" cy="8023860"/>
                    </a:xfrm>
                    <a:prstGeom prst="rect">
                      <a:avLst/>
                    </a:prstGeom>
                  </pic:spPr>
                </pic:pic>
              </a:graphicData>
            </a:graphic>
          </wp:inline>
        </w:drawing>
      </w:r>
    </w:p>
    <w:p w14:paraId="0BF1ABEB" w14:textId="77777777" w:rsidR="00CF1FA3" w:rsidRDefault="00CF1FA3" w:rsidP="00B5111A">
      <w:r>
        <w:br w:type="page"/>
      </w:r>
    </w:p>
    <w:p w14:paraId="1D660AEE" w14:textId="77777777" w:rsidR="00CF1FA3" w:rsidRPr="00A82D33" w:rsidRDefault="00CF1FA3" w:rsidP="00A82D33">
      <w:pPr>
        <w:jc w:val="center"/>
        <w:rPr>
          <w:b/>
          <w:bCs/>
        </w:rPr>
      </w:pPr>
      <w:r w:rsidRPr="00A82D33">
        <w:rPr>
          <w:b/>
          <w:bCs/>
        </w:rPr>
        <w:lastRenderedPageBreak/>
        <w:t>Figure 6: Aggregated Strength centrality stability</w:t>
      </w:r>
    </w:p>
    <w:p w14:paraId="0DF01F3F" w14:textId="77777777" w:rsidR="00CF1FA3" w:rsidRDefault="00CF1FA3" w:rsidP="00B5111A"/>
    <w:p w14:paraId="0820EB79" w14:textId="4E7479D4" w:rsidR="00A11B53" w:rsidRDefault="00CF1FA3" w:rsidP="00B5111A">
      <w:r>
        <w:rPr>
          <w:noProof/>
        </w:rPr>
        <w:drawing>
          <wp:inline distT="0" distB="0" distL="0" distR="0" wp14:anchorId="0489F980" wp14:editId="751160ED">
            <wp:extent cx="6044915" cy="8462882"/>
            <wp:effectExtent l="0" t="0" r="635" b="0"/>
            <wp:docPr id="1788056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5666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44915" cy="8462882"/>
                    </a:xfrm>
                    <a:prstGeom prst="rect">
                      <a:avLst/>
                    </a:prstGeom>
                  </pic:spPr>
                </pic:pic>
              </a:graphicData>
            </a:graphic>
          </wp:inline>
        </w:drawing>
      </w:r>
    </w:p>
    <w:p w14:paraId="79C5C0C7" w14:textId="6F16EFB2" w:rsidR="00CF1FA3" w:rsidRPr="00A82D33" w:rsidRDefault="00CF1FA3" w:rsidP="00A82D33">
      <w:pPr>
        <w:jc w:val="center"/>
        <w:rPr>
          <w:b/>
          <w:bCs/>
        </w:rPr>
      </w:pPr>
      <w:r w:rsidRPr="00A82D33">
        <w:rPr>
          <w:b/>
          <w:bCs/>
        </w:rPr>
        <w:lastRenderedPageBreak/>
        <w:t>Figure 7: Strength centrality stability of each node</w:t>
      </w:r>
    </w:p>
    <w:p w14:paraId="5218F5E7" w14:textId="77777777" w:rsidR="00CF1FA3" w:rsidRDefault="00CF1FA3" w:rsidP="00B5111A"/>
    <w:p w14:paraId="32FBEE20" w14:textId="4A23908F" w:rsidR="00CF1FA3" w:rsidRDefault="00923F09" w:rsidP="00B5111A">
      <w:r>
        <w:rPr>
          <w:noProof/>
        </w:rPr>
        <w:drawing>
          <wp:inline distT="0" distB="0" distL="0" distR="0" wp14:anchorId="516DA9C5" wp14:editId="0D2B1747">
            <wp:extent cx="5731328" cy="8023860"/>
            <wp:effectExtent l="0" t="0" r="0" b="2540"/>
            <wp:docPr id="2028928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8858"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328" cy="8023860"/>
                    </a:xfrm>
                    <a:prstGeom prst="rect">
                      <a:avLst/>
                    </a:prstGeom>
                  </pic:spPr>
                </pic:pic>
              </a:graphicData>
            </a:graphic>
          </wp:inline>
        </w:drawing>
      </w:r>
      <w:r w:rsidR="00CF1FA3">
        <w:br w:type="page"/>
      </w:r>
    </w:p>
    <w:p w14:paraId="67942205" w14:textId="7FF774E6" w:rsidR="00923F09" w:rsidRPr="00A82D33" w:rsidRDefault="00923F09" w:rsidP="00A82D33">
      <w:pPr>
        <w:jc w:val="center"/>
        <w:rPr>
          <w:b/>
          <w:bCs/>
        </w:rPr>
      </w:pPr>
      <w:r w:rsidRPr="00A82D33">
        <w:rPr>
          <w:b/>
          <w:bCs/>
        </w:rPr>
        <w:lastRenderedPageBreak/>
        <w:t xml:space="preserve">Figure 8: Edge weights </w:t>
      </w:r>
      <w:r w:rsidR="00A82D33">
        <w:rPr>
          <w:b/>
          <w:bCs/>
        </w:rPr>
        <w:t>bootstrapped</w:t>
      </w:r>
      <w:r w:rsidRPr="00A82D33">
        <w:rPr>
          <w:b/>
          <w:bCs/>
        </w:rPr>
        <w:t xml:space="preserve"> difference </w:t>
      </w:r>
      <w:proofErr w:type="gramStart"/>
      <w:r w:rsidRPr="00A82D33">
        <w:rPr>
          <w:b/>
          <w:bCs/>
        </w:rPr>
        <w:t>tests</w:t>
      </w:r>
      <w:proofErr w:type="gramEnd"/>
    </w:p>
    <w:p w14:paraId="1AB3320F" w14:textId="5BCE1460" w:rsidR="00923F09" w:rsidRDefault="00923F09" w:rsidP="00B5111A">
      <w:r>
        <w:rPr>
          <w:noProof/>
        </w:rPr>
        <w:drawing>
          <wp:inline distT="0" distB="0" distL="0" distR="0" wp14:anchorId="0BF082F7" wp14:editId="1CCF89CB">
            <wp:extent cx="6006380" cy="8408933"/>
            <wp:effectExtent l="0" t="0" r="1270" b="0"/>
            <wp:docPr id="1999338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8312"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6380" cy="8408933"/>
                    </a:xfrm>
                    <a:prstGeom prst="rect">
                      <a:avLst/>
                    </a:prstGeom>
                  </pic:spPr>
                </pic:pic>
              </a:graphicData>
            </a:graphic>
          </wp:inline>
        </w:drawing>
      </w:r>
    </w:p>
    <w:p w14:paraId="206AED52" w14:textId="77777777" w:rsidR="00923F09" w:rsidRDefault="00923F09" w:rsidP="00B5111A"/>
    <w:p w14:paraId="2AA83DBE" w14:textId="7AAAB4F5" w:rsidR="00923F09" w:rsidRPr="00A82D33" w:rsidRDefault="00923F09" w:rsidP="00A82D33">
      <w:pPr>
        <w:jc w:val="center"/>
        <w:rPr>
          <w:b/>
          <w:bCs/>
        </w:rPr>
      </w:pPr>
      <w:r w:rsidRPr="00A82D33">
        <w:rPr>
          <w:b/>
          <w:bCs/>
        </w:rPr>
        <w:lastRenderedPageBreak/>
        <w:t xml:space="preserve">Figure 9: Strength </w:t>
      </w:r>
      <w:r w:rsidR="00A82D33">
        <w:rPr>
          <w:b/>
          <w:bCs/>
        </w:rPr>
        <w:t>bootstrapped</w:t>
      </w:r>
      <w:r w:rsidRPr="00A82D33">
        <w:rPr>
          <w:b/>
          <w:bCs/>
        </w:rPr>
        <w:t xml:space="preserve"> difference tests</w:t>
      </w:r>
    </w:p>
    <w:p w14:paraId="7F061F54" w14:textId="15874ECA" w:rsidR="00B10304" w:rsidRDefault="0065390B" w:rsidP="009B11EA">
      <w:r>
        <w:rPr>
          <w:noProof/>
        </w:rPr>
        <w:drawing>
          <wp:inline distT="0" distB="0" distL="0" distR="0" wp14:anchorId="56B8AFC9" wp14:editId="70541AA6">
            <wp:extent cx="5731328" cy="8023860"/>
            <wp:effectExtent l="0" t="0" r="0" b="2540"/>
            <wp:docPr id="1639615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5757"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328" cy="8023860"/>
                    </a:xfrm>
                    <a:prstGeom prst="rect">
                      <a:avLst/>
                    </a:prstGeom>
                  </pic:spPr>
                </pic:pic>
              </a:graphicData>
            </a:graphic>
          </wp:inline>
        </w:drawing>
      </w:r>
      <w:r>
        <w:br w:type="page"/>
      </w:r>
    </w:p>
    <w:p w14:paraId="7908E67B" w14:textId="13748E7E" w:rsidR="00C009FE" w:rsidRDefault="00C009FE" w:rsidP="00C009FE">
      <w:pPr>
        <w:pStyle w:val="Heading2"/>
      </w:pPr>
      <w:bookmarkStart w:id="9" w:name="_Toc140145267"/>
      <w:r>
        <w:lastRenderedPageBreak/>
        <w:t>1</w:t>
      </w:r>
      <w:r w:rsidR="00F06E38">
        <w:t>0</w:t>
      </w:r>
      <w:r>
        <w:t xml:space="preserve"> Replication with subsets of the sample</w:t>
      </w:r>
      <w:bookmarkEnd w:id="9"/>
    </w:p>
    <w:p w14:paraId="3FF38298" w14:textId="2B30512E" w:rsidR="005862FB" w:rsidRDefault="00C009FE" w:rsidP="003B44A3">
      <w:r>
        <w:t xml:space="preserve">We have tested the stability Strength scores, and we calculated </w:t>
      </w:r>
      <w:r w:rsidR="00AC1DA2">
        <w:t>confidence</w:t>
      </w:r>
      <w:r>
        <w:t xml:space="preserve"> </w:t>
      </w:r>
      <w:r w:rsidR="00892175">
        <w:t>intervals</w:t>
      </w:r>
      <w:r>
        <w:t xml:space="preserve"> for each edge in the model. In this final section</w:t>
      </w:r>
      <w:r w:rsidR="00AC1DA2">
        <w:t>,</w:t>
      </w:r>
      <w:r>
        <w:t xml:space="preserve"> we report on an additional robustness check. We randomly split the original sample (N=1540) </w:t>
      </w:r>
      <w:r w:rsidR="00AC1DA2">
        <w:t>into</w:t>
      </w:r>
      <w:r>
        <w:t xml:space="preserve"> two partitions (N=770; N=770). We perform network</w:t>
      </w:r>
      <w:r w:rsidR="00AC1DA2">
        <w:t xml:space="preserve"> </w:t>
      </w:r>
      <w:r>
        <w:t xml:space="preserve">estimation </w:t>
      </w:r>
      <w:r w:rsidR="00AC1DA2">
        <w:t xml:space="preserve">and centrality calculation </w:t>
      </w:r>
      <w:r>
        <w:t xml:space="preserve">within each subsample. We obtain two networks that we compare through the permutation-based Network Comparison Test </w:t>
      </w:r>
      <w:r>
        <w:fldChar w:fldCharType="begin"/>
      </w:r>
      <w:r>
        <w:instrText xml:space="preserve"> ADDIN ZOTERO_ITEM CSL_CITATION {"citationID":"UcXTKcQv","properties":{"formattedCitation":"(Borkulo et al., 2022)","plainCitation":"(Borkulo et al., 2022)","noteIndex":0},"citationItems":[{"id":640,"uris":["http://zotero.org/users/10425122/items/LKF8LHTN"],"itemData":{"id":640,"type":"article-journal","abstract":"Network approaches to psychometric constructs, in which constructs are modeled in terms of interactions between their constituent factors, have rapidly gained popularity in psychology. Applications of such network approaches to various psychological constructs have recently moved from a descriptive stance, in which the goal is to estimate the network structure that pertains to a construct, to a more comparative stance, in which the goal is to compare network structures across populations. However, the statistical tools to do so are lacking. In this article, we present the network comparison test (NCT), which uses resampling-based permutation testing to compare network structures from two independent, cross-sectional data sets on invariance of (a) network structure, (b) edge (connection) strength, and (c) global strength. Performance of NCT is evaluated in simulations that show NCT to perform well in various circumstances for all three tests: The Type I error rate is close to the nominal signiﬁcance level, and power proves sufﬁciently high if sample size and difference between networks are substantial. We illustrate NCT by comparing depression symptom networks of males and females. Possible extensions of NCT are discussed.","container-title":"Psychological Methods","DOI":"10.1037/met0000476","ISSN":"1939-1463","language":"en","title":"Comparing network structures on three aspects: A permutation test.","title-short":"Comparing network structures on three aspects","URL":"http://doi.apa.org/getdoi.cfm?doi=10.1037/met0000476","author":[{"family":"Borkulo","given":"Claudia D.","dropping-particle":"van"},{"family":"Bork","given":"Riet","dropping-particle":"van"},{"family":"Boschloo","given":"Lynn"},{"family":"Kossakowski","given":"Jolanda J."},{"family":"Tio","given":"Pia"},{"family":"Schoevers","given":"Robert A."},{"family":"Borsboom","given":"Denny"},{"family":"Waldorp","given":"Lourens J."}],"issued":{"date-parts":[["2022",4]]}}}],"schema":"https://github.com/citation-style-language/schema/raw/master/csl-citation.json"} </w:instrText>
      </w:r>
      <w:r>
        <w:fldChar w:fldCharType="separate"/>
      </w:r>
      <w:r>
        <w:rPr>
          <w:noProof/>
        </w:rPr>
        <w:t>(Borkulo et al., 2022)</w:t>
      </w:r>
      <w:r>
        <w:fldChar w:fldCharType="end"/>
      </w:r>
      <w:r>
        <w:t xml:space="preserve">. We show that the results of this paper are robust to this strategy since the two Broad Attitude Networks only slightly differ. We perform Network Comparison Test with </w:t>
      </w:r>
      <w:r w:rsidR="003B44A3">
        <w:t>Bonferroni correction, thus accounting for multiple testing</w:t>
      </w:r>
      <w:r>
        <w:t xml:space="preserve">. </w:t>
      </w:r>
    </w:p>
    <w:p w14:paraId="3C4B1D89" w14:textId="77777777" w:rsidR="005862FB" w:rsidRDefault="005862FB">
      <w:pPr>
        <w:jc w:val="left"/>
      </w:pPr>
    </w:p>
    <w:p w14:paraId="58217EF3" w14:textId="272B4318" w:rsidR="005862FB" w:rsidRDefault="005862FB" w:rsidP="005862FB">
      <w:r>
        <w:t xml:space="preserve">Figure 11 on </w:t>
      </w:r>
      <w:r w:rsidR="00892175">
        <w:t xml:space="preserve">the </w:t>
      </w:r>
      <w:r>
        <w:t xml:space="preserve">next page offers a visualization of the results of the network comparison tests. The plot is composed of the same nodes of the Broad Attitude Network. Edges are drawn when the test </w:t>
      </w:r>
      <w:r w:rsidR="00892175">
        <w:t>finds</w:t>
      </w:r>
      <w:r>
        <w:t xml:space="preserve"> a difference between the weighted </w:t>
      </w:r>
      <w:r w:rsidR="00892175">
        <w:t>adjacency</w:t>
      </w:r>
      <w:r>
        <w:t xml:space="preserve"> matrixes of the two subsamples that </w:t>
      </w:r>
      <w:r w:rsidR="00D66F71">
        <w:t>are</w:t>
      </w:r>
      <w:r>
        <w:t xml:space="preserve"> statistically significant. Red [Green] edges represent ties that are stronger in the first [second] subsample. </w:t>
      </w:r>
      <w:r w:rsidR="009414F0">
        <w:t xml:space="preserve">The entity of these variations is reported </w:t>
      </w:r>
      <w:r w:rsidR="00892175">
        <w:t>next to each edge</w:t>
      </w:r>
      <w:r w:rsidR="009414F0">
        <w:t xml:space="preserve">. These differences are </w:t>
      </w:r>
      <w:r w:rsidR="00D66F71">
        <w:t>very tiny since NCT only finds one edge differing in a statistically significant way between the networks estimated on the two random subsamples.</w:t>
      </w:r>
      <w:r w:rsidR="00892175">
        <w:t xml:space="preserve"> </w:t>
      </w:r>
      <w:r w:rsidR="00D66F71">
        <w:t>Moreover, n</w:t>
      </w:r>
      <w:r w:rsidR="00892175">
        <w:t xml:space="preserve">ote that </w:t>
      </w:r>
      <w:r w:rsidR="00892175" w:rsidRPr="00892175">
        <w:rPr>
          <w:i/>
          <w:iCs/>
        </w:rPr>
        <w:t>hesitancy</w:t>
      </w:r>
      <w:r w:rsidR="00892175">
        <w:t xml:space="preserve"> and </w:t>
      </w:r>
      <w:r w:rsidR="00892175" w:rsidRPr="00892175">
        <w:rPr>
          <w:i/>
          <w:iCs/>
        </w:rPr>
        <w:t>conspiracy</w:t>
      </w:r>
      <w:r w:rsidR="00892175">
        <w:t xml:space="preserve">, the nodes on which the article focuses the most, do not interact </w:t>
      </w:r>
      <w:r w:rsidR="004833F5">
        <w:t>differently</w:t>
      </w:r>
      <w:r w:rsidR="00892175">
        <w:t xml:space="preserve"> with other variables in the two subsamples. This reaffirms the stability of the results. </w:t>
      </w:r>
      <w:r w:rsidR="00D66F71">
        <w:t>In Section 2 of Supplement S2</w:t>
      </w:r>
      <w:r w:rsidR="00376CA7">
        <w:t xml:space="preserve"> (paragraph “</w:t>
      </w:r>
      <w:r w:rsidR="00376CA7" w:rsidRPr="00376CA7">
        <w:t>Additional robustness check</w:t>
      </w:r>
      <w:r w:rsidR="00376CA7">
        <w:t>”</w:t>
      </w:r>
      <w:r w:rsidR="00376CA7" w:rsidRPr="00376CA7">
        <w:t>)</w:t>
      </w:r>
      <w:r w:rsidR="00376CA7">
        <w:t>,</w:t>
      </w:r>
      <w:r w:rsidR="00D66F71">
        <w:t xml:space="preserve"> we show that no differences emerge regarding Strength centrality scores. Some point estimates do change across the networks, but these results are not statistically significant. </w:t>
      </w:r>
    </w:p>
    <w:p w14:paraId="39360005" w14:textId="77777777" w:rsidR="005862FB" w:rsidRDefault="005862FB">
      <w:pPr>
        <w:jc w:val="left"/>
      </w:pPr>
    </w:p>
    <w:p w14:paraId="3E1E4919" w14:textId="77777777" w:rsidR="005862FB" w:rsidRDefault="005862FB">
      <w:pPr>
        <w:jc w:val="left"/>
      </w:pPr>
    </w:p>
    <w:p w14:paraId="007C2C83" w14:textId="77777777" w:rsidR="005862FB" w:rsidRDefault="005862FB">
      <w:pPr>
        <w:jc w:val="left"/>
      </w:pPr>
    </w:p>
    <w:p w14:paraId="250203DE" w14:textId="77777777" w:rsidR="005862FB" w:rsidRDefault="005862FB">
      <w:pPr>
        <w:jc w:val="left"/>
      </w:pPr>
    </w:p>
    <w:p w14:paraId="182BD019" w14:textId="77777777" w:rsidR="005862FB" w:rsidRDefault="005862FB">
      <w:pPr>
        <w:jc w:val="left"/>
      </w:pPr>
    </w:p>
    <w:p w14:paraId="655F89B6" w14:textId="77777777" w:rsidR="005862FB" w:rsidRDefault="005862FB">
      <w:pPr>
        <w:jc w:val="left"/>
      </w:pPr>
    </w:p>
    <w:p w14:paraId="48FB8955" w14:textId="77777777" w:rsidR="005862FB" w:rsidRDefault="005862FB">
      <w:pPr>
        <w:jc w:val="left"/>
      </w:pPr>
    </w:p>
    <w:p w14:paraId="7A527CE1" w14:textId="77777777" w:rsidR="005862FB" w:rsidRDefault="005862FB">
      <w:pPr>
        <w:jc w:val="left"/>
      </w:pPr>
    </w:p>
    <w:p w14:paraId="5FBC799F" w14:textId="77777777" w:rsidR="005862FB" w:rsidRDefault="005862FB">
      <w:pPr>
        <w:jc w:val="left"/>
      </w:pPr>
    </w:p>
    <w:p w14:paraId="04267513" w14:textId="77777777" w:rsidR="005862FB" w:rsidRDefault="005862FB">
      <w:pPr>
        <w:jc w:val="left"/>
      </w:pPr>
    </w:p>
    <w:p w14:paraId="2E13CB52" w14:textId="77777777" w:rsidR="005862FB" w:rsidRDefault="005862FB">
      <w:pPr>
        <w:jc w:val="left"/>
      </w:pPr>
    </w:p>
    <w:p w14:paraId="6A9D91CB" w14:textId="77777777" w:rsidR="005862FB" w:rsidRDefault="005862FB">
      <w:pPr>
        <w:jc w:val="left"/>
      </w:pPr>
    </w:p>
    <w:p w14:paraId="204A45BE" w14:textId="77777777" w:rsidR="005862FB" w:rsidRDefault="005862FB">
      <w:pPr>
        <w:jc w:val="left"/>
      </w:pPr>
    </w:p>
    <w:p w14:paraId="41DAF248" w14:textId="77777777" w:rsidR="005862FB" w:rsidRDefault="005862FB">
      <w:pPr>
        <w:jc w:val="left"/>
      </w:pPr>
    </w:p>
    <w:p w14:paraId="2CB0EB33" w14:textId="0BCAC35B" w:rsidR="005862FB" w:rsidRDefault="005862FB">
      <w:pPr>
        <w:jc w:val="left"/>
        <w:rPr>
          <w:b/>
          <w:bCs/>
        </w:rPr>
      </w:pPr>
    </w:p>
    <w:p w14:paraId="50B16F22" w14:textId="77777777" w:rsidR="00892175" w:rsidRDefault="00892175">
      <w:pPr>
        <w:jc w:val="left"/>
        <w:rPr>
          <w:b/>
          <w:bCs/>
        </w:rPr>
      </w:pPr>
      <w:r>
        <w:rPr>
          <w:b/>
          <w:bCs/>
        </w:rPr>
        <w:br w:type="page"/>
      </w:r>
    </w:p>
    <w:p w14:paraId="74D3E3C9" w14:textId="7CB541FD" w:rsidR="00AC1DA2" w:rsidRPr="00892175" w:rsidRDefault="005862FB" w:rsidP="00892175">
      <w:pPr>
        <w:jc w:val="center"/>
        <w:rPr>
          <w:b/>
          <w:bCs/>
        </w:rPr>
      </w:pPr>
      <w:r w:rsidRPr="005862FB">
        <w:rPr>
          <w:b/>
          <w:bCs/>
        </w:rPr>
        <w:lastRenderedPageBreak/>
        <w:t>Figure 10: visualization of Network Comparison Test results</w:t>
      </w:r>
    </w:p>
    <w:p w14:paraId="7AE8E70F" w14:textId="7BD7F7A3" w:rsidR="009414F0" w:rsidRDefault="00892175">
      <w:pPr>
        <w:jc w:val="left"/>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rPr>
        <w:drawing>
          <wp:inline distT="0" distB="0" distL="0" distR="0" wp14:anchorId="359FB545" wp14:editId="026A7690">
            <wp:extent cx="5731510" cy="5731510"/>
            <wp:effectExtent l="0" t="0" r="0" b="0"/>
            <wp:docPr id="842660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6088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6DEC3B8" w14:textId="77777777" w:rsidR="00892175" w:rsidRDefault="00892175">
      <w:pPr>
        <w:jc w:val="left"/>
        <w:rPr>
          <w:rFonts w:asciiTheme="majorHAnsi" w:eastAsiaTheme="majorEastAsia" w:hAnsiTheme="majorHAnsi" w:cstheme="majorBidi"/>
          <w:color w:val="2F5496" w:themeColor="accent1" w:themeShade="BF"/>
          <w:sz w:val="26"/>
          <w:szCs w:val="26"/>
        </w:rPr>
      </w:pPr>
      <w:r>
        <w:br w:type="page"/>
      </w:r>
    </w:p>
    <w:p w14:paraId="178A5223" w14:textId="6E348352" w:rsidR="00F94080" w:rsidRDefault="00F87323" w:rsidP="00917D03">
      <w:pPr>
        <w:pStyle w:val="Heading2"/>
      </w:pPr>
      <w:bookmarkStart w:id="10" w:name="_Toc140145268"/>
      <w:r>
        <w:lastRenderedPageBreak/>
        <w:t>1</w:t>
      </w:r>
      <w:r w:rsidR="00F06E38">
        <w:t>1</w:t>
      </w:r>
      <w:r>
        <w:t xml:space="preserve"> </w:t>
      </w:r>
      <w:r w:rsidR="00480BE7">
        <w:t>Bibliography</w:t>
      </w:r>
      <w:bookmarkEnd w:id="10"/>
    </w:p>
    <w:p w14:paraId="7CD416A9" w14:textId="77777777" w:rsidR="004833F5" w:rsidRPr="004833F5" w:rsidRDefault="004833F5" w:rsidP="004833F5"/>
    <w:p w14:paraId="09A86F02" w14:textId="77777777" w:rsidR="00C009FE" w:rsidRPr="00C009FE" w:rsidRDefault="00480BE7" w:rsidP="00C009FE">
      <w:pPr>
        <w:pStyle w:val="Bibliography"/>
        <w:rPr>
          <w:lang w:val="en-GB"/>
        </w:rPr>
      </w:pPr>
      <w:r>
        <w:rPr>
          <w:rFonts w:asciiTheme="minorHAnsi" w:hAnsiTheme="minorHAnsi" w:cstheme="minorBidi"/>
        </w:rPr>
        <w:fldChar w:fldCharType="begin"/>
      </w:r>
      <w:r>
        <w:instrText xml:space="preserve"> ADDIN ZOTERO_BIBL {"uncited":[],"omitted":[],"custom":[]} CSL_BIBLIOGRAPHY </w:instrText>
      </w:r>
      <w:r>
        <w:rPr>
          <w:rFonts w:asciiTheme="minorHAnsi" w:hAnsiTheme="minorHAnsi" w:cstheme="minorBidi"/>
        </w:rPr>
        <w:fldChar w:fldCharType="separate"/>
      </w:r>
      <w:r w:rsidR="00C009FE" w:rsidRPr="00C009FE">
        <w:rPr>
          <w:lang w:val="en-GB"/>
        </w:rPr>
        <w:t xml:space="preserve">Alabdulla, M., Reagu, S. M., Al‐Khal, A., Elzain, M., &amp; Jones, R. M. (2021). COVID‐19 vaccine hesitancy and attitudes in Qatar: A national cross‐sectional survey of a migrant‐majority population. </w:t>
      </w:r>
      <w:r w:rsidR="00C009FE" w:rsidRPr="00C009FE">
        <w:rPr>
          <w:i/>
          <w:iCs/>
          <w:lang w:val="en-GB"/>
        </w:rPr>
        <w:t>Influenza and Other Respiratory Viruses</w:t>
      </w:r>
      <w:r w:rsidR="00C009FE" w:rsidRPr="00C009FE">
        <w:rPr>
          <w:lang w:val="en-GB"/>
        </w:rPr>
        <w:t xml:space="preserve">, </w:t>
      </w:r>
      <w:r w:rsidR="00C009FE" w:rsidRPr="00C009FE">
        <w:rPr>
          <w:i/>
          <w:iCs/>
          <w:lang w:val="en-GB"/>
        </w:rPr>
        <w:t>15</w:t>
      </w:r>
      <w:r w:rsidR="00C009FE" w:rsidRPr="00C009FE">
        <w:rPr>
          <w:lang w:val="en-GB"/>
        </w:rPr>
        <w:t>(3), 361–370. https://doi.org/10.1111/irv.12847</w:t>
      </w:r>
    </w:p>
    <w:p w14:paraId="1DB7571A" w14:textId="77777777" w:rsidR="00C009FE" w:rsidRPr="00C009FE" w:rsidRDefault="00C009FE" w:rsidP="00C009FE">
      <w:pPr>
        <w:pStyle w:val="Bibliography"/>
        <w:rPr>
          <w:lang w:val="en-GB"/>
        </w:rPr>
      </w:pPr>
      <w:r w:rsidRPr="00C009FE">
        <w:rPr>
          <w:lang w:val="en-GB"/>
        </w:rPr>
        <w:t xml:space="preserve">Attwell, K., Lake, J., Sneddon, J., Gerrans, P., Blyth, C., &amp; Lee, J. (2021). Converting the maybes: Crucial for a successful COVID-19 vaccination strategy. </w:t>
      </w:r>
      <w:r w:rsidRPr="00C009FE">
        <w:rPr>
          <w:i/>
          <w:iCs/>
          <w:lang w:val="en-GB"/>
        </w:rPr>
        <w:t>PLoS ONE</w:t>
      </w:r>
      <w:r w:rsidRPr="00C009FE">
        <w:rPr>
          <w:lang w:val="en-GB"/>
        </w:rPr>
        <w:t xml:space="preserve">, </w:t>
      </w:r>
      <w:r w:rsidRPr="00C009FE">
        <w:rPr>
          <w:i/>
          <w:iCs/>
          <w:lang w:val="en-GB"/>
        </w:rPr>
        <w:t>16</w:t>
      </w:r>
      <w:r w:rsidRPr="00C009FE">
        <w:rPr>
          <w:lang w:val="en-GB"/>
        </w:rPr>
        <w:t>(1), e0245907. https://doi.org/10.1371/journal.pone.0245907</w:t>
      </w:r>
    </w:p>
    <w:p w14:paraId="1D953CD7" w14:textId="77777777" w:rsidR="00C009FE" w:rsidRPr="00C009FE" w:rsidRDefault="00C009FE" w:rsidP="00C009FE">
      <w:pPr>
        <w:pStyle w:val="Bibliography"/>
        <w:rPr>
          <w:lang w:val="it-IT"/>
        </w:rPr>
      </w:pPr>
      <w:r w:rsidRPr="00C009FE">
        <w:rPr>
          <w:lang w:val="en-GB"/>
        </w:rPr>
        <w:t xml:space="preserve">Aw, J., Seng, J. J. B., Seah, S. S. Y., &amp; Low, L. L. (2021). COVID-19 Vaccine Hesitancy—A Scoping Review of Literature in High-Income Countries. </w:t>
      </w:r>
      <w:r w:rsidRPr="00C009FE">
        <w:rPr>
          <w:i/>
          <w:iCs/>
          <w:lang w:val="it-IT"/>
        </w:rPr>
        <w:t>Vaccines</w:t>
      </w:r>
      <w:r w:rsidRPr="00C009FE">
        <w:rPr>
          <w:lang w:val="it-IT"/>
        </w:rPr>
        <w:t xml:space="preserve">, </w:t>
      </w:r>
      <w:r w:rsidRPr="00C009FE">
        <w:rPr>
          <w:i/>
          <w:iCs/>
          <w:lang w:val="it-IT"/>
        </w:rPr>
        <w:t>9</w:t>
      </w:r>
      <w:r w:rsidRPr="00C009FE">
        <w:rPr>
          <w:lang w:val="it-IT"/>
        </w:rPr>
        <w:t>(8), 900. https://doi.org/10.3390/vaccines9080900</w:t>
      </w:r>
    </w:p>
    <w:p w14:paraId="014BC705" w14:textId="77777777" w:rsidR="00C009FE" w:rsidRPr="00C009FE" w:rsidRDefault="00C009FE" w:rsidP="00C009FE">
      <w:pPr>
        <w:pStyle w:val="Bibliography"/>
        <w:rPr>
          <w:lang w:val="en-GB"/>
        </w:rPr>
      </w:pPr>
      <w:r w:rsidRPr="00C009FE">
        <w:rPr>
          <w:lang w:val="it-IT"/>
        </w:rPr>
        <w:t xml:space="preserve">Barello, S., Nania, T., Dellafiore, F., Graffigna, G., &amp; Caruso, R. (2020). </w:t>
      </w:r>
      <w:r w:rsidRPr="00C009FE">
        <w:rPr>
          <w:lang w:val="en-GB"/>
        </w:rPr>
        <w:t xml:space="preserve">‘Vaccine hesitancy’ among university students in Italy during the COVID-19 pandemic. </w:t>
      </w:r>
      <w:r w:rsidRPr="00C009FE">
        <w:rPr>
          <w:i/>
          <w:iCs/>
          <w:lang w:val="en-GB"/>
        </w:rPr>
        <w:t>European Journal of Epidemiology</w:t>
      </w:r>
      <w:r w:rsidRPr="00C009FE">
        <w:rPr>
          <w:lang w:val="en-GB"/>
        </w:rPr>
        <w:t xml:space="preserve">, </w:t>
      </w:r>
      <w:r w:rsidRPr="00C009FE">
        <w:rPr>
          <w:i/>
          <w:iCs/>
          <w:lang w:val="en-GB"/>
        </w:rPr>
        <w:t>35</w:t>
      </w:r>
      <w:r w:rsidRPr="00C009FE">
        <w:rPr>
          <w:lang w:val="en-GB"/>
        </w:rPr>
        <w:t>(8), 781–783. https://doi.org/10.1007/s10654-020-00670-z</w:t>
      </w:r>
    </w:p>
    <w:p w14:paraId="531EC629" w14:textId="77777777" w:rsidR="00C009FE" w:rsidRPr="00C009FE" w:rsidRDefault="00C009FE" w:rsidP="00C009FE">
      <w:pPr>
        <w:pStyle w:val="Bibliography"/>
        <w:rPr>
          <w:lang w:val="en-GB"/>
        </w:rPr>
      </w:pPr>
      <w:r w:rsidRPr="00C009FE">
        <w:rPr>
          <w:lang w:val="en-GB"/>
        </w:rPr>
        <w:t xml:space="preserve">Barrière, J., Gal, J., Hoch, B., Cassuto, O., Leysalle, A., Chamorey, E., &amp; Borchiellini, D. (2021). Acceptance of SARS-CoV-2 vaccination among French patients with cancer: A cross-sectional survey. </w:t>
      </w:r>
      <w:r w:rsidRPr="00C009FE">
        <w:rPr>
          <w:i/>
          <w:iCs/>
          <w:lang w:val="en-GB"/>
        </w:rPr>
        <w:t>Annals of Oncology</w:t>
      </w:r>
      <w:r w:rsidRPr="00C009FE">
        <w:rPr>
          <w:lang w:val="en-GB"/>
        </w:rPr>
        <w:t xml:space="preserve">, </w:t>
      </w:r>
      <w:r w:rsidRPr="00C009FE">
        <w:rPr>
          <w:i/>
          <w:iCs/>
          <w:lang w:val="en-GB"/>
        </w:rPr>
        <w:t>32</w:t>
      </w:r>
      <w:r w:rsidRPr="00C009FE">
        <w:rPr>
          <w:lang w:val="en-GB"/>
        </w:rPr>
        <w:t>(5), 673–674. https://doi.org/10.1016/j.annonc.2021.01.066</w:t>
      </w:r>
    </w:p>
    <w:p w14:paraId="5EA4E757" w14:textId="77777777" w:rsidR="00C009FE" w:rsidRPr="00C009FE" w:rsidRDefault="00C009FE" w:rsidP="00C009FE">
      <w:pPr>
        <w:pStyle w:val="Bibliography"/>
        <w:rPr>
          <w:lang w:val="en-GB"/>
        </w:rPr>
      </w:pPr>
      <w:r w:rsidRPr="00C009FE">
        <w:rPr>
          <w:lang w:val="en-GB"/>
        </w:rPr>
        <w:t xml:space="preserve">Bogart, L. M., Ojikutu, B. O., Tyagi, K., Klein, D. J., Mutchler, M. G., Dong, L., Lawrence, S. J., Thomas, D. R., &amp; Kellman, S. (2021). COVID-19 Related Medical Mistrust, Health Impacts, and Potential Vaccine Hesitancy Among Black Americans Living With HIV. </w:t>
      </w:r>
      <w:r w:rsidRPr="00C009FE">
        <w:rPr>
          <w:i/>
          <w:iCs/>
          <w:lang w:val="en-GB"/>
        </w:rPr>
        <w:t>Journal of Acquired Immune Deficiency Syndromes (1999)</w:t>
      </w:r>
      <w:r w:rsidRPr="00C009FE">
        <w:rPr>
          <w:lang w:val="en-GB"/>
        </w:rPr>
        <w:t xml:space="preserve">, </w:t>
      </w:r>
      <w:r w:rsidRPr="00C009FE">
        <w:rPr>
          <w:i/>
          <w:iCs/>
          <w:lang w:val="en-GB"/>
        </w:rPr>
        <w:t>86</w:t>
      </w:r>
      <w:r w:rsidRPr="00C009FE">
        <w:rPr>
          <w:lang w:val="en-GB"/>
        </w:rPr>
        <w:t>(2), 200–207. https://doi.org/10.1097/qai.0000000000002570</w:t>
      </w:r>
    </w:p>
    <w:p w14:paraId="774BCEBE" w14:textId="77777777" w:rsidR="00C009FE" w:rsidRPr="00C009FE" w:rsidRDefault="00C009FE" w:rsidP="00C009FE">
      <w:pPr>
        <w:pStyle w:val="Bibliography"/>
        <w:rPr>
          <w:lang w:val="en-GB"/>
        </w:rPr>
      </w:pPr>
      <w:r w:rsidRPr="00C009FE">
        <w:rPr>
          <w:lang w:val="en-GB"/>
        </w:rPr>
        <w:lastRenderedPageBreak/>
        <w:t xml:space="preserve">Bokemper, S. E., Huber, G. A., Gerber, A. S., James, E. K., &amp; Omer, S. B. (2021). Timing of COVID-19 vaccine approval and endorsement by public figures. </w:t>
      </w:r>
      <w:r w:rsidRPr="00C009FE">
        <w:rPr>
          <w:i/>
          <w:iCs/>
          <w:lang w:val="en-GB"/>
        </w:rPr>
        <w:t>Vaccine</w:t>
      </w:r>
      <w:r w:rsidRPr="00C009FE">
        <w:rPr>
          <w:lang w:val="en-GB"/>
        </w:rPr>
        <w:t xml:space="preserve">, </w:t>
      </w:r>
      <w:r w:rsidRPr="00C009FE">
        <w:rPr>
          <w:i/>
          <w:iCs/>
          <w:lang w:val="en-GB"/>
        </w:rPr>
        <w:t>39</w:t>
      </w:r>
      <w:r w:rsidRPr="00C009FE">
        <w:rPr>
          <w:lang w:val="en-GB"/>
        </w:rPr>
        <w:t>(5), 825–829. https://doi.org/10.1016/j.vaccine.2020.12.048</w:t>
      </w:r>
    </w:p>
    <w:p w14:paraId="32473C92" w14:textId="77777777" w:rsidR="00C009FE" w:rsidRPr="00C009FE" w:rsidRDefault="00C009FE" w:rsidP="00C009FE">
      <w:pPr>
        <w:pStyle w:val="Bibliography"/>
        <w:rPr>
          <w:lang w:val="en-GB"/>
        </w:rPr>
      </w:pPr>
      <w:r w:rsidRPr="00C009FE">
        <w:rPr>
          <w:lang w:val="en-GB"/>
        </w:rPr>
        <w:t xml:space="preserve">Borkulo, C. D. van, Bork, R. van, Boschloo, L., Kossakowski, J. J., Tio, P., Schoevers, R. A., Borsboom, D., &amp; Waldorp, L. J. (2022). Comparing network structures on three aspects: A permutation test. </w:t>
      </w:r>
      <w:r w:rsidRPr="00C009FE">
        <w:rPr>
          <w:i/>
          <w:iCs/>
          <w:lang w:val="en-GB"/>
        </w:rPr>
        <w:t>Psychological Methods</w:t>
      </w:r>
      <w:r w:rsidRPr="00C009FE">
        <w:rPr>
          <w:lang w:val="en-GB"/>
        </w:rPr>
        <w:t>. https://doi.org/10.1037/met0000476</w:t>
      </w:r>
    </w:p>
    <w:p w14:paraId="71EB75F1" w14:textId="77777777" w:rsidR="00C009FE" w:rsidRPr="00C009FE" w:rsidRDefault="00C009FE" w:rsidP="00C009FE">
      <w:pPr>
        <w:pStyle w:val="Bibliography"/>
        <w:rPr>
          <w:lang w:val="en-GB"/>
        </w:rPr>
      </w:pPr>
      <w:r w:rsidRPr="00C009FE">
        <w:rPr>
          <w:lang w:val="en-GB"/>
        </w:rPr>
        <w:t xml:space="preserve">Burger, J., Isvoranu, A.-M., Lunansky, G., Haslbeck, J. M. B., Epskamp, S., Hoekstra, R. H. A., Fried, E. I., Borsboom, D., &amp; Blanken, T. F. (2022). Reporting Standards for Psychological Network Analyses in Cross-Sectional Data. </w:t>
      </w:r>
      <w:r w:rsidRPr="00C009FE">
        <w:rPr>
          <w:i/>
          <w:iCs/>
          <w:lang w:val="en-GB"/>
        </w:rPr>
        <w:t>Psychological Methods</w:t>
      </w:r>
      <w:r w:rsidRPr="00C009FE">
        <w:rPr>
          <w:lang w:val="en-GB"/>
        </w:rPr>
        <w:t>. https://doi.org/10.1037/met0000471</w:t>
      </w:r>
    </w:p>
    <w:p w14:paraId="711894A3" w14:textId="77777777" w:rsidR="00C009FE" w:rsidRPr="00C009FE" w:rsidRDefault="00C009FE" w:rsidP="00C009FE">
      <w:pPr>
        <w:pStyle w:val="Bibliography"/>
        <w:rPr>
          <w:lang w:val="en-GB"/>
        </w:rPr>
      </w:pPr>
      <w:r w:rsidRPr="00C009FE">
        <w:rPr>
          <w:lang w:val="en-GB"/>
        </w:rPr>
        <w:t xml:space="preserve">Callaghan, T., Moghtaderi, A., Lueck, J. A., Hotez, P., Strych, U., Dor, A., Fowler, E. F., &amp; Motta, M. (2021). Correlates and disparities of intention to vaccinate against COVID-19. </w:t>
      </w:r>
      <w:r w:rsidRPr="00C009FE">
        <w:rPr>
          <w:i/>
          <w:iCs/>
          <w:lang w:val="en-GB"/>
        </w:rPr>
        <w:t>Social Science &amp; Medicine</w:t>
      </w:r>
      <w:r w:rsidRPr="00C009FE">
        <w:rPr>
          <w:lang w:val="en-GB"/>
        </w:rPr>
        <w:t xml:space="preserve">, </w:t>
      </w:r>
      <w:r w:rsidRPr="00C009FE">
        <w:rPr>
          <w:i/>
          <w:iCs/>
          <w:lang w:val="en-GB"/>
        </w:rPr>
        <w:t>272</w:t>
      </w:r>
      <w:r w:rsidRPr="00C009FE">
        <w:rPr>
          <w:lang w:val="en-GB"/>
        </w:rPr>
        <w:t>, 113638. https://doi.org/10.1016/j.socscimed.2020.113638</w:t>
      </w:r>
    </w:p>
    <w:p w14:paraId="570B153E" w14:textId="77777777" w:rsidR="00C009FE" w:rsidRPr="00C009FE" w:rsidRDefault="00C009FE" w:rsidP="00C009FE">
      <w:pPr>
        <w:pStyle w:val="Bibliography"/>
        <w:rPr>
          <w:lang w:val="en-GB"/>
        </w:rPr>
      </w:pPr>
      <w:r w:rsidRPr="00C009FE">
        <w:rPr>
          <w:lang w:val="en-GB"/>
        </w:rPr>
        <w:t xml:space="preserve">Chambon, M., Dalege, J., Borsboom, D., Waldorp, L. J., Maas, H. L. J., &amp; Harreveld, F. (2023). How compliance with behavioural measures during the initial phase of a pandemic develops over time: A longitudinal COVID‐19 study. </w:t>
      </w:r>
      <w:r w:rsidRPr="00C009FE">
        <w:rPr>
          <w:i/>
          <w:iCs/>
          <w:lang w:val="en-GB"/>
        </w:rPr>
        <w:t>British Journal of Social Psychology</w:t>
      </w:r>
      <w:r w:rsidRPr="00C009FE">
        <w:rPr>
          <w:lang w:val="en-GB"/>
        </w:rPr>
        <w:t xml:space="preserve">, </w:t>
      </w:r>
      <w:r w:rsidRPr="00C009FE">
        <w:rPr>
          <w:i/>
          <w:iCs/>
          <w:lang w:val="en-GB"/>
        </w:rPr>
        <w:t>62</w:t>
      </w:r>
      <w:r w:rsidRPr="00C009FE">
        <w:rPr>
          <w:lang w:val="en-GB"/>
        </w:rPr>
        <w:t>(1), 302–321. https://doi.org/10.1111/bjso.12572</w:t>
      </w:r>
    </w:p>
    <w:p w14:paraId="5F3AD83E" w14:textId="77777777" w:rsidR="00C009FE" w:rsidRPr="00C009FE" w:rsidRDefault="00C009FE" w:rsidP="00C009FE">
      <w:pPr>
        <w:pStyle w:val="Bibliography"/>
        <w:rPr>
          <w:lang w:val="en-GB"/>
        </w:rPr>
      </w:pPr>
      <w:r w:rsidRPr="00C009FE">
        <w:rPr>
          <w:lang w:val="en-GB"/>
        </w:rPr>
        <w:t xml:space="preserve">Chambon, M., Dalege, J., Elberse, J. E., &amp; Harreveld, F. van. (2022). A Psychological Network Approach to Attitudes and Preventive Behaviors During Pandemics: A COVID-19 Study in the United Kingdom and the Netherlands. </w:t>
      </w:r>
      <w:r w:rsidRPr="00C009FE">
        <w:rPr>
          <w:i/>
          <w:iCs/>
          <w:lang w:val="en-GB"/>
        </w:rPr>
        <w:t>Social Psychological and Personality Science</w:t>
      </w:r>
      <w:r w:rsidRPr="00C009FE">
        <w:rPr>
          <w:lang w:val="en-GB"/>
        </w:rPr>
        <w:t xml:space="preserve">, </w:t>
      </w:r>
      <w:r w:rsidRPr="00C009FE">
        <w:rPr>
          <w:i/>
          <w:iCs/>
          <w:lang w:val="en-GB"/>
        </w:rPr>
        <w:t>13</w:t>
      </w:r>
      <w:r w:rsidRPr="00C009FE">
        <w:rPr>
          <w:lang w:val="en-GB"/>
        </w:rPr>
        <w:t>(1), 233–245. https://doi.org/10.1177/19485506211002420</w:t>
      </w:r>
    </w:p>
    <w:p w14:paraId="6F86B1DD" w14:textId="77777777" w:rsidR="00C009FE" w:rsidRPr="00C009FE" w:rsidRDefault="00C009FE" w:rsidP="00C009FE">
      <w:pPr>
        <w:pStyle w:val="Bibliography"/>
        <w:rPr>
          <w:lang w:val="en-GB"/>
        </w:rPr>
      </w:pPr>
      <w:r w:rsidRPr="00C009FE">
        <w:rPr>
          <w:lang w:val="en-GB"/>
        </w:rPr>
        <w:t xml:space="preserve">Chambon, M., Dalege, J., Waldorp, L., van der Maas, H., Borsboom, D., &amp; van Harreveld, F. (2021). </w:t>
      </w:r>
      <w:r w:rsidRPr="00C009FE">
        <w:rPr>
          <w:i/>
          <w:iCs/>
          <w:lang w:val="en-GB"/>
        </w:rPr>
        <w:t>Tailored interventions into broad attitude networks towards the COVID-19 pandemic</w:t>
      </w:r>
      <w:r w:rsidRPr="00C009FE">
        <w:rPr>
          <w:lang w:val="en-GB"/>
        </w:rPr>
        <w:t xml:space="preserve"> [Preprint]. PsyArXiv. https://doi.org/10.31234/osf.io/fmu9w</w:t>
      </w:r>
    </w:p>
    <w:p w14:paraId="1D626858" w14:textId="77777777" w:rsidR="00C009FE" w:rsidRPr="00C009FE" w:rsidRDefault="00C009FE" w:rsidP="00C009FE">
      <w:pPr>
        <w:pStyle w:val="Bibliography"/>
        <w:rPr>
          <w:lang w:val="en-GB"/>
        </w:rPr>
      </w:pPr>
      <w:r w:rsidRPr="00C009FE">
        <w:rPr>
          <w:lang w:val="en-GB"/>
        </w:rPr>
        <w:lastRenderedPageBreak/>
        <w:t xml:space="preserve">Cherian, V., Saini, N. K., Sharma, A. K., &amp; Philip, J. (2022). Prevalence and predictors of vaccine hesitancy in an urbanized agglomeration of New Delhi, India. </w:t>
      </w:r>
      <w:r w:rsidRPr="00C009FE">
        <w:rPr>
          <w:i/>
          <w:iCs/>
          <w:lang w:val="en-GB"/>
        </w:rPr>
        <w:t>Journal of Public Health</w:t>
      </w:r>
      <w:r w:rsidRPr="00C009FE">
        <w:rPr>
          <w:lang w:val="en-GB"/>
        </w:rPr>
        <w:t xml:space="preserve">, </w:t>
      </w:r>
      <w:r w:rsidRPr="00C009FE">
        <w:rPr>
          <w:i/>
          <w:iCs/>
          <w:lang w:val="en-GB"/>
        </w:rPr>
        <w:t>44</w:t>
      </w:r>
      <w:r w:rsidRPr="00C009FE">
        <w:rPr>
          <w:lang w:val="en-GB"/>
        </w:rPr>
        <w:t>(1), 70–76. https://doi.org/10.1093/pubmed/fdab007</w:t>
      </w:r>
    </w:p>
    <w:p w14:paraId="6349B196" w14:textId="77777777" w:rsidR="00C009FE" w:rsidRPr="00C009FE" w:rsidRDefault="00C009FE" w:rsidP="00C009FE">
      <w:pPr>
        <w:pStyle w:val="Bibliography"/>
        <w:rPr>
          <w:lang w:val="en-GB"/>
        </w:rPr>
      </w:pPr>
      <w:r w:rsidRPr="00C009FE">
        <w:rPr>
          <w:lang w:val="en-GB"/>
        </w:rPr>
        <w:t xml:space="preserve">Chu, H., &amp; Liu, S. (2021). Integrating health behavior theories to predict American’s intention to receive a COVID-19 vaccine. </w:t>
      </w:r>
      <w:r w:rsidRPr="00C009FE">
        <w:rPr>
          <w:i/>
          <w:iCs/>
          <w:lang w:val="en-GB"/>
        </w:rPr>
        <w:t>Patient Education and Counseling</w:t>
      </w:r>
      <w:r w:rsidRPr="00C009FE">
        <w:rPr>
          <w:lang w:val="en-GB"/>
        </w:rPr>
        <w:t xml:space="preserve">, </w:t>
      </w:r>
      <w:r w:rsidRPr="00C009FE">
        <w:rPr>
          <w:i/>
          <w:iCs/>
          <w:lang w:val="en-GB"/>
        </w:rPr>
        <w:t>104</w:t>
      </w:r>
      <w:r w:rsidRPr="00C009FE">
        <w:rPr>
          <w:lang w:val="en-GB"/>
        </w:rPr>
        <w:t>(8), 1878–1886. https://doi.org/10.1016/j.pec.2021.02.031</w:t>
      </w:r>
    </w:p>
    <w:p w14:paraId="1D2EBB7C" w14:textId="77777777" w:rsidR="00C009FE" w:rsidRPr="00C009FE" w:rsidRDefault="00C009FE" w:rsidP="00C009FE">
      <w:pPr>
        <w:pStyle w:val="Bibliography"/>
        <w:rPr>
          <w:lang w:val="en-GB"/>
        </w:rPr>
      </w:pPr>
      <w:r w:rsidRPr="00C009FE">
        <w:rPr>
          <w:lang w:val="en-GB"/>
        </w:rPr>
        <w:t xml:space="preserve">Detoc, M., Bruel, S., Frappe, P., Tardy, B., Botelho-Nevers, E., &amp; Gagneux-Brunon, A. (2020). Intention to participate in a COVID-19 vaccine clinical trial and to get vaccinated against COVID-19 in France during the pandemic. </w:t>
      </w:r>
      <w:r w:rsidRPr="00C009FE">
        <w:rPr>
          <w:i/>
          <w:iCs/>
          <w:lang w:val="en-GB"/>
        </w:rPr>
        <w:t>Vaccine</w:t>
      </w:r>
      <w:r w:rsidRPr="00C009FE">
        <w:rPr>
          <w:lang w:val="en-GB"/>
        </w:rPr>
        <w:t xml:space="preserve">, </w:t>
      </w:r>
      <w:r w:rsidRPr="00C009FE">
        <w:rPr>
          <w:i/>
          <w:iCs/>
          <w:lang w:val="en-GB"/>
        </w:rPr>
        <w:t>38</w:t>
      </w:r>
      <w:r w:rsidRPr="00C009FE">
        <w:rPr>
          <w:lang w:val="en-GB"/>
        </w:rPr>
        <w:t>(45), 7002–7006. https://doi.org/10.1016/j.vaccine.2020.09.041</w:t>
      </w:r>
    </w:p>
    <w:p w14:paraId="24DB3E6B" w14:textId="77777777" w:rsidR="00C009FE" w:rsidRPr="00C009FE" w:rsidRDefault="00C009FE" w:rsidP="00C009FE">
      <w:pPr>
        <w:pStyle w:val="Bibliography"/>
        <w:rPr>
          <w:lang w:val="en-GB"/>
        </w:rPr>
      </w:pPr>
      <w:r w:rsidRPr="00C009FE">
        <w:rPr>
          <w:lang w:val="en-GB"/>
        </w:rPr>
        <w:t xml:space="preserve">Epskamp, S., Borsboom, D., &amp; Fried, E. I. (2018). Estimating psychological networks and their accuracy: A tutorial paper. </w:t>
      </w:r>
      <w:r w:rsidRPr="00C009FE">
        <w:rPr>
          <w:i/>
          <w:iCs/>
          <w:lang w:val="en-GB"/>
        </w:rPr>
        <w:t>Behavior Research Methods</w:t>
      </w:r>
      <w:r w:rsidRPr="00C009FE">
        <w:rPr>
          <w:lang w:val="en-GB"/>
        </w:rPr>
        <w:t xml:space="preserve">, </w:t>
      </w:r>
      <w:r w:rsidRPr="00C009FE">
        <w:rPr>
          <w:i/>
          <w:iCs/>
          <w:lang w:val="en-GB"/>
        </w:rPr>
        <w:t>50</w:t>
      </w:r>
      <w:r w:rsidRPr="00C009FE">
        <w:rPr>
          <w:lang w:val="en-GB"/>
        </w:rPr>
        <w:t>(1), 195–212. https://doi.org/10.3758/s13428-017-0862-1</w:t>
      </w:r>
    </w:p>
    <w:p w14:paraId="09F65575" w14:textId="77777777" w:rsidR="00C009FE" w:rsidRPr="00C009FE" w:rsidRDefault="00C009FE" w:rsidP="00C009FE">
      <w:pPr>
        <w:pStyle w:val="Bibliography"/>
        <w:rPr>
          <w:lang w:val="en-GB"/>
        </w:rPr>
      </w:pPr>
      <w:r w:rsidRPr="00C009FE">
        <w:rPr>
          <w:lang w:val="en-GB"/>
        </w:rPr>
        <w:t xml:space="preserve">Feleszko, W., Lewulis, P., Czarnecki, A., &amp; Waszkiewicz, P. (2021). Flattening the Curve of COVID-19 Vaccine Rejection—An International Overview. </w:t>
      </w:r>
      <w:r w:rsidRPr="00C009FE">
        <w:rPr>
          <w:i/>
          <w:iCs/>
          <w:lang w:val="en-GB"/>
        </w:rPr>
        <w:t>Vaccines</w:t>
      </w:r>
      <w:r w:rsidRPr="00C009FE">
        <w:rPr>
          <w:lang w:val="en-GB"/>
        </w:rPr>
        <w:t xml:space="preserve">, </w:t>
      </w:r>
      <w:r w:rsidRPr="00C009FE">
        <w:rPr>
          <w:i/>
          <w:iCs/>
          <w:lang w:val="en-GB"/>
        </w:rPr>
        <w:t>9</w:t>
      </w:r>
      <w:r w:rsidRPr="00C009FE">
        <w:rPr>
          <w:lang w:val="en-GB"/>
        </w:rPr>
        <w:t>(1), 44. https://doi.org/10.3390/vaccines9010044</w:t>
      </w:r>
    </w:p>
    <w:p w14:paraId="4A392107" w14:textId="77777777" w:rsidR="00C009FE" w:rsidRPr="00C009FE" w:rsidRDefault="00C009FE" w:rsidP="00C009FE">
      <w:pPr>
        <w:pStyle w:val="Bibliography"/>
        <w:rPr>
          <w:lang w:val="en-GB"/>
        </w:rPr>
      </w:pPr>
      <w:r w:rsidRPr="00C009FE">
        <w:rPr>
          <w:lang w:val="en-GB"/>
        </w:rPr>
        <w:t xml:space="preserve">Gagneux-Brunon, A., Detoc, M., Bruel, S., Tardy, B., Rozaire, O., Frappe, P., &amp; Botelho-Nevers, E. (2021). Intention to get vaccinations against COVID-19 in French healthcare workers during the first pandemic wave: A cross-sectional survey. </w:t>
      </w:r>
      <w:r w:rsidRPr="00C009FE">
        <w:rPr>
          <w:i/>
          <w:iCs/>
          <w:lang w:val="en-GB"/>
        </w:rPr>
        <w:t>Journal of Hospital Infection</w:t>
      </w:r>
      <w:r w:rsidRPr="00C009FE">
        <w:rPr>
          <w:lang w:val="en-GB"/>
        </w:rPr>
        <w:t xml:space="preserve">, </w:t>
      </w:r>
      <w:r w:rsidRPr="00C009FE">
        <w:rPr>
          <w:i/>
          <w:iCs/>
          <w:lang w:val="en-GB"/>
        </w:rPr>
        <w:t>108</w:t>
      </w:r>
      <w:r w:rsidRPr="00C009FE">
        <w:rPr>
          <w:lang w:val="en-GB"/>
        </w:rPr>
        <w:t>, 168–173. https://doi.org/10.1016/j.jhin.2020.11.020</w:t>
      </w:r>
    </w:p>
    <w:p w14:paraId="0CB4D3E0" w14:textId="77777777" w:rsidR="00C009FE" w:rsidRPr="00C009FE" w:rsidRDefault="00C009FE" w:rsidP="00C009FE">
      <w:pPr>
        <w:pStyle w:val="Bibliography"/>
        <w:rPr>
          <w:lang w:val="en-GB"/>
        </w:rPr>
      </w:pPr>
      <w:r w:rsidRPr="00C009FE">
        <w:rPr>
          <w:lang w:val="en-GB"/>
        </w:rPr>
        <w:t xml:space="preserve">Group, T. C., Peretti-Watel, P., Seror, V., Cortaredona, S., Launay, O., Raude, J., Verger, P., Fressard, L., Beck, F., Legleye, S., L’Haridon, O., Léger, D., &amp; Ward, J. K. (2020). A future vaccination campaign against COVID-19 at risk of vaccine hesitancy and politicisation. </w:t>
      </w:r>
      <w:r w:rsidRPr="00C009FE">
        <w:rPr>
          <w:i/>
          <w:iCs/>
          <w:lang w:val="en-GB"/>
        </w:rPr>
        <w:t>The Lancet Infectious Diseases</w:t>
      </w:r>
      <w:r w:rsidRPr="00C009FE">
        <w:rPr>
          <w:lang w:val="en-GB"/>
        </w:rPr>
        <w:t xml:space="preserve">, </w:t>
      </w:r>
      <w:r w:rsidRPr="00C009FE">
        <w:rPr>
          <w:i/>
          <w:iCs/>
          <w:lang w:val="en-GB"/>
        </w:rPr>
        <w:t>20</w:t>
      </w:r>
      <w:r w:rsidRPr="00C009FE">
        <w:rPr>
          <w:lang w:val="en-GB"/>
        </w:rPr>
        <w:t>(7), 769–770. https://doi.org/10.1016/s1473-3099(20)30426-6</w:t>
      </w:r>
    </w:p>
    <w:p w14:paraId="1030F30C" w14:textId="77777777" w:rsidR="00C009FE" w:rsidRPr="00C009FE" w:rsidRDefault="00C009FE" w:rsidP="00C009FE">
      <w:pPr>
        <w:pStyle w:val="Bibliography"/>
        <w:rPr>
          <w:lang w:val="en-GB"/>
        </w:rPr>
      </w:pPr>
      <w:r w:rsidRPr="00C009FE">
        <w:rPr>
          <w:lang w:val="en-GB"/>
        </w:rPr>
        <w:lastRenderedPageBreak/>
        <w:t xml:space="preserve">Head, K. J., Kasting, M. L., Sturm, L. A., Hartsock, J. A., &amp; Zimet, G. D. (2020). A National Survey Assessing SARS-CoV-2 Vaccination Intentions: Implications for Future Public Health Communication Efforts. </w:t>
      </w:r>
      <w:r w:rsidRPr="00C009FE">
        <w:rPr>
          <w:i/>
          <w:iCs/>
          <w:lang w:val="en-GB"/>
        </w:rPr>
        <w:t>Science Communication</w:t>
      </w:r>
      <w:r w:rsidRPr="00C009FE">
        <w:rPr>
          <w:lang w:val="en-GB"/>
        </w:rPr>
        <w:t xml:space="preserve">, </w:t>
      </w:r>
      <w:r w:rsidRPr="00C009FE">
        <w:rPr>
          <w:i/>
          <w:iCs/>
          <w:lang w:val="en-GB"/>
        </w:rPr>
        <w:t>42</w:t>
      </w:r>
      <w:r w:rsidRPr="00C009FE">
        <w:rPr>
          <w:lang w:val="en-GB"/>
        </w:rPr>
        <w:t>(5), 698–723. https://doi.org/10.1177/1075547020960463</w:t>
      </w:r>
    </w:p>
    <w:p w14:paraId="40E8CF74" w14:textId="77777777" w:rsidR="00C009FE" w:rsidRPr="00C009FE" w:rsidRDefault="00C009FE" w:rsidP="00C009FE">
      <w:pPr>
        <w:pStyle w:val="Bibliography"/>
        <w:rPr>
          <w:lang w:val="en-GB"/>
        </w:rPr>
      </w:pPr>
      <w:r w:rsidRPr="00C009FE">
        <w:rPr>
          <w:lang w:val="en-GB"/>
        </w:rPr>
        <w:t xml:space="preserve">Jennings, W., Stoker, G., Bunting, H., Valgarðsson, V. O., Gaskell, J., Devine, D., McKay, L., &amp; Mills, M. C. (2021). Lack of Trust, Conspiracy Beliefs, and Social Media Use Predict COVID-19 Vaccine Hesitancy. </w:t>
      </w:r>
      <w:r w:rsidRPr="00C009FE">
        <w:rPr>
          <w:i/>
          <w:iCs/>
          <w:lang w:val="en-GB"/>
        </w:rPr>
        <w:t>Vaccines</w:t>
      </w:r>
      <w:r w:rsidRPr="00C009FE">
        <w:rPr>
          <w:lang w:val="en-GB"/>
        </w:rPr>
        <w:t xml:space="preserve">, </w:t>
      </w:r>
      <w:r w:rsidRPr="00C009FE">
        <w:rPr>
          <w:i/>
          <w:iCs/>
          <w:lang w:val="en-GB"/>
        </w:rPr>
        <w:t>9</w:t>
      </w:r>
      <w:r w:rsidRPr="00C009FE">
        <w:rPr>
          <w:lang w:val="en-GB"/>
        </w:rPr>
        <w:t>(6), 593. https://doi.org/10.3390/vaccines9060593</w:t>
      </w:r>
    </w:p>
    <w:p w14:paraId="3E6B628B" w14:textId="77777777" w:rsidR="00C009FE" w:rsidRPr="00C009FE" w:rsidRDefault="00C009FE" w:rsidP="00C009FE">
      <w:pPr>
        <w:pStyle w:val="Bibliography"/>
        <w:rPr>
          <w:lang w:val="en-GB"/>
        </w:rPr>
      </w:pPr>
      <w:r w:rsidRPr="00C009FE">
        <w:rPr>
          <w:lang w:val="en-GB"/>
        </w:rPr>
        <w:t xml:space="preserve">Kennedy, J. (2019). Populist politics and vaccine hesitancy in Western Europe: An analysis of national-level data. </w:t>
      </w:r>
      <w:r w:rsidRPr="00C009FE">
        <w:rPr>
          <w:i/>
          <w:iCs/>
          <w:lang w:val="en-GB"/>
        </w:rPr>
        <w:t>European Journal of Public Health</w:t>
      </w:r>
      <w:r w:rsidRPr="00C009FE">
        <w:rPr>
          <w:lang w:val="en-GB"/>
        </w:rPr>
        <w:t xml:space="preserve">, </w:t>
      </w:r>
      <w:r w:rsidRPr="00C009FE">
        <w:rPr>
          <w:i/>
          <w:iCs/>
          <w:lang w:val="en-GB"/>
        </w:rPr>
        <w:t>29</w:t>
      </w:r>
      <w:r w:rsidRPr="00C009FE">
        <w:rPr>
          <w:lang w:val="en-GB"/>
        </w:rPr>
        <w:t>(3), 512–516. https://doi.org/10.1093/eurpub/ckz004</w:t>
      </w:r>
    </w:p>
    <w:p w14:paraId="38B03A53" w14:textId="77777777" w:rsidR="00C009FE" w:rsidRPr="00C009FE" w:rsidRDefault="00C009FE" w:rsidP="00C009FE">
      <w:pPr>
        <w:pStyle w:val="Bibliography"/>
        <w:rPr>
          <w:lang w:val="en-GB"/>
        </w:rPr>
      </w:pPr>
      <w:r w:rsidRPr="00C009FE">
        <w:rPr>
          <w:lang w:val="en-GB"/>
        </w:rPr>
        <w:t xml:space="preserve">Kouvari, K., Hadjikou, A., Heraclidou, I., &amp; Heraclides, A. (2022). Health literacy, consciousness, and locus of control in relation to vaccine hesitancy and refusal. </w:t>
      </w:r>
      <w:r w:rsidRPr="00C009FE">
        <w:rPr>
          <w:i/>
          <w:iCs/>
          <w:lang w:val="en-GB"/>
        </w:rPr>
        <w:t>The European Journal of Public Health</w:t>
      </w:r>
      <w:r w:rsidRPr="00C009FE">
        <w:rPr>
          <w:lang w:val="en-GB"/>
        </w:rPr>
        <w:t xml:space="preserve">, </w:t>
      </w:r>
      <w:r w:rsidRPr="00C009FE">
        <w:rPr>
          <w:i/>
          <w:iCs/>
          <w:lang w:val="en-GB"/>
        </w:rPr>
        <w:t>32</w:t>
      </w:r>
      <w:r w:rsidRPr="00C009FE">
        <w:rPr>
          <w:lang w:val="en-GB"/>
        </w:rPr>
        <w:t>(Suppl 3), ckac129.640. https://doi.org/10.1093/eurpub/ckac129.640</w:t>
      </w:r>
    </w:p>
    <w:p w14:paraId="5BBA5519" w14:textId="77777777" w:rsidR="00C009FE" w:rsidRPr="00C009FE" w:rsidRDefault="00C009FE" w:rsidP="00C009FE">
      <w:pPr>
        <w:pStyle w:val="Bibliography"/>
        <w:rPr>
          <w:lang w:val="en-GB"/>
        </w:rPr>
      </w:pPr>
      <w:r w:rsidRPr="00C009FE">
        <w:rPr>
          <w:lang w:val="en-GB"/>
        </w:rPr>
        <w:t xml:space="preserve">Ladini, R., &amp; Vezzoni, C. (2022). When Believing in Divine Immanence Explains Vaccine Hesitancy: A Matter of Conspiracy Beliefs? </w:t>
      </w:r>
      <w:r w:rsidRPr="00C009FE">
        <w:rPr>
          <w:i/>
          <w:iCs/>
          <w:lang w:val="en-GB"/>
        </w:rPr>
        <w:t>Politics and Governance</w:t>
      </w:r>
      <w:r w:rsidRPr="00C009FE">
        <w:rPr>
          <w:lang w:val="en-GB"/>
        </w:rPr>
        <w:t xml:space="preserve">, </w:t>
      </w:r>
      <w:r w:rsidRPr="00C009FE">
        <w:rPr>
          <w:i/>
          <w:iCs/>
          <w:lang w:val="en-GB"/>
        </w:rPr>
        <w:t>10</w:t>
      </w:r>
      <w:r w:rsidRPr="00C009FE">
        <w:rPr>
          <w:lang w:val="en-GB"/>
        </w:rPr>
        <w:t>(4). https://doi.org/10.17645/pag.v10i4.5766</w:t>
      </w:r>
    </w:p>
    <w:p w14:paraId="165F7CD9" w14:textId="77777777" w:rsidR="00C009FE" w:rsidRPr="00C009FE" w:rsidRDefault="00C009FE" w:rsidP="00C009FE">
      <w:pPr>
        <w:pStyle w:val="Bibliography"/>
        <w:rPr>
          <w:lang w:val="en-GB"/>
        </w:rPr>
      </w:pPr>
      <w:r w:rsidRPr="00C009FE">
        <w:rPr>
          <w:lang w:val="en-GB"/>
        </w:rPr>
        <w:t xml:space="preserve">Latkin, C. A., Dayton, L., Yi, G., Colon, B., &amp; Kong, X. (2021). Mask usage, social distancing, racial, and gender correlates of COVID-19 vaccine intentions among adults in the US. </w:t>
      </w:r>
      <w:r w:rsidRPr="00C009FE">
        <w:rPr>
          <w:i/>
          <w:iCs/>
          <w:lang w:val="en-GB"/>
        </w:rPr>
        <w:t>PLoS ONE</w:t>
      </w:r>
      <w:r w:rsidRPr="00C009FE">
        <w:rPr>
          <w:lang w:val="en-GB"/>
        </w:rPr>
        <w:t xml:space="preserve">, </w:t>
      </w:r>
      <w:r w:rsidRPr="00C009FE">
        <w:rPr>
          <w:i/>
          <w:iCs/>
          <w:lang w:val="en-GB"/>
        </w:rPr>
        <w:t>16</w:t>
      </w:r>
      <w:r w:rsidRPr="00C009FE">
        <w:rPr>
          <w:lang w:val="en-GB"/>
        </w:rPr>
        <w:t>(2), e0246970. https://doi.org/10.1371/journal.pone.0246970</w:t>
      </w:r>
    </w:p>
    <w:p w14:paraId="68453F5C" w14:textId="77777777" w:rsidR="00C009FE" w:rsidRPr="00C009FE" w:rsidRDefault="00C009FE" w:rsidP="00C009FE">
      <w:pPr>
        <w:pStyle w:val="Bibliography"/>
        <w:rPr>
          <w:lang w:val="en-GB"/>
        </w:rPr>
      </w:pPr>
      <w:r w:rsidRPr="00C009FE">
        <w:rPr>
          <w:lang w:val="en-GB"/>
        </w:rPr>
        <w:t xml:space="preserve">Loomba, S., Figueiredo, A. de, Piatek, S. J., Graaf, K. de, &amp; Larson, H. J. (2021). Measuring the impact of COVID-19 vaccine misinformation on vaccination intent in the UK and USA. </w:t>
      </w:r>
      <w:r w:rsidRPr="00C009FE">
        <w:rPr>
          <w:i/>
          <w:iCs/>
          <w:lang w:val="en-GB"/>
        </w:rPr>
        <w:t>Nature Human Behaviour</w:t>
      </w:r>
      <w:r w:rsidRPr="00C009FE">
        <w:rPr>
          <w:lang w:val="en-GB"/>
        </w:rPr>
        <w:t xml:space="preserve">, </w:t>
      </w:r>
      <w:r w:rsidRPr="00C009FE">
        <w:rPr>
          <w:i/>
          <w:iCs/>
          <w:lang w:val="en-GB"/>
        </w:rPr>
        <w:t>5</w:t>
      </w:r>
      <w:r w:rsidRPr="00C009FE">
        <w:rPr>
          <w:lang w:val="en-GB"/>
        </w:rPr>
        <w:t>(3), 337–348. https://doi.org/10.1038/s41562-021-01056-1</w:t>
      </w:r>
    </w:p>
    <w:p w14:paraId="439CA4E8" w14:textId="77777777" w:rsidR="00C009FE" w:rsidRPr="00C009FE" w:rsidRDefault="00C009FE" w:rsidP="00C009FE">
      <w:pPr>
        <w:pStyle w:val="Bibliography"/>
        <w:rPr>
          <w:lang w:val="en-GB"/>
        </w:rPr>
      </w:pPr>
      <w:r w:rsidRPr="00C009FE">
        <w:rPr>
          <w:lang w:val="en-GB"/>
        </w:rPr>
        <w:lastRenderedPageBreak/>
        <w:t xml:space="preserve">Luszczynska, A., &amp; Schwarzer, R. (2005). Multidimensional Health Locus of Control: Comments on the Construct and its Measurement. </w:t>
      </w:r>
      <w:r w:rsidRPr="00C009FE">
        <w:rPr>
          <w:i/>
          <w:iCs/>
          <w:lang w:val="en-GB"/>
        </w:rPr>
        <w:t>Journal of Health Psychology</w:t>
      </w:r>
      <w:r w:rsidRPr="00C009FE">
        <w:rPr>
          <w:lang w:val="en-GB"/>
        </w:rPr>
        <w:t xml:space="preserve">, </w:t>
      </w:r>
      <w:r w:rsidRPr="00C009FE">
        <w:rPr>
          <w:i/>
          <w:iCs/>
          <w:lang w:val="en-GB"/>
        </w:rPr>
        <w:t>10</w:t>
      </w:r>
      <w:r w:rsidRPr="00C009FE">
        <w:rPr>
          <w:lang w:val="en-GB"/>
        </w:rPr>
        <w:t>(5), 633–642. https://doi.org/10.1177/1359105305055307</w:t>
      </w:r>
    </w:p>
    <w:p w14:paraId="6B6F351D" w14:textId="77777777" w:rsidR="00C009FE" w:rsidRPr="00C009FE" w:rsidRDefault="00C009FE" w:rsidP="00C009FE">
      <w:pPr>
        <w:pStyle w:val="Bibliography"/>
        <w:rPr>
          <w:lang w:val="en-GB"/>
        </w:rPr>
      </w:pPr>
      <w:r w:rsidRPr="00C009FE">
        <w:rPr>
          <w:lang w:val="en-GB"/>
        </w:rPr>
        <w:t xml:space="preserve">MacDonald, N. E. (2015). Vaccine hesitancy: Definition, scope and determinants. </w:t>
      </w:r>
      <w:r w:rsidRPr="00C009FE">
        <w:rPr>
          <w:i/>
          <w:iCs/>
          <w:lang w:val="en-GB"/>
        </w:rPr>
        <w:t>Vaccine</w:t>
      </w:r>
      <w:r w:rsidRPr="00C009FE">
        <w:rPr>
          <w:lang w:val="en-GB"/>
        </w:rPr>
        <w:t xml:space="preserve">, </w:t>
      </w:r>
      <w:r w:rsidRPr="00C009FE">
        <w:rPr>
          <w:i/>
          <w:iCs/>
          <w:lang w:val="en-GB"/>
        </w:rPr>
        <w:t>33</w:t>
      </w:r>
      <w:r w:rsidRPr="00C009FE">
        <w:rPr>
          <w:lang w:val="en-GB"/>
        </w:rPr>
        <w:t>(34), 4161–4164. https://doi.org/10.1016/j.vaccine.2015.04.036</w:t>
      </w:r>
    </w:p>
    <w:p w14:paraId="24559BC3" w14:textId="77777777" w:rsidR="00C009FE" w:rsidRPr="00C009FE" w:rsidRDefault="00C009FE" w:rsidP="00C009FE">
      <w:pPr>
        <w:pStyle w:val="Bibliography"/>
        <w:rPr>
          <w:lang w:val="en-GB"/>
        </w:rPr>
      </w:pPr>
      <w:r w:rsidRPr="00C009FE">
        <w:rPr>
          <w:lang w:val="en-GB"/>
        </w:rPr>
        <w:t xml:space="preserve">Malik, A. A., McFadden, S. M., Elharake, J., &amp; Omer, S. B. (2020). Determinants of COVID-19 vaccine acceptance in the US. </w:t>
      </w:r>
      <w:r w:rsidRPr="00C009FE">
        <w:rPr>
          <w:i/>
          <w:iCs/>
          <w:lang w:val="en-GB"/>
        </w:rPr>
        <w:t>EClinicalMedicine</w:t>
      </w:r>
      <w:r w:rsidRPr="00C009FE">
        <w:rPr>
          <w:lang w:val="en-GB"/>
        </w:rPr>
        <w:t xml:space="preserve">, </w:t>
      </w:r>
      <w:r w:rsidRPr="00C009FE">
        <w:rPr>
          <w:i/>
          <w:iCs/>
          <w:lang w:val="en-GB"/>
        </w:rPr>
        <w:t>26</w:t>
      </w:r>
      <w:r w:rsidRPr="00C009FE">
        <w:rPr>
          <w:lang w:val="en-GB"/>
        </w:rPr>
        <w:t>, 100495. https://doi.org/10.1016/j.eclinm.2020.100495</w:t>
      </w:r>
    </w:p>
    <w:p w14:paraId="034555D8" w14:textId="77777777" w:rsidR="00C009FE" w:rsidRPr="00C009FE" w:rsidRDefault="00C009FE" w:rsidP="00C009FE">
      <w:pPr>
        <w:pStyle w:val="Bibliography"/>
        <w:rPr>
          <w:lang w:val="en-GB"/>
        </w:rPr>
      </w:pPr>
      <w:r w:rsidRPr="00C009FE">
        <w:rPr>
          <w:lang w:val="en-GB"/>
        </w:rPr>
        <w:t xml:space="preserve">Meier, N. W., Böhm, R., Korn, L., &amp; Betsch, C. (2019). Individual preferences for voluntary vs. mandatory vaccination policies: An experimental analysis. </w:t>
      </w:r>
      <w:r w:rsidRPr="00C009FE">
        <w:rPr>
          <w:i/>
          <w:iCs/>
          <w:lang w:val="en-GB"/>
        </w:rPr>
        <w:t>European Journal of Public Health</w:t>
      </w:r>
      <w:r w:rsidRPr="00C009FE">
        <w:rPr>
          <w:lang w:val="en-GB"/>
        </w:rPr>
        <w:t>, ckz181. https://doi.org/10.1093/eurpub/ckz181</w:t>
      </w:r>
    </w:p>
    <w:p w14:paraId="15FAF652" w14:textId="77777777" w:rsidR="00C009FE" w:rsidRPr="00C009FE" w:rsidRDefault="00C009FE" w:rsidP="00C009FE">
      <w:pPr>
        <w:pStyle w:val="Bibliography"/>
        <w:rPr>
          <w:lang w:val="en-GB"/>
        </w:rPr>
      </w:pPr>
      <w:r w:rsidRPr="00C009FE">
        <w:rPr>
          <w:lang w:val="en-GB"/>
        </w:rPr>
        <w:t xml:space="preserve">Motta, M. (2021). Can a COVID-19 vaccine live up to Americans’ expectations? A conjoint analysis of how vaccine characteristics influence vaccination intentions. </w:t>
      </w:r>
      <w:r w:rsidRPr="00C009FE">
        <w:rPr>
          <w:i/>
          <w:iCs/>
          <w:lang w:val="en-GB"/>
        </w:rPr>
        <w:t>Social Science &amp; Medicine</w:t>
      </w:r>
      <w:r w:rsidRPr="00C009FE">
        <w:rPr>
          <w:lang w:val="en-GB"/>
        </w:rPr>
        <w:t xml:space="preserve">, </w:t>
      </w:r>
      <w:r w:rsidRPr="00C009FE">
        <w:rPr>
          <w:i/>
          <w:iCs/>
          <w:lang w:val="en-GB"/>
        </w:rPr>
        <w:t>272</w:t>
      </w:r>
      <w:r w:rsidRPr="00C009FE">
        <w:rPr>
          <w:lang w:val="en-GB"/>
        </w:rPr>
        <w:t>, 113642. https://doi.org/10.1016/j.socscimed.2020.113642</w:t>
      </w:r>
    </w:p>
    <w:p w14:paraId="57C859C4" w14:textId="77777777" w:rsidR="00C009FE" w:rsidRPr="00C009FE" w:rsidRDefault="00C009FE" w:rsidP="00C009FE">
      <w:pPr>
        <w:pStyle w:val="Bibliography"/>
        <w:rPr>
          <w:lang w:val="en-GB"/>
        </w:rPr>
      </w:pPr>
      <w:r w:rsidRPr="00C009FE">
        <w:rPr>
          <w:lang w:val="en-GB"/>
        </w:rPr>
        <w:t xml:space="preserve">Olagoke, A. A., Olagoke, O. O., &amp; Hughes, A. M. (2021). Intention to Vaccinate Against the Novel 2019 Coronavirus Disease: The Role of Health Locus of Control and Religiosity. </w:t>
      </w:r>
      <w:r w:rsidRPr="00C009FE">
        <w:rPr>
          <w:i/>
          <w:iCs/>
          <w:lang w:val="en-GB"/>
        </w:rPr>
        <w:t>Journal of Religion and Health</w:t>
      </w:r>
      <w:r w:rsidRPr="00C009FE">
        <w:rPr>
          <w:lang w:val="en-GB"/>
        </w:rPr>
        <w:t xml:space="preserve">, </w:t>
      </w:r>
      <w:r w:rsidRPr="00C009FE">
        <w:rPr>
          <w:i/>
          <w:iCs/>
          <w:lang w:val="en-GB"/>
        </w:rPr>
        <w:t>60</w:t>
      </w:r>
      <w:r w:rsidRPr="00C009FE">
        <w:rPr>
          <w:lang w:val="en-GB"/>
        </w:rPr>
        <w:t>(1), 65–80. https://doi.org/10.1007/s10943-020-01090-9</w:t>
      </w:r>
    </w:p>
    <w:p w14:paraId="3C28AAF7" w14:textId="77777777" w:rsidR="00C009FE" w:rsidRPr="00C009FE" w:rsidRDefault="00C009FE" w:rsidP="00C009FE">
      <w:pPr>
        <w:pStyle w:val="Bibliography"/>
        <w:rPr>
          <w:lang w:val="en-GB"/>
        </w:rPr>
      </w:pPr>
      <w:r w:rsidRPr="00C009FE">
        <w:rPr>
          <w:lang w:val="en-GB"/>
        </w:rPr>
        <w:t xml:space="preserve">Opsahl, T., Agneessens, F., &amp; Skvoretz, J. (2010). Node centrality in weighted networks: Generalizing degree and shortest paths. </w:t>
      </w:r>
      <w:r w:rsidRPr="00C009FE">
        <w:rPr>
          <w:i/>
          <w:iCs/>
          <w:lang w:val="en-GB"/>
        </w:rPr>
        <w:t>Social Networks</w:t>
      </w:r>
      <w:r w:rsidRPr="00C009FE">
        <w:rPr>
          <w:lang w:val="en-GB"/>
        </w:rPr>
        <w:t xml:space="preserve">, </w:t>
      </w:r>
      <w:r w:rsidRPr="00C009FE">
        <w:rPr>
          <w:i/>
          <w:iCs/>
          <w:lang w:val="en-GB"/>
        </w:rPr>
        <w:t>32</w:t>
      </w:r>
      <w:r w:rsidRPr="00C009FE">
        <w:rPr>
          <w:lang w:val="en-GB"/>
        </w:rPr>
        <w:t>(3), 245–251. https://doi.org/10.1016/j.socnet.2010.03.006</w:t>
      </w:r>
    </w:p>
    <w:p w14:paraId="7F339BBF" w14:textId="77777777" w:rsidR="00C009FE" w:rsidRPr="00C009FE" w:rsidRDefault="00C009FE" w:rsidP="00C009FE">
      <w:pPr>
        <w:pStyle w:val="Bibliography"/>
        <w:rPr>
          <w:lang w:val="en-GB"/>
        </w:rPr>
      </w:pPr>
      <w:r w:rsidRPr="00C009FE">
        <w:rPr>
          <w:lang w:val="en-GB"/>
        </w:rPr>
        <w:t xml:space="preserve">Pogue, K., Jensen, J. L., Stancil, C. K., Ferguson, D. G., Hughes, S. J., Mello, E. J., Burgess, R., Berges, B. K., Quaye, A., &amp; Poole, B. D. (2020). Influences on Attitudes Regarding Potential COVID-19 Vaccination in the United States. </w:t>
      </w:r>
      <w:r w:rsidRPr="00C009FE">
        <w:rPr>
          <w:i/>
          <w:iCs/>
          <w:lang w:val="en-GB"/>
        </w:rPr>
        <w:t>Vaccines</w:t>
      </w:r>
      <w:r w:rsidRPr="00C009FE">
        <w:rPr>
          <w:lang w:val="en-GB"/>
        </w:rPr>
        <w:t xml:space="preserve">, </w:t>
      </w:r>
      <w:r w:rsidRPr="00C009FE">
        <w:rPr>
          <w:i/>
          <w:iCs/>
          <w:lang w:val="en-GB"/>
        </w:rPr>
        <w:t>8</w:t>
      </w:r>
      <w:r w:rsidRPr="00C009FE">
        <w:rPr>
          <w:lang w:val="en-GB"/>
        </w:rPr>
        <w:t>(4), 582. https://doi.org/10.3390/vaccines8040582</w:t>
      </w:r>
    </w:p>
    <w:p w14:paraId="79EADC4E" w14:textId="77777777" w:rsidR="00C009FE" w:rsidRPr="00C009FE" w:rsidRDefault="00C009FE" w:rsidP="00C009FE">
      <w:pPr>
        <w:pStyle w:val="Bibliography"/>
        <w:rPr>
          <w:lang w:val="en-GB"/>
        </w:rPr>
      </w:pPr>
      <w:r w:rsidRPr="00C009FE">
        <w:rPr>
          <w:lang w:val="en-GB"/>
        </w:rPr>
        <w:lastRenderedPageBreak/>
        <w:t xml:space="preserve">Poland Gregory, A., &amp; Jacobson Robert, M. (2011). The Age-Old Struggle against the Antivaccinationists. </w:t>
      </w:r>
      <w:r w:rsidRPr="00C009FE">
        <w:rPr>
          <w:i/>
          <w:iCs/>
          <w:lang w:val="en-GB"/>
        </w:rPr>
        <w:t>New England Journal of Medicine</w:t>
      </w:r>
      <w:r w:rsidRPr="00C009FE">
        <w:rPr>
          <w:lang w:val="en-GB"/>
        </w:rPr>
        <w:t xml:space="preserve">, </w:t>
      </w:r>
      <w:r w:rsidRPr="00C009FE">
        <w:rPr>
          <w:i/>
          <w:iCs/>
          <w:lang w:val="en-GB"/>
        </w:rPr>
        <w:t>364</w:t>
      </w:r>
      <w:r w:rsidRPr="00C009FE">
        <w:rPr>
          <w:lang w:val="en-GB"/>
        </w:rPr>
        <w:t>(2), 97–99. https://doi.org/10.1056/nejmp1010594</w:t>
      </w:r>
    </w:p>
    <w:p w14:paraId="42128828" w14:textId="77777777" w:rsidR="00C009FE" w:rsidRPr="00C009FE" w:rsidRDefault="00C009FE" w:rsidP="00C009FE">
      <w:pPr>
        <w:pStyle w:val="Bibliography"/>
        <w:rPr>
          <w:lang w:val="en-GB"/>
        </w:rPr>
      </w:pPr>
      <w:r w:rsidRPr="00C009FE">
        <w:rPr>
          <w:lang w:val="en-GB"/>
        </w:rPr>
        <w:t xml:space="preserve">Pons, P., &amp; Latapy, M. (2005). Computer and Information Sciences—ISCIS 2005, 20th International Symposium, Istanbul, Turkey, October 26-28, 2005. Proceedings. </w:t>
      </w:r>
      <w:r w:rsidRPr="00C009FE">
        <w:rPr>
          <w:i/>
          <w:iCs/>
          <w:lang w:val="en-GB"/>
        </w:rPr>
        <w:t>Lecture Notes in Computer Science</w:t>
      </w:r>
      <w:r w:rsidRPr="00C009FE">
        <w:rPr>
          <w:lang w:val="en-GB"/>
        </w:rPr>
        <w:t>, 284–293. https://doi.org/10.1007/11569596_31</w:t>
      </w:r>
    </w:p>
    <w:p w14:paraId="5BFE4F0E" w14:textId="77777777" w:rsidR="00C009FE" w:rsidRPr="00C009FE" w:rsidRDefault="00C009FE" w:rsidP="00C009FE">
      <w:pPr>
        <w:pStyle w:val="Bibliography"/>
        <w:rPr>
          <w:lang w:val="en-GB"/>
        </w:rPr>
      </w:pPr>
      <w:r w:rsidRPr="00C009FE">
        <w:rPr>
          <w:lang w:val="en-GB"/>
        </w:rPr>
        <w:t xml:space="preserve">Recio-Román, A., Recio-Menéndez, M., &amp; Román-González, M. V. (2021). Vaccine Hesitancy and Political Populism. An Invariant Cross-European Perspective. </w:t>
      </w:r>
      <w:r w:rsidRPr="00C009FE">
        <w:rPr>
          <w:i/>
          <w:iCs/>
          <w:lang w:val="en-GB"/>
        </w:rPr>
        <w:t>International Journal of Environmental Research and Public Health</w:t>
      </w:r>
      <w:r w:rsidRPr="00C009FE">
        <w:rPr>
          <w:lang w:val="en-GB"/>
        </w:rPr>
        <w:t xml:space="preserve">, </w:t>
      </w:r>
      <w:r w:rsidRPr="00C009FE">
        <w:rPr>
          <w:i/>
          <w:iCs/>
          <w:lang w:val="en-GB"/>
        </w:rPr>
        <w:t>18</w:t>
      </w:r>
      <w:r w:rsidRPr="00C009FE">
        <w:rPr>
          <w:lang w:val="en-GB"/>
        </w:rPr>
        <w:t>(24), 12953. https://doi.org/10.3390/ijerph182412953</w:t>
      </w:r>
    </w:p>
    <w:p w14:paraId="462BB4D6" w14:textId="77777777" w:rsidR="00C009FE" w:rsidRPr="00C009FE" w:rsidRDefault="00C009FE" w:rsidP="00C009FE">
      <w:pPr>
        <w:pStyle w:val="Bibliography"/>
        <w:rPr>
          <w:lang w:val="it-IT"/>
        </w:rPr>
      </w:pPr>
      <w:r w:rsidRPr="00C009FE">
        <w:rPr>
          <w:lang w:val="en-GB"/>
        </w:rPr>
        <w:t xml:space="preserve">Reiter, P. L., Pennell, M. L., &amp; Katz, M. L. (2020). Acceptability of a COVID-19 vaccine among adults in the United States: How many people would get vaccinated? </w:t>
      </w:r>
      <w:r w:rsidRPr="00C009FE">
        <w:rPr>
          <w:i/>
          <w:iCs/>
          <w:lang w:val="it-IT"/>
        </w:rPr>
        <w:t>Vaccine</w:t>
      </w:r>
      <w:r w:rsidRPr="00C009FE">
        <w:rPr>
          <w:lang w:val="it-IT"/>
        </w:rPr>
        <w:t xml:space="preserve">, </w:t>
      </w:r>
      <w:r w:rsidRPr="00C009FE">
        <w:rPr>
          <w:i/>
          <w:iCs/>
          <w:lang w:val="it-IT"/>
        </w:rPr>
        <w:t>38</w:t>
      </w:r>
      <w:r w:rsidRPr="00C009FE">
        <w:rPr>
          <w:lang w:val="it-IT"/>
        </w:rPr>
        <w:t>(42), 6500–6507. https://doi.org/10.1016/j.vaccine.2020.08.043</w:t>
      </w:r>
    </w:p>
    <w:p w14:paraId="15C54D09" w14:textId="77777777" w:rsidR="00C009FE" w:rsidRPr="00C009FE" w:rsidRDefault="00C009FE" w:rsidP="00C009FE">
      <w:pPr>
        <w:pStyle w:val="Bibliography"/>
        <w:rPr>
          <w:lang w:val="en-GB"/>
        </w:rPr>
      </w:pPr>
      <w:r w:rsidRPr="00C009FE">
        <w:rPr>
          <w:lang w:val="it-IT"/>
        </w:rPr>
        <w:t xml:space="preserve">Rieger, T., Schmidt-Petri, C., &amp; Schröder, C. (2022). </w:t>
      </w:r>
      <w:r w:rsidRPr="00C009FE">
        <w:rPr>
          <w:lang w:val="en-GB"/>
        </w:rPr>
        <w:t xml:space="preserve">Attitudes toward mandatory COVID-19 vaccination in Germany. </w:t>
      </w:r>
      <w:r w:rsidRPr="00C009FE">
        <w:rPr>
          <w:i/>
          <w:iCs/>
          <w:lang w:val="en-GB"/>
        </w:rPr>
        <w:t>Deutsches Ärzteblatt International</w:t>
      </w:r>
      <w:r w:rsidRPr="00C009FE">
        <w:rPr>
          <w:lang w:val="en-GB"/>
        </w:rPr>
        <w:t>. https://doi.org/10.3238/arztebl.m2022.0174</w:t>
      </w:r>
    </w:p>
    <w:p w14:paraId="4D291D33" w14:textId="77777777" w:rsidR="00C009FE" w:rsidRPr="00C009FE" w:rsidRDefault="00C009FE" w:rsidP="00C009FE">
      <w:pPr>
        <w:pStyle w:val="Bibliography"/>
        <w:rPr>
          <w:lang w:val="en-GB"/>
        </w:rPr>
      </w:pPr>
      <w:r w:rsidRPr="00C009FE">
        <w:rPr>
          <w:lang w:val="en-GB"/>
        </w:rPr>
        <w:t xml:space="preserve">Ruiz, J. B., &amp; Bell, R. A. (2021). Predictors of intention to vaccinate against COVID-19: Results of a nationwide survey. </w:t>
      </w:r>
      <w:r w:rsidRPr="00C009FE">
        <w:rPr>
          <w:i/>
          <w:iCs/>
          <w:lang w:val="en-GB"/>
        </w:rPr>
        <w:t>Vaccine</w:t>
      </w:r>
      <w:r w:rsidRPr="00C009FE">
        <w:rPr>
          <w:lang w:val="en-GB"/>
        </w:rPr>
        <w:t xml:space="preserve">, </w:t>
      </w:r>
      <w:r w:rsidRPr="00C009FE">
        <w:rPr>
          <w:i/>
          <w:iCs/>
          <w:lang w:val="en-GB"/>
        </w:rPr>
        <w:t>39</w:t>
      </w:r>
      <w:r w:rsidRPr="00C009FE">
        <w:rPr>
          <w:lang w:val="en-GB"/>
        </w:rPr>
        <w:t>(7), 1080–1086. https://doi.org/10.1016/j.vaccine.2021.01.010</w:t>
      </w:r>
    </w:p>
    <w:p w14:paraId="3D51F994" w14:textId="77777777" w:rsidR="00C009FE" w:rsidRPr="00C009FE" w:rsidRDefault="00C009FE" w:rsidP="00C009FE">
      <w:pPr>
        <w:pStyle w:val="Bibliography"/>
        <w:rPr>
          <w:lang w:val="en-GB"/>
        </w:rPr>
      </w:pPr>
      <w:r w:rsidRPr="00C009FE">
        <w:rPr>
          <w:lang w:val="en-GB"/>
        </w:rPr>
        <w:t xml:space="preserve">Sallam, M. (2021). COVID-19 Vaccine Hesitancy Worldwide: A Concise Systematic Review of Vaccine Acceptance Rates. </w:t>
      </w:r>
      <w:r w:rsidRPr="00C009FE">
        <w:rPr>
          <w:i/>
          <w:iCs/>
          <w:lang w:val="en-GB"/>
        </w:rPr>
        <w:t>Vaccines</w:t>
      </w:r>
      <w:r w:rsidRPr="00C009FE">
        <w:rPr>
          <w:lang w:val="en-GB"/>
        </w:rPr>
        <w:t xml:space="preserve">, </w:t>
      </w:r>
      <w:r w:rsidRPr="00C009FE">
        <w:rPr>
          <w:i/>
          <w:iCs/>
          <w:lang w:val="en-GB"/>
        </w:rPr>
        <w:t>9</w:t>
      </w:r>
      <w:r w:rsidRPr="00C009FE">
        <w:rPr>
          <w:lang w:val="en-GB"/>
        </w:rPr>
        <w:t>(2), 160. https://doi.org/10.3390/vaccines9020160</w:t>
      </w:r>
    </w:p>
    <w:p w14:paraId="0CE08A9F" w14:textId="77777777" w:rsidR="00C009FE" w:rsidRPr="00C009FE" w:rsidRDefault="00C009FE" w:rsidP="00C009FE">
      <w:pPr>
        <w:pStyle w:val="Bibliography"/>
        <w:rPr>
          <w:lang w:val="en-GB"/>
        </w:rPr>
      </w:pPr>
      <w:r w:rsidRPr="00C009FE">
        <w:rPr>
          <w:lang w:val="en-GB"/>
        </w:rPr>
        <w:t xml:space="preserve">Schmelz, K. (2021). Enforcement may crowd out voluntary support for COVID-19 policies, especially where trust in government is weak and in a liberal society. </w:t>
      </w:r>
      <w:r w:rsidRPr="00C009FE">
        <w:rPr>
          <w:i/>
          <w:iCs/>
          <w:lang w:val="en-GB"/>
        </w:rPr>
        <w:t xml:space="preserve">Proceedings of </w:t>
      </w:r>
      <w:r w:rsidRPr="00C009FE">
        <w:rPr>
          <w:i/>
          <w:iCs/>
          <w:lang w:val="en-GB"/>
        </w:rPr>
        <w:lastRenderedPageBreak/>
        <w:t>the National Academy of Sciences</w:t>
      </w:r>
      <w:r w:rsidRPr="00C009FE">
        <w:rPr>
          <w:lang w:val="en-GB"/>
        </w:rPr>
        <w:t xml:space="preserve">, </w:t>
      </w:r>
      <w:r w:rsidRPr="00C009FE">
        <w:rPr>
          <w:i/>
          <w:iCs/>
          <w:lang w:val="en-GB"/>
        </w:rPr>
        <w:t>118</w:t>
      </w:r>
      <w:r w:rsidRPr="00C009FE">
        <w:rPr>
          <w:lang w:val="en-GB"/>
        </w:rPr>
        <w:t>(1), e2016385118. https://doi.org/10.1073/pnas.2016385118</w:t>
      </w:r>
    </w:p>
    <w:p w14:paraId="1D329FCD" w14:textId="77777777" w:rsidR="00C009FE" w:rsidRPr="00C009FE" w:rsidRDefault="00C009FE" w:rsidP="00C009FE">
      <w:pPr>
        <w:pStyle w:val="Bibliography"/>
        <w:rPr>
          <w:lang w:val="en-GB"/>
        </w:rPr>
      </w:pPr>
      <w:r w:rsidRPr="00C009FE">
        <w:rPr>
          <w:lang w:val="en-GB"/>
        </w:rPr>
        <w:t xml:space="preserve">Schwarzinger, M., Watson, V., Arwidson, P., Alla, F., &amp; Luchini, S. (2021). COVID-19 vaccine hesitancy in a representative working-age population in France: A survey experiment based on vaccine characteristics. </w:t>
      </w:r>
      <w:r w:rsidRPr="00C009FE">
        <w:rPr>
          <w:i/>
          <w:iCs/>
          <w:lang w:val="en-GB"/>
        </w:rPr>
        <w:t>The Lancet Public Health</w:t>
      </w:r>
      <w:r w:rsidRPr="00C009FE">
        <w:rPr>
          <w:lang w:val="en-GB"/>
        </w:rPr>
        <w:t xml:space="preserve">, </w:t>
      </w:r>
      <w:r w:rsidRPr="00C009FE">
        <w:rPr>
          <w:i/>
          <w:iCs/>
          <w:lang w:val="en-GB"/>
        </w:rPr>
        <w:t>6</w:t>
      </w:r>
      <w:r w:rsidRPr="00C009FE">
        <w:rPr>
          <w:lang w:val="en-GB"/>
        </w:rPr>
        <w:t>(4), e210–e221. https://doi.org/10.1016/s2468-2667(21)00012-8</w:t>
      </w:r>
    </w:p>
    <w:p w14:paraId="3A292B21" w14:textId="77777777" w:rsidR="00C009FE" w:rsidRPr="00C009FE" w:rsidRDefault="00C009FE" w:rsidP="00C009FE">
      <w:pPr>
        <w:pStyle w:val="Bibliography"/>
        <w:rPr>
          <w:lang w:val="en-GB"/>
        </w:rPr>
      </w:pPr>
      <w:r w:rsidRPr="00C009FE">
        <w:rPr>
          <w:lang w:val="en-GB"/>
        </w:rPr>
        <w:t xml:space="preserve">Seale, H., Heywood, A. E., Leask, J., Sheel, M., Durrheim, D. N., Bolsewicz, K., &amp; Kaur, R. (2021). Examining Australian public perceptions and behaviors towards a future COVID-19 vaccine. </w:t>
      </w:r>
      <w:r w:rsidRPr="00C009FE">
        <w:rPr>
          <w:i/>
          <w:iCs/>
          <w:lang w:val="en-GB"/>
        </w:rPr>
        <w:t>BMC Infectious Diseases</w:t>
      </w:r>
      <w:r w:rsidRPr="00C009FE">
        <w:rPr>
          <w:lang w:val="en-GB"/>
        </w:rPr>
        <w:t xml:space="preserve">, </w:t>
      </w:r>
      <w:r w:rsidRPr="00C009FE">
        <w:rPr>
          <w:i/>
          <w:iCs/>
          <w:lang w:val="en-GB"/>
        </w:rPr>
        <w:t>21</w:t>
      </w:r>
      <w:r w:rsidRPr="00C009FE">
        <w:rPr>
          <w:lang w:val="en-GB"/>
        </w:rPr>
        <w:t>(1), 120. https://doi.org/10.1186/s12879-021-05833-1</w:t>
      </w:r>
    </w:p>
    <w:p w14:paraId="5868588B" w14:textId="77777777" w:rsidR="00C009FE" w:rsidRPr="00C009FE" w:rsidRDefault="00C009FE" w:rsidP="00C009FE">
      <w:pPr>
        <w:pStyle w:val="Bibliography"/>
        <w:rPr>
          <w:lang w:val="en-GB"/>
        </w:rPr>
      </w:pPr>
      <w:r w:rsidRPr="00C009FE">
        <w:rPr>
          <w:lang w:val="en-GB"/>
        </w:rPr>
        <w:t xml:space="preserve">Shekhar, R., Sheikh, A. B., Upadhyay, S., Singh, M., Kottewar, S., Mir, H., Barrett, E., &amp; Pal, S. (2021). COVID-19 Vaccine Acceptance among Health Care Workers in the United States. </w:t>
      </w:r>
      <w:r w:rsidRPr="00C009FE">
        <w:rPr>
          <w:i/>
          <w:iCs/>
          <w:lang w:val="en-GB"/>
        </w:rPr>
        <w:t>Vaccines</w:t>
      </w:r>
      <w:r w:rsidRPr="00C009FE">
        <w:rPr>
          <w:lang w:val="en-GB"/>
        </w:rPr>
        <w:t xml:space="preserve">, </w:t>
      </w:r>
      <w:r w:rsidRPr="00C009FE">
        <w:rPr>
          <w:i/>
          <w:iCs/>
          <w:lang w:val="en-GB"/>
        </w:rPr>
        <w:t>9</w:t>
      </w:r>
      <w:r w:rsidRPr="00C009FE">
        <w:rPr>
          <w:lang w:val="en-GB"/>
        </w:rPr>
        <w:t>(2), 119. https://doi.org/10.3390/vaccines9020119</w:t>
      </w:r>
    </w:p>
    <w:p w14:paraId="3619B83E" w14:textId="77777777" w:rsidR="00C009FE" w:rsidRPr="00C009FE" w:rsidRDefault="00C009FE" w:rsidP="00C009FE">
      <w:pPr>
        <w:pStyle w:val="Bibliography"/>
        <w:rPr>
          <w:lang w:val="en-GB"/>
        </w:rPr>
      </w:pPr>
      <w:r w:rsidRPr="00C009FE">
        <w:rPr>
          <w:lang w:val="en-GB"/>
        </w:rPr>
        <w:t xml:space="preserve">Sherman, S. M., Smith, L. E., Sim, J., Amlôt, R., Cutts, M., Dasch, H., Rubin, G. J., &amp; Sevdalis, N. (2021). COVID-19 vaccination intention in the UK: results from the COVID-19 vaccination acceptability study (CoVAccS), a nationally representative cross-sectional survey. </w:t>
      </w:r>
      <w:r w:rsidRPr="00C009FE">
        <w:rPr>
          <w:i/>
          <w:iCs/>
          <w:lang w:val="en-GB"/>
        </w:rPr>
        <w:t>Human Vaccines &amp; Immunotherapeutics</w:t>
      </w:r>
      <w:r w:rsidRPr="00C009FE">
        <w:rPr>
          <w:lang w:val="en-GB"/>
        </w:rPr>
        <w:t xml:space="preserve">, </w:t>
      </w:r>
      <w:r w:rsidRPr="00C009FE">
        <w:rPr>
          <w:i/>
          <w:iCs/>
          <w:lang w:val="en-GB"/>
        </w:rPr>
        <w:t>17</w:t>
      </w:r>
      <w:r w:rsidRPr="00C009FE">
        <w:rPr>
          <w:lang w:val="en-GB"/>
        </w:rPr>
        <w:t>(6), 1612–1621. https://doi.org/10.1080/21645515.2020.1846397</w:t>
      </w:r>
    </w:p>
    <w:p w14:paraId="13BE0402" w14:textId="77777777" w:rsidR="00C009FE" w:rsidRPr="00C009FE" w:rsidRDefault="00C009FE" w:rsidP="00C009FE">
      <w:pPr>
        <w:pStyle w:val="Bibliography"/>
        <w:rPr>
          <w:lang w:val="en-GB"/>
        </w:rPr>
      </w:pPr>
      <w:r w:rsidRPr="00C009FE">
        <w:rPr>
          <w:lang w:val="en-GB"/>
        </w:rPr>
        <w:t xml:space="preserve">Unroe, K. T., Evans, R., Weaver, L., Rusyniak, D., &amp; Blackburn, J. (2021). Willingness of Long‐Term Care Staff to Receive a COVID‐19 Vaccine: A Single State Survey. </w:t>
      </w:r>
      <w:r w:rsidRPr="00C009FE">
        <w:rPr>
          <w:i/>
          <w:iCs/>
          <w:lang w:val="en-GB"/>
        </w:rPr>
        <w:t>Journal of the American Geriatrics Society</w:t>
      </w:r>
      <w:r w:rsidRPr="00C009FE">
        <w:rPr>
          <w:lang w:val="en-GB"/>
        </w:rPr>
        <w:t xml:space="preserve">, </w:t>
      </w:r>
      <w:r w:rsidRPr="00C009FE">
        <w:rPr>
          <w:i/>
          <w:iCs/>
          <w:lang w:val="en-GB"/>
        </w:rPr>
        <w:t>69</w:t>
      </w:r>
      <w:r w:rsidRPr="00C009FE">
        <w:rPr>
          <w:lang w:val="en-GB"/>
        </w:rPr>
        <w:t>(3), 593–599. https://doi.org/10.1111/jgs.17022</w:t>
      </w:r>
    </w:p>
    <w:p w14:paraId="7BAC8043" w14:textId="77777777" w:rsidR="00C009FE" w:rsidRPr="00C009FE" w:rsidRDefault="00C009FE" w:rsidP="00C009FE">
      <w:pPr>
        <w:pStyle w:val="Bibliography"/>
        <w:rPr>
          <w:lang w:val="it-IT"/>
        </w:rPr>
      </w:pPr>
      <w:r w:rsidRPr="00C009FE">
        <w:rPr>
          <w:lang w:val="it-IT"/>
        </w:rPr>
        <w:t xml:space="preserve">Vezzoni, C., Sani, G. M. D., Chiesi, A. M., Ladini, R., Biolcati, F., Guglielmi, S., Maggini, N., Maraffi, M., Molteni, F., Pedrazzani, A., &amp; Segatti, P. (2022). </w:t>
      </w:r>
      <w:r w:rsidRPr="00C009FE">
        <w:rPr>
          <w:lang w:val="en-GB"/>
        </w:rPr>
        <w:t xml:space="preserve">Where does the Coronavirus come from? On the mechanisms underlying the endorsement of conspiracy </w:t>
      </w:r>
      <w:r w:rsidRPr="00C009FE">
        <w:rPr>
          <w:lang w:val="en-GB"/>
        </w:rPr>
        <w:lastRenderedPageBreak/>
        <w:t xml:space="preserve">theories on the origin of SARS-CoV-2. </w:t>
      </w:r>
      <w:r w:rsidRPr="00C009FE">
        <w:rPr>
          <w:i/>
          <w:iCs/>
          <w:lang w:val="it-IT"/>
        </w:rPr>
        <w:t>Italian Political Science Review/Rivista Italiana Di Scienza Politica</w:t>
      </w:r>
      <w:r w:rsidRPr="00C009FE">
        <w:rPr>
          <w:lang w:val="it-IT"/>
        </w:rPr>
        <w:t xml:space="preserve">, </w:t>
      </w:r>
      <w:r w:rsidRPr="00C009FE">
        <w:rPr>
          <w:i/>
          <w:iCs/>
          <w:lang w:val="it-IT"/>
        </w:rPr>
        <w:t>52</w:t>
      </w:r>
      <w:r w:rsidRPr="00C009FE">
        <w:rPr>
          <w:lang w:val="it-IT"/>
        </w:rPr>
        <w:t>(1), 51–65. https://doi.org/10.1017/ipo.2021.19</w:t>
      </w:r>
    </w:p>
    <w:p w14:paraId="23C18BBE" w14:textId="77777777" w:rsidR="00C009FE" w:rsidRPr="00C009FE" w:rsidRDefault="00C009FE" w:rsidP="00C009FE">
      <w:pPr>
        <w:pStyle w:val="Bibliography"/>
        <w:rPr>
          <w:lang w:val="en-GB"/>
        </w:rPr>
      </w:pPr>
      <w:r w:rsidRPr="00C009FE">
        <w:rPr>
          <w:lang w:val="en-GB"/>
        </w:rPr>
        <w:t xml:space="preserve">Wong, M. C. S., Wong, E. L. Y., Huang, J., Cheung, A. W. L., Law, K., Chong, M. K. C., Ng, R. W. Y., Lai, C. K. C., Boon, S. S., Lau, J. T. F., Chen, Z., &amp; Chan, P. K. S. (2021). Acceptance of the COVID-19 vaccine based on the health belief model: A population-based survey in Hong Kong. </w:t>
      </w:r>
      <w:r w:rsidRPr="00C009FE">
        <w:rPr>
          <w:i/>
          <w:iCs/>
          <w:lang w:val="en-GB"/>
        </w:rPr>
        <w:t>Vaccine</w:t>
      </w:r>
      <w:r w:rsidRPr="00C009FE">
        <w:rPr>
          <w:lang w:val="en-GB"/>
        </w:rPr>
        <w:t xml:space="preserve">, </w:t>
      </w:r>
      <w:r w:rsidRPr="00C009FE">
        <w:rPr>
          <w:i/>
          <w:iCs/>
          <w:lang w:val="en-GB"/>
        </w:rPr>
        <w:t>39</w:t>
      </w:r>
      <w:r w:rsidRPr="00C009FE">
        <w:rPr>
          <w:lang w:val="en-GB"/>
        </w:rPr>
        <w:t>(7), 1148–1156. https://doi.org/10.1016/j.vaccine.2020.12.083</w:t>
      </w:r>
    </w:p>
    <w:p w14:paraId="531AC62C" w14:textId="77777777" w:rsidR="00C009FE" w:rsidRPr="00C009FE" w:rsidRDefault="00C009FE" w:rsidP="00C009FE">
      <w:pPr>
        <w:pStyle w:val="Bibliography"/>
        <w:rPr>
          <w:lang w:val="en-GB"/>
        </w:rPr>
      </w:pPr>
      <w:r w:rsidRPr="00C009FE">
        <w:rPr>
          <w:lang w:val="en-GB"/>
        </w:rPr>
        <w:t xml:space="preserve">Yoda, T., &amp; Katsuyama, H. (2021). Willingness to Receive COVID-19 Vaccination in Japan. </w:t>
      </w:r>
      <w:r w:rsidRPr="00C009FE">
        <w:rPr>
          <w:i/>
          <w:iCs/>
          <w:lang w:val="en-GB"/>
        </w:rPr>
        <w:t>Vaccines</w:t>
      </w:r>
      <w:r w:rsidRPr="00C009FE">
        <w:rPr>
          <w:lang w:val="en-GB"/>
        </w:rPr>
        <w:t xml:space="preserve">, </w:t>
      </w:r>
      <w:r w:rsidRPr="00C009FE">
        <w:rPr>
          <w:i/>
          <w:iCs/>
          <w:lang w:val="en-GB"/>
        </w:rPr>
        <w:t>9</w:t>
      </w:r>
      <w:r w:rsidRPr="00C009FE">
        <w:rPr>
          <w:lang w:val="en-GB"/>
        </w:rPr>
        <w:t>(1), 48. https://doi.org/10.3390/vaccines9010048</w:t>
      </w:r>
    </w:p>
    <w:p w14:paraId="59B950E6" w14:textId="1BC65190" w:rsidR="00480BE7" w:rsidRPr="00F94080" w:rsidRDefault="00480BE7" w:rsidP="00B5111A">
      <w:r>
        <w:fldChar w:fldCharType="end"/>
      </w:r>
    </w:p>
    <w:sectPr w:rsidR="00480BE7" w:rsidRPr="00F94080">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5EB0E" w14:textId="77777777" w:rsidR="00A419FF" w:rsidRDefault="00A419FF" w:rsidP="008454BD">
      <w:r>
        <w:separator/>
      </w:r>
    </w:p>
  </w:endnote>
  <w:endnote w:type="continuationSeparator" w:id="0">
    <w:p w14:paraId="787591F8" w14:textId="77777777" w:rsidR="00A419FF" w:rsidRDefault="00A419FF" w:rsidP="008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37094021"/>
      <w:docPartObj>
        <w:docPartGallery w:val="Page Numbers (Bottom of Page)"/>
        <w:docPartUnique/>
      </w:docPartObj>
    </w:sdtPr>
    <w:sdtContent>
      <w:p w14:paraId="691B2A7B" w14:textId="068F30D1" w:rsidR="008454BD" w:rsidRDefault="008454BD" w:rsidP="002C18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21A09C" w14:textId="77777777" w:rsidR="008454BD" w:rsidRDefault="008454BD" w:rsidP="008454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9272291"/>
      <w:docPartObj>
        <w:docPartGallery w:val="Page Numbers (Bottom of Page)"/>
        <w:docPartUnique/>
      </w:docPartObj>
    </w:sdtPr>
    <w:sdtContent>
      <w:p w14:paraId="6F19CEDE" w14:textId="371D6F0C" w:rsidR="008454BD" w:rsidRDefault="008454BD" w:rsidP="002C18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A6E12F" w14:textId="77777777" w:rsidR="008454BD" w:rsidRDefault="008454BD" w:rsidP="008454B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D8DE1" w14:textId="77777777" w:rsidR="00A419FF" w:rsidRDefault="00A419FF" w:rsidP="008454BD">
      <w:r>
        <w:separator/>
      </w:r>
    </w:p>
  </w:footnote>
  <w:footnote w:type="continuationSeparator" w:id="0">
    <w:p w14:paraId="2C09E0C1" w14:textId="77777777" w:rsidR="00A419FF" w:rsidRDefault="00A419FF" w:rsidP="008454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A47"/>
    <w:rsid w:val="0001558C"/>
    <w:rsid w:val="00050DDD"/>
    <w:rsid w:val="00105188"/>
    <w:rsid w:val="001A27E8"/>
    <w:rsid w:val="001C6D60"/>
    <w:rsid w:val="001F0797"/>
    <w:rsid w:val="002018AB"/>
    <w:rsid w:val="003262E4"/>
    <w:rsid w:val="00376CA7"/>
    <w:rsid w:val="003B44A3"/>
    <w:rsid w:val="00465A47"/>
    <w:rsid w:val="00476B02"/>
    <w:rsid w:val="00480BE7"/>
    <w:rsid w:val="004833F5"/>
    <w:rsid w:val="004B06EC"/>
    <w:rsid w:val="00535900"/>
    <w:rsid w:val="00566A19"/>
    <w:rsid w:val="005862FB"/>
    <w:rsid w:val="005B0864"/>
    <w:rsid w:val="005C7559"/>
    <w:rsid w:val="0065390B"/>
    <w:rsid w:val="006A2425"/>
    <w:rsid w:val="00752AC2"/>
    <w:rsid w:val="0081547D"/>
    <w:rsid w:val="008454BD"/>
    <w:rsid w:val="00892175"/>
    <w:rsid w:val="00917D03"/>
    <w:rsid w:val="00923F09"/>
    <w:rsid w:val="009414F0"/>
    <w:rsid w:val="009B11EA"/>
    <w:rsid w:val="009D2A1D"/>
    <w:rsid w:val="00A11B53"/>
    <w:rsid w:val="00A419FF"/>
    <w:rsid w:val="00A82D33"/>
    <w:rsid w:val="00AC1DA2"/>
    <w:rsid w:val="00B10304"/>
    <w:rsid w:val="00B5111A"/>
    <w:rsid w:val="00BF3D7E"/>
    <w:rsid w:val="00C009FE"/>
    <w:rsid w:val="00C0625E"/>
    <w:rsid w:val="00CF1FA3"/>
    <w:rsid w:val="00D30721"/>
    <w:rsid w:val="00D66F71"/>
    <w:rsid w:val="00DE2745"/>
    <w:rsid w:val="00E507F7"/>
    <w:rsid w:val="00E52128"/>
    <w:rsid w:val="00E750B1"/>
    <w:rsid w:val="00EF49B0"/>
    <w:rsid w:val="00EF52E6"/>
    <w:rsid w:val="00F06E38"/>
    <w:rsid w:val="00F256C1"/>
    <w:rsid w:val="00F87323"/>
    <w:rsid w:val="00F94080"/>
    <w:rsid w:val="00F96DCF"/>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B40D"/>
  <w15:chartTrackingRefBased/>
  <w15:docId w15:val="{857D9A40-1306-5040-B93E-3D55FE0A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11A"/>
    <w:pPr>
      <w:jc w:val="both"/>
    </w:pPr>
    <w:rPr>
      <w:rFonts w:ascii="Times New Roman" w:hAnsi="Times New Roman" w:cs="Times New Roman"/>
      <w:lang w:val="en-US"/>
    </w:rPr>
  </w:style>
  <w:style w:type="paragraph" w:styleId="Heading2">
    <w:name w:val="heading 2"/>
    <w:basedOn w:val="Normal"/>
    <w:next w:val="Normal"/>
    <w:link w:val="Heading2Char"/>
    <w:uiPriority w:val="9"/>
    <w:unhideWhenUsed/>
    <w:qFormat/>
    <w:rsid w:val="00B5111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4080"/>
    <w:pPr>
      <w:spacing w:before="100" w:beforeAutospacing="1" w:after="100" w:afterAutospacing="1"/>
    </w:pPr>
    <w:rPr>
      <w:rFonts w:eastAsia="Times New Roman"/>
      <w:kern w:val="0"/>
      <w:lang w:eastAsia="en-GB"/>
      <w14:ligatures w14:val="none"/>
    </w:rPr>
  </w:style>
  <w:style w:type="paragraph" w:styleId="Bibliography">
    <w:name w:val="Bibliography"/>
    <w:basedOn w:val="Normal"/>
    <w:next w:val="Normal"/>
    <w:uiPriority w:val="37"/>
    <w:unhideWhenUsed/>
    <w:rsid w:val="00480BE7"/>
    <w:pPr>
      <w:spacing w:line="480" w:lineRule="auto"/>
      <w:ind w:left="720" w:hanging="720"/>
    </w:pPr>
  </w:style>
  <w:style w:type="table" w:styleId="TableGrid">
    <w:name w:val="Table Grid"/>
    <w:basedOn w:val="TableNormal"/>
    <w:uiPriority w:val="39"/>
    <w:rsid w:val="00105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5111A"/>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5111A"/>
    <w:pPr>
      <w:spacing w:after="100"/>
      <w:ind w:left="240"/>
    </w:pPr>
  </w:style>
  <w:style w:type="character" w:styleId="Hyperlink">
    <w:name w:val="Hyperlink"/>
    <w:basedOn w:val="DefaultParagraphFont"/>
    <w:uiPriority w:val="99"/>
    <w:unhideWhenUsed/>
    <w:rsid w:val="00B5111A"/>
    <w:rPr>
      <w:color w:val="0563C1" w:themeColor="hyperlink"/>
      <w:u w:val="single"/>
    </w:rPr>
  </w:style>
  <w:style w:type="paragraph" w:styleId="Title">
    <w:name w:val="Title"/>
    <w:basedOn w:val="Normal"/>
    <w:next w:val="Normal"/>
    <w:link w:val="TitleChar"/>
    <w:uiPriority w:val="10"/>
    <w:qFormat/>
    <w:rsid w:val="002018A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8AB"/>
    <w:rPr>
      <w:rFonts w:asciiTheme="majorHAnsi" w:eastAsiaTheme="majorEastAsia" w:hAnsiTheme="majorHAnsi" w:cstheme="majorBidi"/>
      <w:spacing w:val="-10"/>
      <w:kern w:val="28"/>
      <w:sz w:val="56"/>
      <w:szCs w:val="56"/>
      <w:lang w:val="en-US"/>
    </w:rPr>
  </w:style>
  <w:style w:type="paragraph" w:styleId="Footer">
    <w:name w:val="footer"/>
    <w:basedOn w:val="Normal"/>
    <w:link w:val="FooterChar"/>
    <w:uiPriority w:val="99"/>
    <w:unhideWhenUsed/>
    <w:rsid w:val="008454BD"/>
    <w:pPr>
      <w:tabs>
        <w:tab w:val="center" w:pos="4513"/>
        <w:tab w:val="right" w:pos="9026"/>
      </w:tabs>
    </w:pPr>
  </w:style>
  <w:style w:type="character" w:customStyle="1" w:styleId="FooterChar">
    <w:name w:val="Footer Char"/>
    <w:basedOn w:val="DefaultParagraphFont"/>
    <w:link w:val="Footer"/>
    <w:uiPriority w:val="99"/>
    <w:rsid w:val="008454BD"/>
    <w:rPr>
      <w:rFonts w:ascii="Times New Roman" w:hAnsi="Times New Roman" w:cs="Times New Roman"/>
      <w:lang w:val="en-US"/>
    </w:rPr>
  </w:style>
  <w:style w:type="character" w:styleId="PageNumber">
    <w:name w:val="page number"/>
    <w:basedOn w:val="DefaultParagraphFont"/>
    <w:uiPriority w:val="99"/>
    <w:semiHidden/>
    <w:unhideWhenUsed/>
    <w:rsid w:val="008454BD"/>
  </w:style>
  <w:style w:type="paragraph" w:styleId="FootnoteText">
    <w:name w:val="footnote text"/>
    <w:basedOn w:val="Normal"/>
    <w:link w:val="FootnoteTextChar"/>
    <w:uiPriority w:val="99"/>
    <w:semiHidden/>
    <w:unhideWhenUsed/>
    <w:rsid w:val="00A82D33"/>
    <w:pPr>
      <w:jc w:val="left"/>
    </w:pPr>
    <w:rPr>
      <w:rFonts w:asciiTheme="minorHAnsi" w:hAnsiTheme="minorHAnsi" w:cstheme="minorBidi"/>
      <w:sz w:val="20"/>
      <w:szCs w:val="20"/>
      <w:lang w:val="en-IT"/>
    </w:rPr>
  </w:style>
  <w:style w:type="character" w:customStyle="1" w:styleId="FootnoteTextChar">
    <w:name w:val="Footnote Text Char"/>
    <w:basedOn w:val="DefaultParagraphFont"/>
    <w:link w:val="FootnoteText"/>
    <w:uiPriority w:val="99"/>
    <w:semiHidden/>
    <w:rsid w:val="00A82D33"/>
    <w:rPr>
      <w:sz w:val="20"/>
      <w:szCs w:val="20"/>
    </w:rPr>
  </w:style>
  <w:style w:type="character" w:styleId="FootnoteReference">
    <w:name w:val="footnote reference"/>
    <w:basedOn w:val="DefaultParagraphFont"/>
    <w:uiPriority w:val="99"/>
    <w:semiHidden/>
    <w:unhideWhenUsed/>
    <w:rsid w:val="00A82D33"/>
    <w:rPr>
      <w:vertAlign w:val="superscript"/>
    </w:rPr>
  </w:style>
  <w:style w:type="character" w:customStyle="1" w:styleId="VerbatimChar">
    <w:name w:val="Verbatim Char"/>
    <w:basedOn w:val="DefaultParagraphFont"/>
    <w:link w:val="SourceCode"/>
    <w:rsid w:val="00F256C1"/>
    <w:rPr>
      <w:rFonts w:ascii="Consolas" w:hAnsi="Consolas"/>
      <w:sz w:val="22"/>
      <w:shd w:val="clear" w:color="auto" w:fill="F8F8F8"/>
    </w:rPr>
  </w:style>
  <w:style w:type="paragraph" w:customStyle="1" w:styleId="SourceCode">
    <w:name w:val="Source Code"/>
    <w:basedOn w:val="Normal"/>
    <w:link w:val="VerbatimChar"/>
    <w:rsid w:val="00F256C1"/>
    <w:pPr>
      <w:shd w:val="clear" w:color="auto" w:fill="F8F8F8"/>
      <w:wordWrap w:val="0"/>
      <w:spacing w:after="200"/>
      <w:jc w:val="left"/>
    </w:pPr>
    <w:rPr>
      <w:rFonts w:ascii="Consolas" w:hAnsi="Consolas" w:cstheme="minorBidi"/>
      <w:sz w:val="22"/>
      <w:lang w:val="en-IT"/>
    </w:rPr>
  </w:style>
  <w:style w:type="paragraph" w:styleId="BodyText">
    <w:name w:val="Body Text"/>
    <w:basedOn w:val="Normal"/>
    <w:link w:val="BodyTextChar"/>
    <w:qFormat/>
    <w:rsid w:val="00F256C1"/>
    <w:pPr>
      <w:spacing w:before="180" w:after="180"/>
      <w:jc w:val="left"/>
    </w:pPr>
    <w:rPr>
      <w:rFonts w:asciiTheme="minorHAnsi" w:hAnsiTheme="minorHAnsi" w:cstheme="minorBidi"/>
      <w:kern w:val="0"/>
      <w14:ligatures w14:val="none"/>
    </w:rPr>
  </w:style>
  <w:style w:type="character" w:customStyle="1" w:styleId="BodyTextChar">
    <w:name w:val="Body Text Char"/>
    <w:basedOn w:val="DefaultParagraphFont"/>
    <w:link w:val="BodyText"/>
    <w:rsid w:val="00F256C1"/>
    <w:rPr>
      <w:kern w:val="0"/>
      <w:lang w:val="en-US"/>
      <w14:ligatures w14:val="none"/>
    </w:rPr>
  </w:style>
  <w:style w:type="paragraph" w:customStyle="1" w:styleId="Compact">
    <w:name w:val="Compact"/>
    <w:basedOn w:val="BodyText"/>
    <w:qFormat/>
    <w:rsid w:val="00F256C1"/>
    <w:pPr>
      <w:spacing w:before="36" w:after="36"/>
    </w:pPr>
  </w:style>
  <w:style w:type="paragraph" w:styleId="Caption">
    <w:name w:val="caption"/>
    <w:basedOn w:val="Normal"/>
    <w:link w:val="CaptionChar"/>
    <w:rsid w:val="00F256C1"/>
    <w:pPr>
      <w:spacing w:after="120"/>
      <w:jc w:val="left"/>
    </w:pPr>
    <w:rPr>
      <w:rFonts w:asciiTheme="minorHAnsi" w:hAnsiTheme="minorHAnsi" w:cstheme="minorBidi"/>
      <w:i/>
      <w:kern w:val="0"/>
      <w14:ligatures w14:val="none"/>
    </w:rPr>
  </w:style>
  <w:style w:type="character" w:customStyle="1" w:styleId="CaptionChar">
    <w:name w:val="Caption Char"/>
    <w:basedOn w:val="DefaultParagraphFont"/>
    <w:link w:val="Caption"/>
    <w:rsid w:val="00F256C1"/>
    <w:rPr>
      <w:i/>
      <w:kern w:val="0"/>
      <w:lang w:val="en-US"/>
      <w14:ligatures w14:val="none"/>
    </w:rPr>
  </w:style>
  <w:style w:type="paragraph" w:customStyle="1" w:styleId="ImageCaption">
    <w:name w:val="Image Caption"/>
    <w:basedOn w:val="Caption"/>
    <w:rsid w:val="00F25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9390">
      <w:bodyDiv w:val="1"/>
      <w:marLeft w:val="0"/>
      <w:marRight w:val="0"/>
      <w:marTop w:val="0"/>
      <w:marBottom w:val="0"/>
      <w:divBdr>
        <w:top w:val="none" w:sz="0" w:space="0" w:color="auto"/>
        <w:left w:val="none" w:sz="0" w:space="0" w:color="auto"/>
        <w:bottom w:val="none" w:sz="0" w:space="0" w:color="auto"/>
        <w:right w:val="none" w:sz="0" w:space="0" w:color="auto"/>
      </w:divBdr>
    </w:div>
    <w:div w:id="72091017">
      <w:bodyDiv w:val="1"/>
      <w:marLeft w:val="0"/>
      <w:marRight w:val="0"/>
      <w:marTop w:val="0"/>
      <w:marBottom w:val="0"/>
      <w:divBdr>
        <w:top w:val="none" w:sz="0" w:space="0" w:color="auto"/>
        <w:left w:val="none" w:sz="0" w:space="0" w:color="auto"/>
        <w:bottom w:val="none" w:sz="0" w:space="0" w:color="auto"/>
        <w:right w:val="none" w:sz="0" w:space="0" w:color="auto"/>
      </w:divBdr>
      <w:divsChild>
        <w:div w:id="992178443">
          <w:marLeft w:val="0"/>
          <w:marRight w:val="0"/>
          <w:marTop w:val="0"/>
          <w:marBottom w:val="0"/>
          <w:divBdr>
            <w:top w:val="none" w:sz="0" w:space="0" w:color="auto"/>
            <w:left w:val="none" w:sz="0" w:space="0" w:color="auto"/>
            <w:bottom w:val="none" w:sz="0" w:space="0" w:color="auto"/>
            <w:right w:val="none" w:sz="0" w:space="0" w:color="auto"/>
          </w:divBdr>
        </w:div>
        <w:div w:id="1258946674">
          <w:marLeft w:val="0"/>
          <w:marRight w:val="0"/>
          <w:marTop w:val="0"/>
          <w:marBottom w:val="0"/>
          <w:divBdr>
            <w:top w:val="none" w:sz="0" w:space="0" w:color="auto"/>
            <w:left w:val="none" w:sz="0" w:space="0" w:color="auto"/>
            <w:bottom w:val="none" w:sz="0" w:space="0" w:color="auto"/>
            <w:right w:val="none" w:sz="0" w:space="0" w:color="auto"/>
          </w:divBdr>
        </w:div>
        <w:div w:id="497968031">
          <w:marLeft w:val="0"/>
          <w:marRight w:val="0"/>
          <w:marTop w:val="0"/>
          <w:marBottom w:val="0"/>
          <w:divBdr>
            <w:top w:val="none" w:sz="0" w:space="0" w:color="auto"/>
            <w:left w:val="none" w:sz="0" w:space="0" w:color="auto"/>
            <w:bottom w:val="none" w:sz="0" w:space="0" w:color="auto"/>
            <w:right w:val="none" w:sz="0" w:space="0" w:color="auto"/>
          </w:divBdr>
        </w:div>
        <w:div w:id="1903442284">
          <w:marLeft w:val="0"/>
          <w:marRight w:val="0"/>
          <w:marTop w:val="0"/>
          <w:marBottom w:val="0"/>
          <w:divBdr>
            <w:top w:val="none" w:sz="0" w:space="0" w:color="auto"/>
            <w:left w:val="none" w:sz="0" w:space="0" w:color="auto"/>
            <w:bottom w:val="none" w:sz="0" w:space="0" w:color="auto"/>
            <w:right w:val="none" w:sz="0" w:space="0" w:color="auto"/>
          </w:divBdr>
        </w:div>
        <w:div w:id="1787654048">
          <w:marLeft w:val="0"/>
          <w:marRight w:val="0"/>
          <w:marTop w:val="0"/>
          <w:marBottom w:val="0"/>
          <w:divBdr>
            <w:top w:val="none" w:sz="0" w:space="0" w:color="auto"/>
            <w:left w:val="none" w:sz="0" w:space="0" w:color="auto"/>
            <w:bottom w:val="none" w:sz="0" w:space="0" w:color="auto"/>
            <w:right w:val="none" w:sz="0" w:space="0" w:color="auto"/>
          </w:divBdr>
        </w:div>
        <w:div w:id="1892888981">
          <w:marLeft w:val="0"/>
          <w:marRight w:val="0"/>
          <w:marTop w:val="0"/>
          <w:marBottom w:val="0"/>
          <w:divBdr>
            <w:top w:val="none" w:sz="0" w:space="0" w:color="auto"/>
            <w:left w:val="none" w:sz="0" w:space="0" w:color="auto"/>
            <w:bottom w:val="none" w:sz="0" w:space="0" w:color="auto"/>
            <w:right w:val="none" w:sz="0" w:space="0" w:color="auto"/>
          </w:divBdr>
        </w:div>
        <w:div w:id="1026101357">
          <w:marLeft w:val="0"/>
          <w:marRight w:val="0"/>
          <w:marTop w:val="0"/>
          <w:marBottom w:val="0"/>
          <w:divBdr>
            <w:top w:val="none" w:sz="0" w:space="0" w:color="auto"/>
            <w:left w:val="none" w:sz="0" w:space="0" w:color="auto"/>
            <w:bottom w:val="none" w:sz="0" w:space="0" w:color="auto"/>
            <w:right w:val="none" w:sz="0" w:space="0" w:color="auto"/>
          </w:divBdr>
        </w:div>
        <w:div w:id="834733314">
          <w:marLeft w:val="0"/>
          <w:marRight w:val="0"/>
          <w:marTop w:val="0"/>
          <w:marBottom w:val="0"/>
          <w:divBdr>
            <w:top w:val="none" w:sz="0" w:space="0" w:color="auto"/>
            <w:left w:val="none" w:sz="0" w:space="0" w:color="auto"/>
            <w:bottom w:val="none" w:sz="0" w:space="0" w:color="auto"/>
            <w:right w:val="none" w:sz="0" w:space="0" w:color="auto"/>
          </w:divBdr>
        </w:div>
        <w:div w:id="189102275">
          <w:marLeft w:val="0"/>
          <w:marRight w:val="0"/>
          <w:marTop w:val="0"/>
          <w:marBottom w:val="0"/>
          <w:divBdr>
            <w:top w:val="none" w:sz="0" w:space="0" w:color="auto"/>
            <w:left w:val="none" w:sz="0" w:space="0" w:color="auto"/>
            <w:bottom w:val="none" w:sz="0" w:space="0" w:color="auto"/>
            <w:right w:val="none" w:sz="0" w:space="0" w:color="auto"/>
          </w:divBdr>
        </w:div>
      </w:divsChild>
    </w:div>
    <w:div w:id="83767160">
      <w:bodyDiv w:val="1"/>
      <w:marLeft w:val="0"/>
      <w:marRight w:val="0"/>
      <w:marTop w:val="0"/>
      <w:marBottom w:val="0"/>
      <w:divBdr>
        <w:top w:val="none" w:sz="0" w:space="0" w:color="auto"/>
        <w:left w:val="none" w:sz="0" w:space="0" w:color="auto"/>
        <w:bottom w:val="none" w:sz="0" w:space="0" w:color="auto"/>
        <w:right w:val="none" w:sz="0" w:space="0" w:color="auto"/>
      </w:divBdr>
      <w:divsChild>
        <w:div w:id="1266036223">
          <w:marLeft w:val="0"/>
          <w:marRight w:val="0"/>
          <w:marTop w:val="0"/>
          <w:marBottom w:val="0"/>
          <w:divBdr>
            <w:top w:val="none" w:sz="0" w:space="0" w:color="auto"/>
            <w:left w:val="none" w:sz="0" w:space="0" w:color="auto"/>
            <w:bottom w:val="none" w:sz="0" w:space="0" w:color="auto"/>
            <w:right w:val="none" w:sz="0" w:space="0" w:color="auto"/>
          </w:divBdr>
        </w:div>
        <w:div w:id="632491191">
          <w:marLeft w:val="0"/>
          <w:marRight w:val="0"/>
          <w:marTop w:val="0"/>
          <w:marBottom w:val="0"/>
          <w:divBdr>
            <w:top w:val="none" w:sz="0" w:space="0" w:color="auto"/>
            <w:left w:val="none" w:sz="0" w:space="0" w:color="auto"/>
            <w:bottom w:val="none" w:sz="0" w:space="0" w:color="auto"/>
            <w:right w:val="none" w:sz="0" w:space="0" w:color="auto"/>
          </w:divBdr>
        </w:div>
        <w:div w:id="1528641986">
          <w:marLeft w:val="0"/>
          <w:marRight w:val="0"/>
          <w:marTop w:val="0"/>
          <w:marBottom w:val="0"/>
          <w:divBdr>
            <w:top w:val="none" w:sz="0" w:space="0" w:color="auto"/>
            <w:left w:val="none" w:sz="0" w:space="0" w:color="auto"/>
            <w:bottom w:val="none" w:sz="0" w:space="0" w:color="auto"/>
            <w:right w:val="none" w:sz="0" w:space="0" w:color="auto"/>
          </w:divBdr>
        </w:div>
        <w:div w:id="1347638206">
          <w:marLeft w:val="0"/>
          <w:marRight w:val="0"/>
          <w:marTop w:val="0"/>
          <w:marBottom w:val="0"/>
          <w:divBdr>
            <w:top w:val="none" w:sz="0" w:space="0" w:color="auto"/>
            <w:left w:val="none" w:sz="0" w:space="0" w:color="auto"/>
            <w:bottom w:val="none" w:sz="0" w:space="0" w:color="auto"/>
            <w:right w:val="none" w:sz="0" w:space="0" w:color="auto"/>
          </w:divBdr>
        </w:div>
        <w:div w:id="883173759">
          <w:marLeft w:val="0"/>
          <w:marRight w:val="0"/>
          <w:marTop w:val="0"/>
          <w:marBottom w:val="0"/>
          <w:divBdr>
            <w:top w:val="none" w:sz="0" w:space="0" w:color="auto"/>
            <w:left w:val="none" w:sz="0" w:space="0" w:color="auto"/>
            <w:bottom w:val="none" w:sz="0" w:space="0" w:color="auto"/>
            <w:right w:val="none" w:sz="0" w:space="0" w:color="auto"/>
          </w:divBdr>
        </w:div>
        <w:div w:id="2074546672">
          <w:marLeft w:val="0"/>
          <w:marRight w:val="0"/>
          <w:marTop w:val="0"/>
          <w:marBottom w:val="0"/>
          <w:divBdr>
            <w:top w:val="none" w:sz="0" w:space="0" w:color="auto"/>
            <w:left w:val="none" w:sz="0" w:space="0" w:color="auto"/>
            <w:bottom w:val="none" w:sz="0" w:space="0" w:color="auto"/>
            <w:right w:val="none" w:sz="0" w:space="0" w:color="auto"/>
          </w:divBdr>
        </w:div>
        <w:div w:id="753741094">
          <w:marLeft w:val="0"/>
          <w:marRight w:val="0"/>
          <w:marTop w:val="0"/>
          <w:marBottom w:val="0"/>
          <w:divBdr>
            <w:top w:val="none" w:sz="0" w:space="0" w:color="auto"/>
            <w:left w:val="none" w:sz="0" w:space="0" w:color="auto"/>
            <w:bottom w:val="none" w:sz="0" w:space="0" w:color="auto"/>
            <w:right w:val="none" w:sz="0" w:space="0" w:color="auto"/>
          </w:divBdr>
        </w:div>
        <w:div w:id="647395674">
          <w:marLeft w:val="0"/>
          <w:marRight w:val="0"/>
          <w:marTop w:val="0"/>
          <w:marBottom w:val="0"/>
          <w:divBdr>
            <w:top w:val="none" w:sz="0" w:space="0" w:color="auto"/>
            <w:left w:val="none" w:sz="0" w:space="0" w:color="auto"/>
            <w:bottom w:val="none" w:sz="0" w:space="0" w:color="auto"/>
            <w:right w:val="none" w:sz="0" w:space="0" w:color="auto"/>
          </w:divBdr>
        </w:div>
        <w:div w:id="81529747">
          <w:marLeft w:val="0"/>
          <w:marRight w:val="0"/>
          <w:marTop w:val="0"/>
          <w:marBottom w:val="0"/>
          <w:divBdr>
            <w:top w:val="none" w:sz="0" w:space="0" w:color="auto"/>
            <w:left w:val="none" w:sz="0" w:space="0" w:color="auto"/>
            <w:bottom w:val="none" w:sz="0" w:space="0" w:color="auto"/>
            <w:right w:val="none" w:sz="0" w:space="0" w:color="auto"/>
          </w:divBdr>
        </w:div>
      </w:divsChild>
    </w:div>
    <w:div w:id="301010069">
      <w:bodyDiv w:val="1"/>
      <w:marLeft w:val="0"/>
      <w:marRight w:val="0"/>
      <w:marTop w:val="0"/>
      <w:marBottom w:val="0"/>
      <w:divBdr>
        <w:top w:val="none" w:sz="0" w:space="0" w:color="auto"/>
        <w:left w:val="none" w:sz="0" w:space="0" w:color="auto"/>
        <w:bottom w:val="none" w:sz="0" w:space="0" w:color="auto"/>
        <w:right w:val="none" w:sz="0" w:space="0" w:color="auto"/>
      </w:divBdr>
    </w:div>
    <w:div w:id="332807097">
      <w:bodyDiv w:val="1"/>
      <w:marLeft w:val="0"/>
      <w:marRight w:val="0"/>
      <w:marTop w:val="0"/>
      <w:marBottom w:val="0"/>
      <w:divBdr>
        <w:top w:val="none" w:sz="0" w:space="0" w:color="auto"/>
        <w:left w:val="none" w:sz="0" w:space="0" w:color="auto"/>
        <w:bottom w:val="none" w:sz="0" w:space="0" w:color="auto"/>
        <w:right w:val="none" w:sz="0" w:space="0" w:color="auto"/>
      </w:divBdr>
    </w:div>
    <w:div w:id="409625089">
      <w:bodyDiv w:val="1"/>
      <w:marLeft w:val="0"/>
      <w:marRight w:val="0"/>
      <w:marTop w:val="0"/>
      <w:marBottom w:val="0"/>
      <w:divBdr>
        <w:top w:val="none" w:sz="0" w:space="0" w:color="auto"/>
        <w:left w:val="none" w:sz="0" w:space="0" w:color="auto"/>
        <w:bottom w:val="none" w:sz="0" w:space="0" w:color="auto"/>
        <w:right w:val="none" w:sz="0" w:space="0" w:color="auto"/>
      </w:divBdr>
    </w:div>
    <w:div w:id="459298341">
      <w:bodyDiv w:val="1"/>
      <w:marLeft w:val="0"/>
      <w:marRight w:val="0"/>
      <w:marTop w:val="0"/>
      <w:marBottom w:val="0"/>
      <w:divBdr>
        <w:top w:val="none" w:sz="0" w:space="0" w:color="auto"/>
        <w:left w:val="none" w:sz="0" w:space="0" w:color="auto"/>
        <w:bottom w:val="none" w:sz="0" w:space="0" w:color="auto"/>
        <w:right w:val="none" w:sz="0" w:space="0" w:color="auto"/>
      </w:divBdr>
    </w:div>
    <w:div w:id="496309735">
      <w:bodyDiv w:val="1"/>
      <w:marLeft w:val="0"/>
      <w:marRight w:val="0"/>
      <w:marTop w:val="0"/>
      <w:marBottom w:val="0"/>
      <w:divBdr>
        <w:top w:val="none" w:sz="0" w:space="0" w:color="auto"/>
        <w:left w:val="none" w:sz="0" w:space="0" w:color="auto"/>
        <w:bottom w:val="none" w:sz="0" w:space="0" w:color="auto"/>
        <w:right w:val="none" w:sz="0" w:space="0" w:color="auto"/>
      </w:divBdr>
    </w:div>
    <w:div w:id="580602479">
      <w:bodyDiv w:val="1"/>
      <w:marLeft w:val="0"/>
      <w:marRight w:val="0"/>
      <w:marTop w:val="0"/>
      <w:marBottom w:val="0"/>
      <w:divBdr>
        <w:top w:val="none" w:sz="0" w:space="0" w:color="auto"/>
        <w:left w:val="none" w:sz="0" w:space="0" w:color="auto"/>
        <w:bottom w:val="none" w:sz="0" w:space="0" w:color="auto"/>
        <w:right w:val="none" w:sz="0" w:space="0" w:color="auto"/>
      </w:divBdr>
    </w:div>
    <w:div w:id="642542411">
      <w:bodyDiv w:val="1"/>
      <w:marLeft w:val="0"/>
      <w:marRight w:val="0"/>
      <w:marTop w:val="0"/>
      <w:marBottom w:val="0"/>
      <w:divBdr>
        <w:top w:val="none" w:sz="0" w:space="0" w:color="auto"/>
        <w:left w:val="none" w:sz="0" w:space="0" w:color="auto"/>
        <w:bottom w:val="none" w:sz="0" w:space="0" w:color="auto"/>
        <w:right w:val="none" w:sz="0" w:space="0" w:color="auto"/>
      </w:divBdr>
    </w:div>
    <w:div w:id="735858777">
      <w:bodyDiv w:val="1"/>
      <w:marLeft w:val="0"/>
      <w:marRight w:val="0"/>
      <w:marTop w:val="0"/>
      <w:marBottom w:val="0"/>
      <w:divBdr>
        <w:top w:val="none" w:sz="0" w:space="0" w:color="auto"/>
        <w:left w:val="none" w:sz="0" w:space="0" w:color="auto"/>
        <w:bottom w:val="none" w:sz="0" w:space="0" w:color="auto"/>
        <w:right w:val="none" w:sz="0" w:space="0" w:color="auto"/>
      </w:divBdr>
    </w:div>
    <w:div w:id="768964135">
      <w:bodyDiv w:val="1"/>
      <w:marLeft w:val="0"/>
      <w:marRight w:val="0"/>
      <w:marTop w:val="0"/>
      <w:marBottom w:val="0"/>
      <w:divBdr>
        <w:top w:val="none" w:sz="0" w:space="0" w:color="auto"/>
        <w:left w:val="none" w:sz="0" w:space="0" w:color="auto"/>
        <w:bottom w:val="none" w:sz="0" w:space="0" w:color="auto"/>
        <w:right w:val="none" w:sz="0" w:space="0" w:color="auto"/>
      </w:divBdr>
    </w:div>
    <w:div w:id="809202179">
      <w:bodyDiv w:val="1"/>
      <w:marLeft w:val="0"/>
      <w:marRight w:val="0"/>
      <w:marTop w:val="0"/>
      <w:marBottom w:val="0"/>
      <w:divBdr>
        <w:top w:val="none" w:sz="0" w:space="0" w:color="auto"/>
        <w:left w:val="none" w:sz="0" w:space="0" w:color="auto"/>
        <w:bottom w:val="none" w:sz="0" w:space="0" w:color="auto"/>
        <w:right w:val="none" w:sz="0" w:space="0" w:color="auto"/>
      </w:divBdr>
    </w:div>
    <w:div w:id="1093013196">
      <w:bodyDiv w:val="1"/>
      <w:marLeft w:val="0"/>
      <w:marRight w:val="0"/>
      <w:marTop w:val="0"/>
      <w:marBottom w:val="0"/>
      <w:divBdr>
        <w:top w:val="none" w:sz="0" w:space="0" w:color="auto"/>
        <w:left w:val="none" w:sz="0" w:space="0" w:color="auto"/>
        <w:bottom w:val="none" w:sz="0" w:space="0" w:color="auto"/>
        <w:right w:val="none" w:sz="0" w:space="0" w:color="auto"/>
      </w:divBdr>
    </w:div>
    <w:div w:id="1163853985">
      <w:bodyDiv w:val="1"/>
      <w:marLeft w:val="0"/>
      <w:marRight w:val="0"/>
      <w:marTop w:val="0"/>
      <w:marBottom w:val="0"/>
      <w:divBdr>
        <w:top w:val="none" w:sz="0" w:space="0" w:color="auto"/>
        <w:left w:val="none" w:sz="0" w:space="0" w:color="auto"/>
        <w:bottom w:val="none" w:sz="0" w:space="0" w:color="auto"/>
        <w:right w:val="none" w:sz="0" w:space="0" w:color="auto"/>
      </w:divBdr>
    </w:div>
    <w:div w:id="1258365214">
      <w:bodyDiv w:val="1"/>
      <w:marLeft w:val="0"/>
      <w:marRight w:val="0"/>
      <w:marTop w:val="0"/>
      <w:marBottom w:val="0"/>
      <w:divBdr>
        <w:top w:val="none" w:sz="0" w:space="0" w:color="auto"/>
        <w:left w:val="none" w:sz="0" w:space="0" w:color="auto"/>
        <w:bottom w:val="none" w:sz="0" w:space="0" w:color="auto"/>
        <w:right w:val="none" w:sz="0" w:space="0" w:color="auto"/>
      </w:divBdr>
    </w:div>
    <w:div w:id="1443845382">
      <w:bodyDiv w:val="1"/>
      <w:marLeft w:val="0"/>
      <w:marRight w:val="0"/>
      <w:marTop w:val="0"/>
      <w:marBottom w:val="0"/>
      <w:divBdr>
        <w:top w:val="none" w:sz="0" w:space="0" w:color="auto"/>
        <w:left w:val="none" w:sz="0" w:space="0" w:color="auto"/>
        <w:bottom w:val="none" w:sz="0" w:space="0" w:color="auto"/>
        <w:right w:val="none" w:sz="0" w:space="0" w:color="auto"/>
      </w:divBdr>
    </w:div>
    <w:div w:id="1447236577">
      <w:bodyDiv w:val="1"/>
      <w:marLeft w:val="0"/>
      <w:marRight w:val="0"/>
      <w:marTop w:val="0"/>
      <w:marBottom w:val="0"/>
      <w:divBdr>
        <w:top w:val="none" w:sz="0" w:space="0" w:color="auto"/>
        <w:left w:val="none" w:sz="0" w:space="0" w:color="auto"/>
        <w:bottom w:val="none" w:sz="0" w:space="0" w:color="auto"/>
        <w:right w:val="none" w:sz="0" w:space="0" w:color="auto"/>
      </w:divBdr>
    </w:div>
    <w:div w:id="1490944925">
      <w:bodyDiv w:val="1"/>
      <w:marLeft w:val="0"/>
      <w:marRight w:val="0"/>
      <w:marTop w:val="0"/>
      <w:marBottom w:val="0"/>
      <w:divBdr>
        <w:top w:val="none" w:sz="0" w:space="0" w:color="auto"/>
        <w:left w:val="none" w:sz="0" w:space="0" w:color="auto"/>
        <w:bottom w:val="none" w:sz="0" w:space="0" w:color="auto"/>
        <w:right w:val="none" w:sz="0" w:space="0" w:color="auto"/>
      </w:divBdr>
    </w:div>
    <w:div w:id="1540849332">
      <w:bodyDiv w:val="1"/>
      <w:marLeft w:val="0"/>
      <w:marRight w:val="0"/>
      <w:marTop w:val="0"/>
      <w:marBottom w:val="0"/>
      <w:divBdr>
        <w:top w:val="none" w:sz="0" w:space="0" w:color="auto"/>
        <w:left w:val="none" w:sz="0" w:space="0" w:color="auto"/>
        <w:bottom w:val="none" w:sz="0" w:space="0" w:color="auto"/>
        <w:right w:val="none" w:sz="0" w:space="0" w:color="auto"/>
      </w:divBdr>
    </w:div>
    <w:div w:id="1635869179">
      <w:bodyDiv w:val="1"/>
      <w:marLeft w:val="0"/>
      <w:marRight w:val="0"/>
      <w:marTop w:val="0"/>
      <w:marBottom w:val="0"/>
      <w:divBdr>
        <w:top w:val="none" w:sz="0" w:space="0" w:color="auto"/>
        <w:left w:val="none" w:sz="0" w:space="0" w:color="auto"/>
        <w:bottom w:val="none" w:sz="0" w:space="0" w:color="auto"/>
        <w:right w:val="none" w:sz="0" w:space="0" w:color="auto"/>
      </w:divBdr>
    </w:div>
    <w:div w:id="1682197596">
      <w:bodyDiv w:val="1"/>
      <w:marLeft w:val="0"/>
      <w:marRight w:val="0"/>
      <w:marTop w:val="0"/>
      <w:marBottom w:val="0"/>
      <w:divBdr>
        <w:top w:val="none" w:sz="0" w:space="0" w:color="auto"/>
        <w:left w:val="none" w:sz="0" w:space="0" w:color="auto"/>
        <w:bottom w:val="none" w:sz="0" w:space="0" w:color="auto"/>
        <w:right w:val="none" w:sz="0" w:space="0" w:color="auto"/>
      </w:divBdr>
    </w:div>
    <w:div w:id="1776244292">
      <w:bodyDiv w:val="1"/>
      <w:marLeft w:val="0"/>
      <w:marRight w:val="0"/>
      <w:marTop w:val="0"/>
      <w:marBottom w:val="0"/>
      <w:divBdr>
        <w:top w:val="none" w:sz="0" w:space="0" w:color="auto"/>
        <w:left w:val="none" w:sz="0" w:space="0" w:color="auto"/>
        <w:bottom w:val="none" w:sz="0" w:space="0" w:color="auto"/>
        <w:right w:val="none" w:sz="0" w:space="0" w:color="auto"/>
      </w:divBdr>
    </w:div>
    <w:div w:id="1863128804">
      <w:bodyDiv w:val="1"/>
      <w:marLeft w:val="0"/>
      <w:marRight w:val="0"/>
      <w:marTop w:val="0"/>
      <w:marBottom w:val="0"/>
      <w:divBdr>
        <w:top w:val="none" w:sz="0" w:space="0" w:color="auto"/>
        <w:left w:val="none" w:sz="0" w:space="0" w:color="auto"/>
        <w:bottom w:val="none" w:sz="0" w:space="0" w:color="auto"/>
        <w:right w:val="none" w:sz="0" w:space="0" w:color="auto"/>
      </w:divBdr>
    </w:div>
    <w:div w:id="1865366546">
      <w:bodyDiv w:val="1"/>
      <w:marLeft w:val="0"/>
      <w:marRight w:val="0"/>
      <w:marTop w:val="0"/>
      <w:marBottom w:val="0"/>
      <w:divBdr>
        <w:top w:val="none" w:sz="0" w:space="0" w:color="auto"/>
        <w:left w:val="none" w:sz="0" w:space="0" w:color="auto"/>
        <w:bottom w:val="none" w:sz="0" w:space="0" w:color="auto"/>
        <w:right w:val="none" w:sz="0" w:space="0" w:color="auto"/>
      </w:divBdr>
    </w:div>
    <w:div w:id="1931547071">
      <w:bodyDiv w:val="1"/>
      <w:marLeft w:val="0"/>
      <w:marRight w:val="0"/>
      <w:marTop w:val="0"/>
      <w:marBottom w:val="0"/>
      <w:divBdr>
        <w:top w:val="none" w:sz="0" w:space="0" w:color="auto"/>
        <w:left w:val="none" w:sz="0" w:space="0" w:color="auto"/>
        <w:bottom w:val="none" w:sz="0" w:space="0" w:color="auto"/>
        <w:right w:val="none" w:sz="0" w:space="0" w:color="auto"/>
      </w:divBdr>
    </w:div>
    <w:div w:id="2014455758">
      <w:bodyDiv w:val="1"/>
      <w:marLeft w:val="0"/>
      <w:marRight w:val="0"/>
      <w:marTop w:val="0"/>
      <w:marBottom w:val="0"/>
      <w:divBdr>
        <w:top w:val="none" w:sz="0" w:space="0" w:color="auto"/>
        <w:left w:val="none" w:sz="0" w:space="0" w:color="auto"/>
        <w:bottom w:val="none" w:sz="0" w:space="0" w:color="auto"/>
        <w:right w:val="none" w:sz="0" w:space="0" w:color="auto"/>
      </w:divBdr>
    </w:div>
    <w:div w:id="203903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emf"/><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image" Target="media/image10.emf"/><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29</Pages>
  <Words>28106</Words>
  <Characters>160206</Characters>
  <Application>Microsoft Office Word</Application>
  <DocSecurity>0</DocSecurity>
  <Lines>1335</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19</cp:revision>
  <dcterms:created xsi:type="dcterms:W3CDTF">2023-07-07T13:43:00Z</dcterms:created>
  <dcterms:modified xsi:type="dcterms:W3CDTF">2023-07-13T10:54:00Z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id="INL1cQay"/&gt;&lt;style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