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BC0" w:rsidRDefault="00002EBA" w:rsidP="00285501">
      <w:pPr>
        <w:pStyle w:val="Espaciadoprincipal"/>
      </w:pPr>
      <w:r w:rsidRPr="00786E1F">
        <w:rPr>
          <w:noProof/>
        </w:rPr>
        <mc:AlternateContent>
          <mc:Choice Requires="wps">
            <w:drawing>
              <wp:anchor distT="45720" distB="45720" distL="114300" distR="114300" simplePos="0" relativeHeight="251659264" behindDoc="0" locked="0" layoutInCell="1" allowOverlap="1" wp14:anchorId="71FB1A73" wp14:editId="49329840">
                <wp:simplePos x="0" y="0"/>
                <wp:positionH relativeFrom="page">
                  <wp:posOffset>914400</wp:posOffset>
                </wp:positionH>
                <wp:positionV relativeFrom="paragraph">
                  <wp:posOffset>6920865</wp:posOffset>
                </wp:positionV>
                <wp:extent cx="5943600" cy="1118870"/>
                <wp:effectExtent l="0" t="0" r="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18870"/>
                        </a:xfrm>
                        <a:prstGeom prst="rect">
                          <a:avLst/>
                        </a:prstGeom>
                        <a:solidFill>
                          <a:srgbClr val="FFFFFF"/>
                        </a:solidFill>
                        <a:ln w="9525">
                          <a:noFill/>
                          <a:miter lim="800000"/>
                          <a:headEnd/>
                          <a:tailEnd/>
                        </a:ln>
                      </wps:spPr>
                      <wps:txbx>
                        <w:txbxContent>
                          <w:p w:rsidR="00002EBA" w:rsidRPr="008F0245" w:rsidRDefault="00002EBA" w:rsidP="00002EBA">
                            <w:pPr>
                              <w:pStyle w:val="NormalWeb"/>
                              <w:pBdr>
                                <w:top w:val="single" w:sz="4" w:space="1" w:color="auto"/>
                              </w:pBdr>
                              <w:spacing w:before="0" w:beforeAutospacing="0" w:after="0" w:afterAutospacing="0"/>
                              <w:rPr>
                                <w:sz w:val="18"/>
                                <w:szCs w:val="18"/>
                              </w:rPr>
                            </w:pPr>
                            <w:r w:rsidRPr="008F0245">
                              <w:rPr>
                                <w:sz w:val="18"/>
                                <w:szCs w:val="18"/>
                              </w:rPr>
                              <w:t>Si desea conocer más información sobre el sector</w:t>
                            </w:r>
                            <w:r w:rsidR="00370A5C">
                              <w:rPr>
                                <w:sz w:val="18"/>
                                <w:szCs w:val="18"/>
                              </w:rPr>
                              <w:t xml:space="preserve"> de la construcción de Jalisco, como </w:t>
                            </w:r>
                            <w:r w:rsidRPr="008F0245">
                              <w:rPr>
                                <w:sz w:val="18"/>
                                <w:szCs w:val="18"/>
                              </w:rPr>
                              <w:t xml:space="preserve">cifras de valor de la producción </w:t>
                            </w:r>
                            <w:r w:rsidR="005A01E5">
                              <w:rPr>
                                <w:sz w:val="18"/>
                                <w:szCs w:val="18"/>
                              </w:rPr>
                              <w:t xml:space="preserve">en precios constantes, desagregación </w:t>
                            </w:r>
                            <w:r w:rsidRPr="008F0245">
                              <w:rPr>
                                <w:sz w:val="18"/>
                                <w:szCs w:val="18"/>
                              </w:rPr>
                              <w:t xml:space="preserve">por </w:t>
                            </w:r>
                            <w:r w:rsidR="00370A5C">
                              <w:rPr>
                                <w:sz w:val="18"/>
                                <w:szCs w:val="18"/>
                              </w:rPr>
                              <w:t xml:space="preserve">otros </w:t>
                            </w:r>
                            <w:r w:rsidRPr="008F0245">
                              <w:rPr>
                                <w:sz w:val="18"/>
                                <w:szCs w:val="18"/>
                              </w:rPr>
                              <w:t>tipo</w:t>
                            </w:r>
                            <w:r w:rsidR="00370A5C">
                              <w:rPr>
                                <w:sz w:val="18"/>
                                <w:szCs w:val="18"/>
                              </w:rPr>
                              <w:t>s</w:t>
                            </w:r>
                            <w:r w:rsidRPr="008F0245">
                              <w:rPr>
                                <w:sz w:val="18"/>
                                <w:szCs w:val="18"/>
                              </w:rPr>
                              <w:t xml:space="preserve"> de obra (</w:t>
                            </w:r>
                            <w:r w:rsidR="00370A5C">
                              <w:rPr>
                                <w:sz w:val="18"/>
                                <w:szCs w:val="18"/>
                              </w:rPr>
                              <w:t>petróleo,</w:t>
                            </w:r>
                            <w:r w:rsidRPr="008F0245">
                              <w:rPr>
                                <w:sz w:val="18"/>
                                <w:szCs w:val="18"/>
                              </w:rPr>
                              <w:t xml:space="preserve"> </w:t>
                            </w:r>
                            <w:r w:rsidR="00370A5C">
                              <w:rPr>
                                <w:sz w:val="18"/>
                                <w:szCs w:val="18"/>
                              </w:rPr>
                              <w:t>electricidad</w:t>
                            </w:r>
                            <w:r w:rsidRPr="008F0245">
                              <w:rPr>
                                <w:sz w:val="18"/>
                                <w:szCs w:val="18"/>
                              </w:rPr>
                              <w:t xml:space="preserve"> y </w:t>
                            </w:r>
                            <w:r w:rsidR="00370A5C">
                              <w:rPr>
                                <w:sz w:val="18"/>
                                <w:szCs w:val="18"/>
                              </w:rPr>
                              <w:t>telecomunicaciones</w:t>
                            </w:r>
                            <w:r w:rsidRPr="008F0245">
                              <w:rPr>
                                <w:sz w:val="18"/>
                                <w:szCs w:val="18"/>
                              </w:rPr>
                              <w:t>, etc.)</w:t>
                            </w:r>
                            <w:r w:rsidR="00370A5C">
                              <w:rPr>
                                <w:sz w:val="18"/>
                                <w:szCs w:val="18"/>
                              </w:rPr>
                              <w:t>, o la distribución porcentual por sector, puede consultar</w:t>
                            </w:r>
                            <w:r w:rsidRPr="008F0245">
                              <w:rPr>
                                <w:sz w:val="18"/>
                                <w:szCs w:val="18"/>
                              </w:rPr>
                              <w:t xml:space="preserve"> la página de </w:t>
                            </w:r>
                            <w:hyperlink r:id="rId6" w:history="1">
                              <w:r w:rsidRPr="008F0245">
                                <w:rPr>
                                  <w:rStyle w:val="Hipervnculo"/>
                                  <w:rFonts w:ascii="Arial" w:hAnsi="Arial" w:cs="Arial"/>
                                  <w:sz w:val="18"/>
                                  <w:szCs w:val="18"/>
                                </w:rPr>
                                <w:t>Sector construcción</w:t>
                              </w:r>
                            </w:hyperlink>
                            <w:r w:rsidRPr="008F0245">
                              <w:rPr>
                                <w:sz w:val="18"/>
                                <w:szCs w:val="18"/>
                              </w:rPr>
                              <w:t xml:space="preserve"> de la sección de sectores estratégicos de Jalisco del IIEG. En este sitio también puede encontrar información del sector de la construcción de otras fuentes, como trabajadores de la construcción asegurados en el IMSS o establecimientos del sector por rama y tamaño</w:t>
                            </w:r>
                            <w:r w:rsidR="00370A5C">
                              <w:rPr>
                                <w:sz w:val="18"/>
                                <w:szCs w:val="18"/>
                              </w:rPr>
                              <w:t xml:space="preserve"> o PIB del sector</w:t>
                            </w:r>
                            <w:r w:rsidRPr="008F0245">
                              <w:rPr>
                                <w:sz w:val="18"/>
                                <w:szCs w:val="18"/>
                              </w:rPr>
                              <w:t>. Liga:</w:t>
                            </w:r>
                            <w:r w:rsidR="00370A5C">
                              <w:rPr>
                                <w:sz w:val="18"/>
                                <w:szCs w:val="18"/>
                              </w:rPr>
                              <w:t xml:space="preserve"> </w:t>
                            </w:r>
                            <w:hyperlink r:id="rId7" w:history="1">
                              <w:r w:rsidRPr="008F0245">
                                <w:rPr>
                                  <w:rStyle w:val="Hipervnculo"/>
                                  <w:rFonts w:ascii="Arial" w:hAnsi="Arial" w:cs="Arial"/>
                                  <w:sz w:val="18"/>
                                  <w:szCs w:val="18"/>
                                </w:rPr>
                                <w:t>https://iieg.gob.mx/ns/?page_id=12894</w:t>
                              </w:r>
                            </w:hyperlink>
                          </w:p>
                          <w:p w:rsidR="00002EBA" w:rsidRPr="00171FA9" w:rsidRDefault="00002EBA" w:rsidP="00002EBA">
                            <w:pPr>
                              <w:pStyle w:val="NormalWeb"/>
                              <w:pBdr>
                                <w:top w:val="single" w:sz="4" w:space="1" w:color="auto"/>
                              </w:pBdr>
                              <w:spacing w:before="0" w:beforeAutospacing="0" w:after="0" w:afterAutospacing="0"/>
                              <w:rPr>
                                <w:sz w:val="18"/>
                                <w:szCs w:val="18"/>
                              </w:rPr>
                            </w:pPr>
                          </w:p>
                          <w:p w:rsidR="00002EBA" w:rsidRPr="00171FA9" w:rsidRDefault="00002EBA" w:rsidP="00002EBA">
                            <w:pPr>
                              <w:pStyle w:val="NormalWeb"/>
                              <w:pBdr>
                                <w:top w:val="single" w:sz="4" w:space="1" w:color="auto"/>
                              </w:pBdr>
                              <w:spacing w:before="0" w:beforeAutospacing="0" w:after="0" w:afterAutospacing="0"/>
                              <w:rPr>
                                <w:sz w:val="18"/>
                                <w:szCs w:val="18"/>
                              </w:rPr>
                            </w:pPr>
                          </w:p>
                          <w:p w:rsidR="00002EBA" w:rsidRPr="00171FA9" w:rsidRDefault="00002EBA" w:rsidP="00002EBA">
                            <w:pPr>
                              <w:pBdr>
                                <w:top w:val="single" w:sz="4" w:space="1" w:color="auto"/>
                              </w:pBd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FB1A73" id="_x0000_t202" coordsize="21600,21600" o:spt="202" path="m,l,21600r21600,l21600,xe">
                <v:stroke joinstyle="miter"/>
                <v:path gradientshapeok="t" o:connecttype="rect"/>
              </v:shapetype>
              <v:shape id="Cuadro de texto 2" o:spid="_x0000_s1026" type="#_x0000_t202" style="position:absolute;margin-left:1in;margin-top:544.95pt;width:468pt;height:88.1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" stroked="f">
                <v:textbox>
                  <w:txbxContent>
                    <w:p w:rsidR="00002EBA" w:rsidRPr="008F0245" w:rsidRDefault="00002EBA" w:rsidP="00002EBA">
                      <w:pPr>
                        <w:pStyle w:val="NormalWeb"/>
                        <w:pBdr>
                          <w:top w:val="single" w:sz="4" w:space="1" w:color="auto"/>
                        </w:pBdr>
                        <w:spacing w:before="0" w:beforeAutospacing="0" w:after="0" w:afterAutospacing="0"/>
                        <w:rPr>
                          <w:sz w:val="18"/>
                          <w:szCs w:val="18"/>
                        </w:rPr>
                      </w:pPr>
                      <w:r w:rsidRPr="008F0245">
                        <w:rPr>
                          <w:sz w:val="18"/>
                          <w:szCs w:val="18"/>
                        </w:rPr>
                        <w:t>Si desea conocer más información sobre el sector</w:t>
                      </w:r>
                      <w:r w:rsidR="00370A5C">
                        <w:rPr>
                          <w:sz w:val="18"/>
                          <w:szCs w:val="18"/>
                        </w:rPr>
                        <w:t xml:space="preserve"> de la construcción de Jalisco, como </w:t>
                      </w:r>
                      <w:r w:rsidRPr="008F0245">
                        <w:rPr>
                          <w:sz w:val="18"/>
                          <w:szCs w:val="18"/>
                        </w:rPr>
                        <w:t xml:space="preserve">cifras de valor de la producción </w:t>
                      </w:r>
                      <w:r w:rsidR="005A01E5">
                        <w:rPr>
                          <w:sz w:val="18"/>
                          <w:szCs w:val="18"/>
                        </w:rPr>
                        <w:t xml:space="preserve">en precios constantes, desagregación </w:t>
                      </w:r>
                      <w:r w:rsidRPr="008F0245">
                        <w:rPr>
                          <w:sz w:val="18"/>
                          <w:szCs w:val="18"/>
                        </w:rPr>
                        <w:t xml:space="preserve">por </w:t>
                      </w:r>
                      <w:r w:rsidR="00370A5C">
                        <w:rPr>
                          <w:sz w:val="18"/>
                          <w:szCs w:val="18"/>
                        </w:rPr>
                        <w:t xml:space="preserve">otros </w:t>
                      </w:r>
                      <w:r w:rsidRPr="008F0245">
                        <w:rPr>
                          <w:sz w:val="18"/>
                          <w:szCs w:val="18"/>
                        </w:rPr>
                        <w:t>tipo</w:t>
                      </w:r>
                      <w:r w:rsidR="00370A5C">
                        <w:rPr>
                          <w:sz w:val="18"/>
                          <w:szCs w:val="18"/>
                        </w:rPr>
                        <w:t>s</w:t>
                      </w:r>
                      <w:r w:rsidRPr="008F0245">
                        <w:rPr>
                          <w:sz w:val="18"/>
                          <w:szCs w:val="18"/>
                        </w:rPr>
                        <w:t xml:space="preserve"> de obra (</w:t>
                      </w:r>
                      <w:r w:rsidR="00370A5C">
                        <w:rPr>
                          <w:sz w:val="18"/>
                          <w:szCs w:val="18"/>
                        </w:rPr>
                        <w:t>petróleo,</w:t>
                      </w:r>
                      <w:r w:rsidRPr="008F0245">
                        <w:rPr>
                          <w:sz w:val="18"/>
                          <w:szCs w:val="18"/>
                        </w:rPr>
                        <w:t xml:space="preserve"> </w:t>
                      </w:r>
                      <w:r w:rsidR="00370A5C">
                        <w:rPr>
                          <w:sz w:val="18"/>
                          <w:szCs w:val="18"/>
                        </w:rPr>
                        <w:t>electricidad</w:t>
                      </w:r>
                      <w:r w:rsidRPr="008F0245">
                        <w:rPr>
                          <w:sz w:val="18"/>
                          <w:szCs w:val="18"/>
                        </w:rPr>
                        <w:t xml:space="preserve"> y </w:t>
                      </w:r>
                      <w:r w:rsidR="00370A5C">
                        <w:rPr>
                          <w:sz w:val="18"/>
                          <w:szCs w:val="18"/>
                        </w:rPr>
                        <w:t>telecomunicaciones</w:t>
                      </w:r>
                      <w:r w:rsidRPr="008F0245">
                        <w:rPr>
                          <w:sz w:val="18"/>
                          <w:szCs w:val="18"/>
                        </w:rPr>
                        <w:t>, etc.)</w:t>
                      </w:r>
                      <w:r w:rsidR="00370A5C">
                        <w:rPr>
                          <w:sz w:val="18"/>
                          <w:szCs w:val="18"/>
                        </w:rPr>
                        <w:t>, o la distribución porcentual por sector, puede consultar</w:t>
                      </w:r>
                      <w:r w:rsidRPr="008F0245">
                        <w:rPr>
                          <w:sz w:val="18"/>
                          <w:szCs w:val="18"/>
                        </w:rPr>
                        <w:t xml:space="preserve"> la página de </w:t>
                      </w:r>
                      <w:hyperlink r:id="rId8" w:history="1">
                        <w:r w:rsidRPr="008F0245">
                          <w:rPr>
                            <w:rStyle w:val="Hipervnculo"/>
                            <w:rFonts w:ascii="Arial" w:hAnsi="Arial" w:cs="Arial"/>
                            <w:sz w:val="18"/>
                            <w:szCs w:val="18"/>
                          </w:rPr>
                          <w:t>Sector construcción</w:t>
                        </w:r>
                      </w:hyperlink>
                      <w:r w:rsidRPr="008F0245">
                        <w:rPr>
                          <w:sz w:val="18"/>
                          <w:szCs w:val="18"/>
                        </w:rPr>
                        <w:t xml:space="preserve"> de la sección de sectores estratégicos de Jalisco del IIEG. En este sitio también puede encontrar información del sector de la construcción de otras fuentes, como trabajadores de la construcción asegurados en el IMSS o establecimientos del sector por rama y tamaño</w:t>
                      </w:r>
                      <w:r w:rsidR="00370A5C">
                        <w:rPr>
                          <w:sz w:val="18"/>
                          <w:szCs w:val="18"/>
                        </w:rPr>
                        <w:t xml:space="preserve"> o PIB del sector</w:t>
                      </w:r>
                      <w:r w:rsidRPr="008F0245">
                        <w:rPr>
                          <w:sz w:val="18"/>
                          <w:szCs w:val="18"/>
                        </w:rPr>
                        <w:t>. Liga:</w:t>
                      </w:r>
                      <w:r w:rsidR="00370A5C">
                        <w:rPr>
                          <w:sz w:val="18"/>
                          <w:szCs w:val="18"/>
                        </w:rPr>
                        <w:t xml:space="preserve"> </w:t>
                      </w:r>
                      <w:hyperlink r:id="rId9" w:history="1">
                        <w:r w:rsidRPr="008F0245">
                          <w:rPr>
                            <w:rStyle w:val="Hipervnculo"/>
                            <w:rFonts w:ascii="Arial" w:hAnsi="Arial" w:cs="Arial"/>
                            <w:sz w:val="18"/>
                            <w:szCs w:val="18"/>
                          </w:rPr>
                          <w:t>https://iieg.gob.mx/ns/?page_id=12894</w:t>
                        </w:r>
                      </w:hyperlink>
                    </w:p>
                    <w:p w:rsidR="00002EBA" w:rsidRPr="00171FA9" w:rsidRDefault="00002EBA" w:rsidP="00002EBA">
                      <w:pPr>
                        <w:pStyle w:val="NormalWeb"/>
                        <w:pBdr>
                          <w:top w:val="single" w:sz="4" w:space="1" w:color="auto"/>
                        </w:pBdr>
                        <w:spacing w:before="0" w:beforeAutospacing="0" w:after="0" w:afterAutospacing="0"/>
                        <w:rPr>
                          <w:sz w:val="18"/>
                          <w:szCs w:val="18"/>
                        </w:rPr>
                      </w:pPr>
                    </w:p>
                    <w:p w:rsidR="00002EBA" w:rsidRPr="00171FA9" w:rsidRDefault="00002EBA" w:rsidP="00002EBA">
                      <w:pPr>
                        <w:pStyle w:val="NormalWeb"/>
                        <w:pBdr>
                          <w:top w:val="single" w:sz="4" w:space="1" w:color="auto"/>
                        </w:pBdr>
                        <w:spacing w:before="0" w:beforeAutospacing="0" w:after="0" w:afterAutospacing="0"/>
                        <w:rPr>
                          <w:sz w:val="18"/>
                          <w:szCs w:val="18"/>
                        </w:rPr>
                      </w:pPr>
                    </w:p>
                    <w:p w:rsidR="00002EBA" w:rsidRPr="00171FA9" w:rsidRDefault="00002EBA" w:rsidP="00002EBA">
                      <w:pPr>
                        <w:pBdr>
                          <w:top w:val="single" w:sz="4" w:space="1" w:color="auto"/>
                        </w:pBdr>
                        <w:rPr>
                          <w:sz w:val="18"/>
                          <w:szCs w:val="18"/>
                        </w:rPr>
                      </w:pPr>
                    </w:p>
                  </w:txbxContent>
                </v:textbox>
                <w10:wrap type="square" anchorx="page"/>
              </v:shape>
            </w:pict>
          </mc:Fallback>
        </mc:AlternateContent>
      </w:r>
    </w:p>
    <w:p w:rsidR="00285501" w:rsidRDefault="00285501" w:rsidP="00285501">
      <w:pPr>
        <w:pStyle w:val="Ttulo1"/>
      </w:pPr>
      <w:r>
        <w:t>Producción de la industria de la construcción en Jalisco de mayo de 2024</w:t>
      </w:r>
    </w:p>
    <w:p w:rsidR="00285501" w:rsidRDefault="00285501" w:rsidP="00285501">
      <w:r>
        <w:t>De acuerdo con datos de la Encuesta Nacional de Empresas Constructoras (ENEC), la producción de la industria de la construcción en Jalisco se ubicó en 3,271 millones de pesos corrientes durante el mes de mayo de 2024, ubicándose por debajo de la cifra de mayo de 2023 que alcanzó los 3,884 millones de pesos corrientes. Esto representó una disminución de 15.8% respecto al mismo mes del año anterior.</w:t>
      </w:r>
    </w:p>
    <w:p w:rsidR="00285501" w:rsidRDefault="00285501" w:rsidP="00285501">
      <w:pPr>
        <w:pStyle w:val="Figura-titulos"/>
      </w:pPr>
      <w:r>
        <w:t>Valor de la producción de la industria de la construcción en Jalisco, cifras de mayo en millones de pesos corrientes, mayo 2018-mayo 2024</w:t>
      </w:r>
    </w:p>
    <w:p w:rsidR="00285501" w:rsidRDefault="00285501" w:rsidP="00285501">
      <w:pPr>
        <w:pStyle w:val="Espaciadoprincipal"/>
      </w:pPr>
      <w:r>
        <w:rPr>
          <w:noProof/>
          <w:lang w:eastAsia="es-MX"/>
        </w:rPr>
        <w:drawing>
          <wp:inline distT="0" distB="0" distL="0" distR="0" wp14:anchorId="78F050B6" wp14:editId="0EAF6AFC">
            <wp:extent cx="5944870" cy="3175000"/>
            <wp:effectExtent l="0" t="0" r="17780" b="63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85501" w:rsidRDefault="00285501" w:rsidP="00285501">
      <w:pPr>
        <w:pStyle w:val="Fuentes"/>
      </w:pPr>
      <w:r>
        <w:t>Fuente: IIEG con información de INEGI.</w:t>
      </w:r>
    </w:p>
    <w:p w:rsidR="00285501" w:rsidRDefault="00285501">
      <w:pPr>
        <w:spacing w:before="0" w:after="0" w:line="240" w:lineRule="auto"/>
        <w:jc w:val="left"/>
        <w:rPr>
          <w:rFonts w:eastAsia="Calibri" w:cstheme="minorBidi"/>
          <w:b/>
          <w:sz w:val="24"/>
          <w:szCs w:val="22"/>
          <w:lang w:val="es-MX" w:eastAsia="en-US"/>
        </w:rPr>
      </w:pPr>
      <w:r>
        <w:br w:type="page"/>
      </w:r>
    </w:p>
    <w:p w:rsidR="00285501" w:rsidRDefault="00285501" w:rsidP="00285501">
      <w:pPr>
        <w:pStyle w:val="Espaciadoprincipal"/>
      </w:pPr>
    </w:p>
    <w:p w:rsidR="00285501" w:rsidRDefault="00285501" w:rsidP="00285501">
      <w:r>
        <w:t xml:space="preserve">Con base en cifras originales a precios corrientes, la producción de la industria de la construcción en Jalisco disminuyó </w:t>
      </w:r>
      <w:r w:rsidR="00F07435">
        <w:t xml:space="preserve">marginalmente </w:t>
      </w:r>
      <w:r>
        <w:t>0.1% en mayo de 2024 respecto al mes inmediato anterior. Asimismo, el comportamiento promedio de los últimos doce meses bajó por sexto mes consecutivo, pasando de 3,525 millones de pesos corrientes en abril de 2024 a 3,474 millones de pesos corrientes en mayo de 2024.</w:t>
      </w:r>
    </w:p>
    <w:p w:rsidR="00285501" w:rsidRDefault="00285501" w:rsidP="00285501">
      <w:pPr>
        <w:pStyle w:val="Figura-titulos"/>
      </w:pPr>
      <w:r>
        <w:t>Valor de la producción de la industria de la construcción en Jalisco, cifras mensuales en millones de pesos corrientes, enero 2018-mayo 2024</w:t>
      </w:r>
    </w:p>
    <w:p w:rsidR="00285501" w:rsidRDefault="00285501" w:rsidP="00285501">
      <w:pPr>
        <w:pStyle w:val="Espaciadoprincipal"/>
      </w:pPr>
      <w:r>
        <w:rPr>
          <w:noProof/>
          <w:lang w:eastAsia="es-MX"/>
        </w:rPr>
        <w:drawing>
          <wp:inline distT="0" distB="0" distL="0" distR="0" wp14:anchorId="02A4B873" wp14:editId="497859D5">
            <wp:extent cx="5944870" cy="3175000"/>
            <wp:effectExtent l="0" t="0" r="17780" b="63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85501" w:rsidRDefault="00285501" w:rsidP="00285501">
      <w:pPr>
        <w:pStyle w:val="Fuentes"/>
      </w:pPr>
      <w:r>
        <w:t>Fuente: IIEG con información de INEGI.</w:t>
      </w:r>
    </w:p>
    <w:p w:rsidR="00285501" w:rsidRDefault="00285501" w:rsidP="00285501">
      <w:pPr>
        <w:pStyle w:val="Fuentes"/>
      </w:pPr>
      <w:r>
        <w:t>Nota: El promedio se refiere al de los últimos doce meses.</w:t>
      </w:r>
    </w:p>
    <w:p w:rsidR="00285501" w:rsidRDefault="00285501">
      <w:pPr>
        <w:spacing w:before="0" w:after="0" w:line="240" w:lineRule="auto"/>
        <w:jc w:val="left"/>
        <w:rPr>
          <w:rFonts w:eastAsia="Calibri" w:cstheme="minorBidi"/>
          <w:b/>
          <w:sz w:val="24"/>
          <w:szCs w:val="22"/>
          <w:lang w:val="es-MX" w:eastAsia="en-US"/>
        </w:rPr>
      </w:pPr>
      <w:r>
        <w:br w:type="page"/>
      </w:r>
    </w:p>
    <w:p w:rsidR="00285501" w:rsidRDefault="00285501" w:rsidP="00285501">
      <w:pPr>
        <w:pStyle w:val="Espaciadoprincipal"/>
      </w:pPr>
    </w:p>
    <w:p w:rsidR="00285501" w:rsidRDefault="00285501" w:rsidP="00285501">
      <w:r>
        <w:t>Durante mayo de 2024, Jalisco concentró 5.9% del total del valor de la producción de la industria de la construcción en el país, ubicando a Jalisco en el tercer lugar a nivel nacional, por debajo de Quintana Roo y Nuevo León.</w:t>
      </w:r>
    </w:p>
    <w:p w:rsidR="00285501" w:rsidRDefault="00285501" w:rsidP="00285501">
      <w:pPr>
        <w:pStyle w:val="Figura-titulos"/>
      </w:pPr>
      <w:r>
        <w:t>Distribución porcentual de la producción de la industria de la construcción por entidad federativa, mayo 2024</w:t>
      </w:r>
    </w:p>
    <w:p w:rsidR="00285501" w:rsidRDefault="00285501" w:rsidP="00285501">
      <w:pPr>
        <w:pStyle w:val="Espaciadoprincipal"/>
      </w:pPr>
      <w:r>
        <w:rPr>
          <w:noProof/>
          <w:lang w:eastAsia="es-MX"/>
        </w:rPr>
        <w:drawing>
          <wp:inline distT="0" distB="0" distL="0" distR="0" wp14:anchorId="5C203B77" wp14:editId="3DF96172">
            <wp:extent cx="5944870" cy="5695950"/>
            <wp:effectExtent l="0" t="0" r="1778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85501" w:rsidRDefault="00285501" w:rsidP="00285501">
      <w:pPr>
        <w:pStyle w:val="Fuentes"/>
      </w:pPr>
      <w:r>
        <w:t>Fuente: IIEG con información de INEGI.</w:t>
      </w:r>
    </w:p>
    <w:p w:rsidR="00285501" w:rsidRDefault="00285501">
      <w:pPr>
        <w:spacing w:before="0" w:after="0" w:line="240" w:lineRule="auto"/>
        <w:jc w:val="left"/>
        <w:rPr>
          <w:rFonts w:eastAsia="Calibri" w:cstheme="minorBidi"/>
          <w:b/>
          <w:sz w:val="24"/>
          <w:szCs w:val="22"/>
          <w:lang w:val="es-MX" w:eastAsia="en-US"/>
        </w:rPr>
      </w:pPr>
      <w:r>
        <w:br w:type="page"/>
      </w:r>
    </w:p>
    <w:p w:rsidR="00285501" w:rsidRDefault="00285501" w:rsidP="00285501">
      <w:pPr>
        <w:pStyle w:val="Espaciadoprincipal"/>
      </w:pPr>
    </w:p>
    <w:p w:rsidR="00285501" w:rsidRDefault="00285501" w:rsidP="00285501">
      <w:r>
        <w:t>Durante mayo de 2024, la producción mensual de la industria de la construcción estatal, que disminuyó 15.8% a tasa anual, ubicó al Estado por debajo de la variación nacional, colocando a Jalisco en el lugar 26 respecto al resto de las entidades del país en cuanto a crecimiento del valor de la producción.</w:t>
      </w:r>
    </w:p>
    <w:p w:rsidR="00285501" w:rsidRDefault="00285501" w:rsidP="00285501">
      <w:pPr>
        <w:pStyle w:val="Figura-titulos"/>
      </w:pPr>
      <w:r>
        <w:t>Variación porcentual anual de la producción de la industria de la construcción por entidad federativa, mayo 2024</w:t>
      </w:r>
    </w:p>
    <w:p w:rsidR="00285501" w:rsidRDefault="00285501" w:rsidP="00285501">
      <w:pPr>
        <w:pStyle w:val="Espaciadoprincipal"/>
      </w:pPr>
      <w:r>
        <w:rPr>
          <w:noProof/>
          <w:lang w:eastAsia="es-MX"/>
        </w:rPr>
        <w:drawing>
          <wp:inline distT="0" distB="0" distL="0" distR="0" wp14:anchorId="31871B32" wp14:editId="51082645">
            <wp:extent cx="5944870" cy="5695950"/>
            <wp:effectExtent l="0" t="0" r="1778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85501" w:rsidRDefault="00285501" w:rsidP="00285501">
      <w:pPr>
        <w:pStyle w:val="Fuentes"/>
      </w:pPr>
      <w:r>
        <w:t>Fuente: IIEG con información de INEGI.</w:t>
      </w:r>
    </w:p>
    <w:p w:rsidR="00285501" w:rsidRDefault="00285501" w:rsidP="00285501">
      <w:pPr>
        <w:pStyle w:val="Fuentes"/>
      </w:pPr>
      <w:r>
        <w:t>Nota: La variación porcentual anual de se refiere a la variación de la producción mensual respecto al mismo mes del año anterior en pesos corrientes con cifras originales.</w:t>
      </w:r>
    </w:p>
    <w:p w:rsidR="00285501" w:rsidRDefault="00285501">
      <w:pPr>
        <w:spacing w:before="0" w:after="0" w:line="240" w:lineRule="auto"/>
        <w:jc w:val="left"/>
        <w:rPr>
          <w:rFonts w:eastAsia="Calibri" w:cstheme="minorBidi"/>
          <w:b/>
          <w:sz w:val="24"/>
          <w:szCs w:val="22"/>
          <w:lang w:val="es-MX" w:eastAsia="en-US"/>
        </w:rPr>
      </w:pPr>
      <w:r>
        <w:br w:type="page"/>
      </w:r>
    </w:p>
    <w:p w:rsidR="00285501" w:rsidRDefault="00285501" w:rsidP="00285501">
      <w:pPr>
        <w:pStyle w:val="Espaciadoprincipal"/>
      </w:pPr>
    </w:p>
    <w:p w:rsidR="00285501" w:rsidRDefault="00285501" w:rsidP="00285501">
      <w:r>
        <w:t xml:space="preserve">Durante mayo de 2024, la producción mensual de la industria de la construcción estatal, que disminuyó </w:t>
      </w:r>
      <w:r w:rsidR="00F07435">
        <w:t xml:space="preserve">marginalmente </w:t>
      </w:r>
      <w:r>
        <w:t xml:space="preserve">0.1% a tasa mensual, ubicó al Estado </w:t>
      </w:r>
      <w:r w:rsidR="00F07435">
        <w:t xml:space="preserve">en línea con </w:t>
      </w:r>
      <w:r>
        <w:t>la variación nacional, colocando a Jalisco en el lugar 17 respecto al resto de las entidades del país en cuanto a crecimiento mensual del valor de la producción.</w:t>
      </w:r>
    </w:p>
    <w:p w:rsidR="00285501" w:rsidRDefault="00285501" w:rsidP="00285501">
      <w:pPr>
        <w:pStyle w:val="Figura-titulos"/>
      </w:pPr>
      <w:r>
        <w:t>Variación porcentual mensual de la producción de la industria de la construcción por entidad federativa, mayo 2024</w:t>
      </w:r>
    </w:p>
    <w:p w:rsidR="00285501" w:rsidRDefault="00285501" w:rsidP="00285501">
      <w:pPr>
        <w:pStyle w:val="Espaciadoprincipal"/>
      </w:pPr>
      <w:r>
        <w:rPr>
          <w:noProof/>
          <w:lang w:eastAsia="es-MX"/>
        </w:rPr>
        <w:drawing>
          <wp:inline distT="0" distB="0" distL="0" distR="0" wp14:anchorId="752D6852" wp14:editId="6DD61632">
            <wp:extent cx="5944870" cy="5695950"/>
            <wp:effectExtent l="0" t="0" r="1778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5501" w:rsidRDefault="00285501" w:rsidP="00285501">
      <w:pPr>
        <w:pStyle w:val="Fuentes"/>
      </w:pPr>
      <w:r>
        <w:t>Fuente: IIEG con información de INEGI.</w:t>
      </w:r>
    </w:p>
    <w:p w:rsidR="00285501" w:rsidRPr="00285501" w:rsidRDefault="00285501" w:rsidP="00285501">
      <w:pPr>
        <w:pStyle w:val="Espaciadoprincipal"/>
        <w:jc w:val="both"/>
        <w:rPr>
          <w:b w:val="0"/>
          <w:sz w:val="20"/>
        </w:rPr>
      </w:pPr>
      <w:r w:rsidRPr="00285501">
        <w:rPr>
          <w:b w:val="0"/>
          <w:sz w:val="20"/>
        </w:rPr>
        <w:t>Nota: La variación porcentual mensual de se refiere a la variación de la producción mensual respecto al mes inmediato anterior en pesos corrientes con cifras originales.</w:t>
      </w:r>
    </w:p>
    <w:p w:rsidR="00285501" w:rsidRDefault="00285501">
      <w:pPr>
        <w:spacing w:before="0" w:after="0" w:line="240" w:lineRule="auto"/>
        <w:jc w:val="left"/>
        <w:rPr>
          <w:rFonts w:eastAsia="Calibri" w:cstheme="minorBidi"/>
          <w:b/>
          <w:sz w:val="24"/>
          <w:szCs w:val="22"/>
          <w:lang w:val="es-MX" w:eastAsia="en-US"/>
        </w:rPr>
      </w:pPr>
      <w:r>
        <w:br w:type="page"/>
      </w:r>
    </w:p>
    <w:p w:rsidR="00285501" w:rsidRDefault="00285501" w:rsidP="00285501">
      <w:pPr>
        <w:pStyle w:val="Espaciadoprincipal"/>
      </w:pPr>
    </w:p>
    <w:p w:rsidR="00285501" w:rsidRDefault="00285501" w:rsidP="00285501">
      <w:r>
        <w:t>Durante mayo de 2024, la producción mensual de la industria de la construcción estatal contratada por el sector público de los tres niveles de gobierno disminuyó 42</w:t>
      </w:r>
      <w:r w:rsidR="00427466">
        <w:t>.0</w:t>
      </w:r>
      <w:r>
        <w:t>% respecto al año anterior, pasando de 1,433 millones de pesos corrientes en mayo de 2023 a 830 millones de pesos corrientes en mayo de 2024. Además, la producción mensual de la industria de la construcción estatal contratada por el sector privado disminuyó 0.4% respectó al año anterior, pasando de 2,451 millones de pesos corrientes en mayo de 2023 a 2,440 millones de pesos corrientes en mayo de 2024. Con estas cifras el porcentaje que representa el sector público respecto al total del valor generado en la entidad pasó de 36.9% en mayo de 2023 a 25.4% en mayo de 2024.</w:t>
      </w:r>
    </w:p>
    <w:p w:rsidR="00285501" w:rsidRDefault="00285501" w:rsidP="00285501">
      <w:pPr>
        <w:pStyle w:val="Figura-titulos"/>
      </w:pPr>
      <w:r>
        <w:t>Valor de la producción por sector contratante en millones de pesos corrientes y porcentaje que representa el sector público respecto al valor generado en Jalisco, mayo 2024</w:t>
      </w:r>
    </w:p>
    <w:p w:rsidR="00285501" w:rsidRDefault="00285501" w:rsidP="00285501">
      <w:pPr>
        <w:pStyle w:val="Espaciadoprincipal"/>
      </w:pPr>
      <w:r>
        <w:rPr>
          <w:noProof/>
          <w:lang w:eastAsia="es-MX"/>
        </w:rPr>
        <w:drawing>
          <wp:inline distT="0" distB="0" distL="0" distR="0" wp14:anchorId="04BC5DFC" wp14:editId="745D1B81">
            <wp:extent cx="5944870" cy="3175000"/>
            <wp:effectExtent l="0" t="0" r="17780" b="63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85501" w:rsidRDefault="00285501" w:rsidP="00285501">
      <w:pPr>
        <w:pStyle w:val="Fuentes"/>
      </w:pPr>
      <w:r>
        <w:t>Fuente: IIEG con información de INEGI.</w:t>
      </w:r>
    </w:p>
    <w:p w:rsidR="00285501" w:rsidRDefault="00285501" w:rsidP="00285501">
      <w:pPr>
        <w:pStyle w:val="Fuentes"/>
      </w:pPr>
      <w:r>
        <w:t>Nota: El sector público considera a todas las obras que realiza una empresa constructora por encargo de una dependencia gubernamental en cualquiera de sus tres niveles: Federal, Estatal y Municipal. El sector privado contempla todas las obras que realiza una empresa constructora para cualquier particular o entidad privada.</w:t>
      </w:r>
    </w:p>
    <w:p w:rsidR="00285501" w:rsidRDefault="00285501">
      <w:pPr>
        <w:spacing w:before="0" w:after="0" w:line="240" w:lineRule="auto"/>
        <w:jc w:val="left"/>
        <w:rPr>
          <w:rFonts w:eastAsia="Calibri" w:cstheme="minorBidi"/>
          <w:b/>
          <w:sz w:val="24"/>
          <w:szCs w:val="22"/>
          <w:lang w:val="es-MX" w:eastAsia="en-US"/>
        </w:rPr>
      </w:pPr>
      <w:r>
        <w:br w:type="page"/>
      </w:r>
    </w:p>
    <w:p w:rsidR="00285501" w:rsidRDefault="00285501" w:rsidP="00285501">
      <w:pPr>
        <w:pStyle w:val="Espaciadoprincipal"/>
      </w:pPr>
    </w:p>
    <w:p w:rsidR="00285501" w:rsidRDefault="00285501" w:rsidP="00285501">
      <w:r>
        <w:t xml:space="preserve">La producción de la industria de la construcción en Jalisco presentó una caída anual de 613 millones de pesos corrientes (-15.8%) en mayo de 2024, las obras de edificación presentaron un decremento anual de 196 millones de pesos corrientes (-10.1%). Por su parte, las obras de transporte y urbanización presentaron un retroceso anual de 199 millones de pesos corrientes </w:t>
      </w:r>
      <w:r w:rsidR="00427466">
        <w:t xml:space="preserve">   </w:t>
      </w:r>
      <w:r>
        <w:t>(-28.9%), mientras que las obras de agua, riego y saneamiento también presentaron un decremento de 421 millones de pesos corrientes (-56.</w:t>
      </w:r>
      <w:r w:rsidR="00427466">
        <w:t>8%)</w:t>
      </w:r>
      <w:r>
        <w:t xml:space="preserve"> de esta forma este tipo de obra destaca en la aportación a la caída en el valor de la producción global del estado. Otras construcciones provocaron un aumento de 203 millones de pesos corrientes (39.1%), </w:t>
      </w:r>
      <w:r w:rsidR="00427466">
        <w:t>contrarrestando en cierta medida la caída</w:t>
      </w:r>
      <w:r>
        <w:t xml:space="preserve"> de la variación global del valor de la producción en la entidad.</w:t>
      </w:r>
      <w:bookmarkStart w:id="0" w:name="_GoBack"/>
      <w:bookmarkEnd w:id="0"/>
    </w:p>
    <w:p w:rsidR="00285501" w:rsidRDefault="00285501" w:rsidP="00285501">
      <w:pPr>
        <w:pStyle w:val="Figura-titulos"/>
      </w:pPr>
      <w:r>
        <w:t>Valor de la producción por tipo de obra en millones de pesos corrientes, mayo 2024</w:t>
      </w:r>
    </w:p>
    <w:p w:rsidR="00285501" w:rsidRDefault="00285501" w:rsidP="00285501">
      <w:pPr>
        <w:pStyle w:val="Espaciadoprincipal"/>
      </w:pPr>
      <w:r>
        <w:rPr>
          <w:noProof/>
          <w:lang w:eastAsia="es-MX"/>
        </w:rPr>
        <w:drawing>
          <wp:inline distT="0" distB="0" distL="0" distR="0" wp14:anchorId="078AD5A9" wp14:editId="7384E0D0">
            <wp:extent cx="5944870" cy="3175000"/>
            <wp:effectExtent l="0" t="0" r="17780" b="63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85501" w:rsidRDefault="00285501" w:rsidP="00285501">
      <w:pPr>
        <w:pStyle w:val="Fuentes"/>
      </w:pPr>
      <w:r>
        <w:t>Fuente: IIEG con información de INEGI.</w:t>
      </w:r>
    </w:p>
    <w:p w:rsidR="00285501" w:rsidRDefault="00285501" w:rsidP="00285501">
      <w:pPr>
        <w:pStyle w:val="Fuentes"/>
      </w:pPr>
      <w:r>
        <w:t>Nota: Las obras de edificación, incluyen giros tales como vivienda, edificios industriales, comerciales y de servicios, escuelas, hospitales y clínicas además de obras y trabajos auxiliares para la edificación. Las obras de agua, riego y saneamiento incluyen giros tales como sistemas de agua potable y drenaje, presas y obras de riego, obras y trabajos auxiliares para agua, riego y saneamiento. Las obras de transporte y urbanización incluyen giros tales como obras de transporte en ciudades y urbanización, carreteras, caminos y puentes, obras ferroviarias, infraestructura marítimo y fluvial, obras y trabajos auxiliares para transporte. Las otras obras incluyen giros tales como infraestructura para la generación y distribución de electricidad, infraestructura para telecomunicaciones, refinerías y plantas petroleras, oleoductos y gaseoductos, instalaciones en edificaciones, montaje de estructuras, trabajos de albañilería y acabados, así como obras y trabajos auxiliares para otras construcciones.</w:t>
      </w:r>
    </w:p>
    <w:p w:rsidR="00285501" w:rsidRPr="00373BC0" w:rsidRDefault="00285501" w:rsidP="00285501">
      <w:pPr>
        <w:pStyle w:val="Espaciadoprincipal"/>
      </w:pPr>
    </w:p>
    <w:sectPr w:rsidR="00285501" w:rsidRPr="00373BC0" w:rsidSect="000E07BC">
      <w:headerReference w:type="default" r:id="rId17"/>
      <w:footerReference w:type="default" r:id="rId18"/>
      <w:pgSz w:w="12240" w:h="15840"/>
      <w:pgMar w:top="1418" w:right="1134" w:bottom="1418" w:left="1701" w:header="397"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2B9" w:rsidRDefault="006552B9" w:rsidP="00472F4C">
      <w:r>
        <w:separator/>
      </w:r>
    </w:p>
    <w:p w:rsidR="006552B9" w:rsidRDefault="006552B9" w:rsidP="00472F4C"/>
  </w:endnote>
  <w:endnote w:type="continuationSeparator" w:id="0">
    <w:p w:rsidR="006552B9" w:rsidRDefault="006552B9" w:rsidP="00472F4C">
      <w:r>
        <w:continuationSeparator/>
      </w:r>
    </w:p>
    <w:p w:rsidR="006552B9" w:rsidRDefault="006552B9" w:rsidP="00472F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CE4" w:rsidRPr="00472F4C" w:rsidRDefault="00954815" w:rsidP="00472F4C">
    <w:pPr>
      <w:pStyle w:val="Piedepgina"/>
    </w:pPr>
    <w:r>
      <w:rPr>
        <w:noProof/>
        <w:lang w:eastAsia="es-MX"/>
      </w:rPr>
      <mc:AlternateContent>
        <mc:Choice Requires="wps">
          <w:drawing>
            <wp:anchor distT="0" distB="0" distL="114300" distR="114300" simplePos="0" relativeHeight="251660288" behindDoc="0" locked="0" layoutInCell="1" allowOverlap="1" wp14:anchorId="207210E0" wp14:editId="52FE136D">
              <wp:simplePos x="0" y="0"/>
              <wp:positionH relativeFrom="column">
                <wp:posOffset>5002614</wp:posOffset>
              </wp:positionH>
              <wp:positionV relativeFrom="paragraph">
                <wp:posOffset>-200329</wp:posOffset>
              </wp:positionV>
              <wp:extent cx="1318674" cy="360045"/>
              <wp:effectExtent l="0" t="0" r="0" b="190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8674" cy="360045"/>
                      </a:xfrm>
                      <a:prstGeom prst="rect">
                        <a:avLst/>
                      </a:prstGeom>
                      <a:noFill/>
                      <a:ln w="6350">
                        <a:noFill/>
                      </a:ln>
                    </wps:spPr>
                    <wps:txbx>
                      <w:txbxContent>
                        <w:p w:rsidR="004018F1" w:rsidRPr="00D9177E" w:rsidRDefault="004018F1" w:rsidP="004018F1">
                          <w:pPr>
                            <w:pStyle w:val="Piedepgina"/>
                            <w:jc w:val="right"/>
                            <w:rPr>
                              <w:rFonts w:cs="Arial"/>
                              <w:sz w:val="18"/>
                              <w:szCs w:val="18"/>
                            </w:rPr>
                          </w:pPr>
                          <w:r w:rsidRPr="00D9177E">
                            <w:rPr>
                              <w:rFonts w:cs="Arial"/>
                              <w:sz w:val="18"/>
                              <w:szCs w:val="18"/>
                              <w:lang w:val="es-ES"/>
                            </w:rPr>
                            <w:t xml:space="preserve">Página </w:t>
                          </w:r>
                          <w:r w:rsidRPr="00D9177E">
                            <w:rPr>
                              <w:rFonts w:cs="Arial"/>
                              <w:bCs/>
                              <w:sz w:val="18"/>
                              <w:szCs w:val="18"/>
                            </w:rPr>
                            <w:fldChar w:fldCharType="begin"/>
                          </w:r>
                          <w:r w:rsidRPr="00D9177E">
                            <w:rPr>
                              <w:rFonts w:cs="Arial"/>
                              <w:bCs/>
                              <w:sz w:val="18"/>
                              <w:szCs w:val="18"/>
                            </w:rPr>
                            <w:instrText>PAGE</w:instrText>
                          </w:r>
                          <w:r w:rsidRPr="00D9177E">
                            <w:rPr>
                              <w:rFonts w:cs="Arial"/>
                              <w:bCs/>
                              <w:sz w:val="18"/>
                              <w:szCs w:val="18"/>
                            </w:rPr>
                            <w:fldChar w:fldCharType="separate"/>
                          </w:r>
                          <w:r w:rsidR="00427466">
                            <w:rPr>
                              <w:rFonts w:cs="Arial"/>
                              <w:bCs/>
                              <w:noProof/>
                              <w:sz w:val="18"/>
                              <w:szCs w:val="18"/>
                            </w:rPr>
                            <w:t>7</w:t>
                          </w:r>
                          <w:r w:rsidRPr="00D9177E">
                            <w:rPr>
                              <w:rFonts w:cs="Arial"/>
                              <w:bCs/>
                              <w:sz w:val="18"/>
                              <w:szCs w:val="18"/>
                            </w:rPr>
                            <w:fldChar w:fldCharType="end"/>
                          </w:r>
                          <w:r w:rsidRPr="00D9177E">
                            <w:rPr>
                              <w:rFonts w:cs="Arial"/>
                              <w:sz w:val="18"/>
                              <w:szCs w:val="18"/>
                              <w:lang w:val="es-ES"/>
                            </w:rPr>
                            <w:t xml:space="preserve"> de </w:t>
                          </w:r>
                          <w:r w:rsidRPr="00D9177E">
                            <w:rPr>
                              <w:rFonts w:cs="Arial"/>
                              <w:bCs/>
                              <w:sz w:val="18"/>
                              <w:szCs w:val="18"/>
                            </w:rPr>
                            <w:fldChar w:fldCharType="begin"/>
                          </w:r>
                          <w:r w:rsidRPr="00D9177E">
                            <w:rPr>
                              <w:rFonts w:cs="Arial"/>
                              <w:bCs/>
                              <w:sz w:val="18"/>
                              <w:szCs w:val="18"/>
                            </w:rPr>
                            <w:instrText>NUMPAGES</w:instrText>
                          </w:r>
                          <w:r w:rsidRPr="00D9177E">
                            <w:rPr>
                              <w:rFonts w:cs="Arial"/>
                              <w:bCs/>
                              <w:sz w:val="18"/>
                              <w:szCs w:val="18"/>
                            </w:rPr>
                            <w:fldChar w:fldCharType="separate"/>
                          </w:r>
                          <w:r w:rsidR="00427466">
                            <w:rPr>
                              <w:rFonts w:cs="Arial"/>
                              <w:bCs/>
                              <w:noProof/>
                              <w:sz w:val="18"/>
                              <w:szCs w:val="18"/>
                            </w:rPr>
                            <w:t>7</w:t>
                          </w:r>
                          <w:r w:rsidRPr="00D9177E">
                            <w:rPr>
                              <w:rFonts w:cs="Arial"/>
                              <w:bCs/>
                              <w:sz w:val="18"/>
                              <w:szCs w:val="18"/>
                            </w:rPr>
                            <w:fldChar w:fldCharType="end"/>
                          </w:r>
                        </w:p>
                        <w:p w:rsidR="004018F1" w:rsidRDefault="004018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210E0" id="_x0000_t202" coordsize="21600,21600" o:spt="202" path="m,l,21600r21600,l21600,xe">
              <v:stroke joinstyle="miter"/>
              <v:path gradientshapeok="t" o:connecttype="rect"/>
            </v:shapetype>
            <v:shape id="Cuadro de texto 4" o:spid="_x0000_s1028" type="#_x0000_t202" style="position:absolute;left:0;text-align:left;margin-left:393.9pt;margin-top:-15.75pt;width:103.8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" filled="f" stroked="f" strokeweight=".5pt">
              <v:path arrowok="t"/>
              <v:textbox>
                <w:txbxContent>
                  <w:p w:rsidR="004018F1" w:rsidRPr="00D9177E" w:rsidRDefault="004018F1" w:rsidP="004018F1">
                    <w:pPr>
                      <w:pStyle w:val="Piedepgina"/>
                      <w:jc w:val="right"/>
                      <w:rPr>
                        <w:rFonts w:cs="Arial"/>
                        <w:sz w:val="18"/>
                        <w:szCs w:val="18"/>
                      </w:rPr>
                    </w:pPr>
                    <w:r w:rsidRPr="00D9177E">
                      <w:rPr>
                        <w:rFonts w:cs="Arial"/>
                        <w:sz w:val="18"/>
                        <w:szCs w:val="18"/>
                        <w:lang w:val="es-ES"/>
                      </w:rPr>
                      <w:t xml:space="preserve">Página </w:t>
                    </w:r>
                    <w:r w:rsidRPr="00D9177E">
                      <w:rPr>
                        <w:rFonts w:cs="Arial"/>
                        <w:bCs/>
                        <w:sz w:val="18"/>
                        <w:szCs w:val="18"/>
                      </w:rPr>
                      <w:fldChar w:fldCharType="begin"/>
                    </w:r>
                    <w:r w:rsidRPr="00D9177E">
                      <w:rPr>
                        <w:rFonts w:cs="Arial"/>
                        <w:bCs/>
                        <w:sz w:val="18"/>
                        <w:szCs w:val="18"/>
                      </w:rPr>
                      <w:instrText>PAGE</w:instrText>
                    </w:r>
                    <w:r w:rsidRPr="00D9177E">
                      <w:rPr>
                        <w:rFonts w:cs="Arial"/>
                        <w:bCs/>
                        <w:sz w:val="18"/>
                        <w:szCs w:val="18"/>
                      </w:rPr>
                      <w:fldChar w:fldCharType="separate"/>
                    </w:r>
                    <w:r w:rsidR="00427466">
                      <w:rPr>
                        <w:rFonts w:cs="Arial"/>
                        <w:bCs/>
                        <w:noProof/>
                        <w:sz w:val="18"/>
                        <w:szCs w:val="18"/>
                      </w:rPr>
                      <w:t>7</w:t>
                    </w:r>
                    <w:r w:rsidRPr="00D9177E">
                      <w:rPr>
                        <w:rFonts w:cs="Arial"/>
                        <w:bCs/>
                        <w:sz w:val="18"/>
                        <w:szCs w:val="18"/>
                      </w:rPr>
                      <w:fldChar w:fldCharType="end"/>
                    </w:r>
                    <w:r w:rsidRPr="00D9177E">
                      <w:rPr>
                        <w:rFonts w:cs="Arial"/>
                        <w:sz w:val="18"/>
                        <w:szCs w:val="18"/>
                        <w:lang w:val="es-ES"/>
                      </w:rPr>
                      <w:t xml:space="preserve"> de </w:t>
                    </w:r>
                    <w:r w:rsidRPr="00D9177E">
                      <w:rPr>
                        <w:rFonts w:cs="Arial"/>
                        <w:bCs/>
                        <w:sz w:val="18"/>
                        <w:szCs w:val="18"/>
                      </w:rPr>
                      <w:fldChar w:fldCharType="begin"/>
                    </w:r>
                    <w:r w:rsidRPr="00D9177E">
                      <w:rPr>
                        <w:rFonts w:cs="Arial"/>
                        <w:bCs/>
                        <w:sz w:val="18"/>
                        <w:szCs w:val="18"/>
                      </w:rPr>
                      <w:instrText>NUMPAGES</w:instrText>
                    </w:r>
                    <w:r w:rsidRPr="00D9177E">
                      <w:rPr>
                        <w:rFonts w:cs="Arial"/>
                        <w:bCs/>
                        <w:sz w:val="18"/>
                        <w:szCs w:val="18"/>
                      </w:rPr>
                      <w:fldChar w:fldCharType="separate"/>
                    </w:r>
                    <w:r w:rsidR="00427466">
                      <w:rPr>
                        <w:rFonts w:cs="Arial"/>
                        <w:bCs/>
                        <w:noProof/>
                        <w:sz w:val="18"/>
                        <w:szCs w:val="18"/>
                      </w:rPr>
                      <w:t>7</w:t>
                    </w:r>
                    <w:r w:rsidRPr="00D9177E">
                      <w:rPr>
                        <w:rFonts w:cs="Arial"/>
                        <w:bCs/>
                        <w:sz w:val="18"/>
                        <w:szCs w:val="18"/>
                      </w:rPr>
                      <w:fldChar w:fldCharType="end"/>
                    </w:r>
                  </w:p>
                  <w:p w:rsidR="004018F1" w:rsidRDefault="004018F1"/>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2B9" w:rsidRDefault="006552B9" w:rsidP="00472F4C">
      <w:r>
        <w:separator/>
      </w:r>
    </w:p>
    <w:p w:rsidR="006552B9" w:rsidRDefault="006552B9" w:rsidP="00472F4C"/>
  </w:footnote>
  <w:footnote w:type="continuationSeparator" w:id="0">
    <w:p w:rsidR="006552B9" w:rsidRDefault="006552B9" w:rsidP="00472F4C">
      <w:r>
        <w:continuationSeparator/>
      </w:r>
    </w:p>
    <w:p w:rsidR="006552B9" w:rsidRDefault="006552B9" w:rsidP="00472F4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12D" w:rsidRDefault="00285501" w:rsidP="00472F4C">
    <w:pPr>
      <w:pStyle w:val="Encabezado"/>
    </w:pPr>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3237865</wp:posOffset>
              </wp:positionH>
              <wp:positionV relativeFrom="paragraph">
                <wp:posOffset>103505</wp:posOffset>
              </wp:positionV>
              <wp:extent cx="3048000" cy="444500"/>
              <wp:effectExtent l="0" t="0" r="19050" b="12700"/>
              <wp:wrapNone/>
              <wp:docPr id="10" name="Cuadro de texto 10"/>
              <wp:cNvGraphicFramePr/>
              <a:graphic xmlns:a="http://schemas.openxmlformats.org/drawingml/2006/main">
                <a:graphicData uri="http://schemas.microsoft.com/office/word/2010/wordprocessingShape">
                  <wps:wsp>
                    <wps:cNvSpPr txBox="1"/>
                    <wps:spPr>
                      <a:xfrm>
                        <a:off x="0" y="0"/>
                        <a:ext cx="3048000" cy="444500"/>
                      </a:xfrm>
                      <a:prstGeom prst="rect">
                        <a:avLst/>
                      </a:prstGeom>
                      <a:solidFill>
                        <a:srgbClr val="FFFFFF"/>
                      </a:solidFill>
                      <a:ln w="6350">
                        <a:solidFill>
                          <a:srgbClr val="FFFFFF"/>
                        </a:solidFill>
                      </a:ln>
                    </wps:spPr>
                    <wps:txbx>
                      <w:txbxContent>
                        <w:p w:rsidR="00285501" w:rsidRPr="00285501" w:rsidRDefault="00285501" w:rsidP="00285501">
                          <w:pPr>
                            <w:jc w:val="left"/>
                            <w:rPr>
                              <w:color w:val="627178"/>
                            </w:rPr>
                          </w:pPr>
                          <w:r w:rsidRPr="00285501">
                            <w:rPr>
                              <w:color w:val="627178"/>
                            </w:rPr>
                            <w:t>Ficha informativa, 24 de julio de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0" o:spid="_x0000_s1027" type="#_x0000_t202" style="position:absolute;left:0;text-align:left;margin-left:254.95pt;margin-top:8.15pt;width:240pt;height: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" strokecolor="white" strokeweight=".5pt">
              <v:textbox>
                <w:txbxContent>
                  <w:p w:rsidR="00285501" w:rsidRPr="00285501" w:rsidRDefault="00285501" w:rsidP="00285501">
                    <w:pPr>
                      <w:jc w:val="left"/>
                      <w:rPr>
                        <w:color w:val="627178"/>
                      </w:rPr>
                    </w:pPr>
                    <w:r w:rsidRPr="00285501">
                      <w:rPr>
                        <w:color w:val="627178"/>
                      </w:rPr>
                      <w:t>Ficha informativa, 24 de julio de 2024</w:t>
                    </w:r>
                  </w:p>
                </w:txbxContent>
              </v:textbox>
            </v:shape>
          </w:pict>
        </mc:Fallback>
      </mc:AlternateContent>
    </w:r>
    <w:r w:rsidR="00954815">
      <w:rPr>
        <w:noProof/>
        <w:lang w:eastAsia="es-MX"/>
      </w:rPr>
      <w:drawing>
        <wp:anchor distT="0" distB="0" distL="114300" distR="114300" simplePos="0" relativeHeight="251653632" behindDoc="1" locked="0" layoutInCell="1" allowOverlap="1" wp14:anchorId="0FEB9E58" wp14:editId="18BA5ACE">
          <wp:simplePos x="0" y="0"/>
          <wp:positionH relativeFrom="page">
            <wp:posOffset>9525</wp:posOffset>
          </wp:positionH>
          <wp:positionV relativeFrom="page">
            <wp:posOffset>9525</wp:posOffset>
          </wp:positionV>
          <wp:extent cx="7757795" cy="10036810"/>
          <wp:effectExtent l="0" t="0" r="0" b="6985"/>
          <wp:wrapNone/>
          <wp:docPr id="3" name="Imagen 1" descr="C:\Users\miguel.gonzalez\Documents\01 Mike\Paquete Imagen\2021\Recursos-20210219T174006Z-001\Recursos\cuadernillo fichas iieg formato IMGS-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C:\Users\miguel.gonzalez\Documents\01 Mike\Paquete Imagen\2021\Recursos-20210219T174006Z-001\Recursos\cuadernillo fichas iieg formato IMGS-02.jp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7795" cy="10036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5CE4" w:rsidRDefault="006B5CE4" w:rsidP="00472F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285501"/>
    <w:rsid w:val="00002EBA"/>
    <w:rsid w:val="000E07BC"/>
    <w:rsid w:val="00112845"/>
    <w:rsid w:val="00117A6D"/>
    <w:rsid w:val="0012223A"/>
    <w:rsid w:val="00223BC3"/>
    <w:rsid w:val="00256F0D"/>
    <w:rsid w:val="00262E75"/>
    <w:rsid w:val="00285501"/>
    <w:rsid w:val="00370A5C"/>
    <w:rsid w:val="00373BC0"/>
    <w:rsid w:val="0039687E"/>
    <w:rsid w:val="004018F1"/>
    <w:rsid w:val="00427466"/>
    <w:rsid w:val="00457817"/>
    <w:rsid w:val="00465D4E"/>
    <w:rsid w:val="00472F4C"/>
    <w:rsid w:val="004A31C9"/>
    <w:rsid w:val="004C5978"/>
    <w:rsid w:val="005A01E5"/>
    <w:rsid w:val="0060209B"/>
    <w:rsid w:val="006034D8"/>
    <w:rsid w:val="00626DAC"/>
    <w:rsid w:val="006552B9"/>
    <w:rsid w:val="006B5CE4"/>
    <w:rsid w:val="006B6389"/>
    <w:rsid w:val="006E3248"/>
    <w:rsid w:val="006E712D"/>
    <w:rsid w:val="00872AD2"/>
    <w:rsid w:val="00954815"/>
    <w:rsid w:val="00981CDD"/>
    <w:rsid w:val="009A09B4"/>
    <w:rsid w:val="009E4EFC"/>
    <w:rsid w:val="00A33A4F"/>
    <w:rsid w:val="00AB3B1C"/>
    <w:rsid w:val="00AB67CE"/>
    <w:rsid w:val="00B01A5E"/>
    <w:rsid w:val="00B023D8"/>
    <w:rsid w:val="00B433AB"/>
    <w:rsid w:val="00CB22B8"/>
    <w:rsid w:val="00CD304C"/>
    <w:rsid w:val="00D22951"/>
    <w:rsid w:val="00D82E5C"/>
    <w:rsid w:val="00D9177E"/>
    <w:rsid w:val="00D96BCE"/>
    <w:rsid w:val="00F07435"/>
    <w:rsid w:val="00F96C66"/>
    <w:rsid w:val="00FF51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D50FF"/>
  <w15:chartTrackingRefBased/>
  <w15:docId w15:val="{74E2573C-9AD6-482C-B7D3-EF894DA1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EBA"/>
    <w:pPr>
      <w:spacing w:before="240" w:after="240" w:line="300" w:lineRule="auto"/>
      <w:jc w:val="both"/>
    </w:pPr>
    <w:rPr>
      <w:rFonts w:ascii="Arial" w:eastAsiaTheme="minorEastAsia" w:hAnsi="Arial" w:cs="Arial"/>
      <w:sz w:val="22"/>
      <w:lang w:val="es-ES" w:eastAsia="es-ES"/>
    </w:rPr>
  </w:style>
  <w:style w:type="paragraph" w:styleId="Ttulo1">
    <w:name w:val="heading 1"/>
    <w:basedOn w:val="Tabla-titulos"/>
    <w:next w:val="Normal"/>
    <w:link w:val="Ttulo1Car"/>
    <w:autoRedefine/>
    <w:uiPriority w:val="9"/>
    <w:qFormat/>
    <w:rsid w:val="00262E75"/>
    <w:pPr>
      <w:spacing w:before="0" w:after="720"/>
      <w:outlineLvl w:val="0"/>
    </w:pPr>
    <w:rPr>
      <w:sz w:val="26"/>
    </w:rPr>
  </w:style>
  <w:style w:type="paragraph" w:styleId="Ttulo2">
    <w:name w:val="heading 2"/>
    <w:basedOn w:val="Normal"/>
    <w:next w:val="Normal"/>
    <w:link w:val="Ttulo2Car"/>
    <w:autoRedefine/>
    <w:uiPriority w:val="9"/>
    <w:unhideWhenUsed/>
    <w:qFormat/>
    <w:rsid w:val="00223BC3"/>
    <w:pPr>
      <w:keepNext/>
      <w:keepLines/>
      <w:spacing w:before="40"/>
      <w:outlineLvl w:val="1"/>
    </w:pPr>
    <w:rPr>
      <w:rFonts w:eastAsia="Times New Roman" w:cs="Times New Roman"/>
      <w:color w:val="000000"/>
      <w:szCs w:val="26"/>
      <w:lang w:val="es-MX" w:eastAsia="en-US"/>
    </w:rPr>
  </w:style>
  <w:style w:type="paragraph" w:styleId="Ttulo3">
    <w:name w:val="heading 3"/>
    <w:basedOn w:val="Normal"/>
    <w:next w:val="Normal"/>
    <w:link w:val="Ttulo3Car"/>
    <w:uiPriority w:val="9"/>
    <w:semiHidden/>
    <w:unhideWhenUsed/>
    <w:qFormat/>
    <w:rsid w:val="00D9177E"/>
    <w:pPr>
      <w:keepNext/>
      <w:keepLines/>
      <w:spacing w:before="40" w:after="0"/>
      <w:outlineLvl w:val="2"/>
    </w:pPr>
    <w:rPr>
      <w:rFonts w:eastAsiaTheme="majorEastAsia" w:cstheme="majorBidi"/>
      <w:color w:val="1F4D78" w:themeColor="accent1" w:themeShade="7F"/>
      <w:sz w:val="24"/>
      <w:szCs w:val="24"/>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712D"/>
    <w:pPr>
      <w:tabs>
        <w:tab w:val="center" w:pos="4419"/>
        <w:tab w:val="right" w:pos="8838"/>
      </w:tabs>
      <w:spacing w:before="0" w:after="0" w:line="240" w:lineRule="auto"/>
    </w:pPr>
    <w:rPr>
      <w:rFonts w:eastAsia="Calibri" w:cs="Times New Roman"/>
      <w:szCs w:val="22"/>
      <w:lang w:val="es-MX" w:eastAsia="en-US"/>
    </w:rPr>
  </w:style>
  <w:style w:type="character" w:customStyle="1" w:styleId="EncabezadoCar">
    <w:name w:val="Encabezado Car"/>
    <w:basedOn w:val="Fuentedeprrafopredeter"/>
    <w:link w:val="Encabezado"/>
    <w:uiPriority w:val="99"/>
    <w:rsid w:val="006E712D"/>
  </w:style>
  <w:style w:type="paragraph" w:styleId="Piedepgina">
    <w:name w:val="footer"/>
    <w:basedOn w:val="Normal"/>
    <w:link w:val="PiedepginaCar"/>
    <w:uiPriority w:val="99"/>
    <w:unhideWhenUsed/>
    <w:rsid w:val="006E712D"/>
    <w:pPr>
      <w:tabs>
        <w:tab w:val="center" w:pos="4419"/>
        <w:tab w:val="right" w:pos="8838"/>
      </w:tabs>
      <w:spacing w:before="0" w:after="0" w:line="240" w:lineRule="auto"/>
    </w:pPr>
    <w:rPr>
      <w:rFonts w:eastAsia="Calibri" w:cs="Times New Roman"/>
      <w:szCs w:val="22"/>
      <w:lang w:val="es-MX" w:eastAsia="en-US"/>
    </w:rPr>
  </w:style>
  <w:style w:type="character" w:customStyle="1" w:styleId="PiedepginaCar">
    <w:name w:val="Pie de página Car"/>
    <w:basedOn w:val="Fuentedeprrafopredeter"/>
    <w:link w:val="Piedepgina"/>
    <w:uiPriority w:val="99"/>
    <w:rsid w:val="006E712D"/>
  </w:style>
  <w:style w:type="character" w:customStyle="1" w:styleId="Ttulo1Car">
    <w:name w:val="Título 1 Car"/>
    <w:link w:val="Ttulo1"/>
    <w:uiPriority w:val="9"/>
    <w:rsid w:val="00262E75"/>
    <w:rPr>
      <w:rFonts w:ascii="Arial" w:hAnsi="Arial"/>
      <w:b/>
      <w:sz w:val="26"/>
      <w:szCs w:val="22"/>
      <w:lang w:eastAsia="en-US"/>
    </w:rPr>
  </w:style>
  <w:style w:type="character" w:customStyle="1" w:styleId="Ttulo2Car">
    <w:name w:val="Título 2 Car"/>
    <w:link w:val="Ttulo2"/>
    <w:uiPriority w:val="9"/>
    <w:rsid w:val="00223BC3"/>
    <w:rPr>
      <w:rFonts w:ascii="Arial" w:eastAsia="Times New Roman" w:hAnsi="Arial"/>
      <w:color w:val="000000"/>
      <w:sz w:val="22"/>
      <w:szCs w:val="26"/>
      <w:lang w:eastAsia="en-US"/>
    </w:rPr>
  </w:style>
  <w:style w:type="paragraph" w:customStyle="1" w:styleId="Tabla-titulos">
    <w:name w:val="Tabla - titulos"/>
    <w:basedOn w:val="Normal"/>
    <w:next w:val="Normal"/>
    <w:link w:val="Tabla-titulosCar"/>
    <w:qFormat/>
    <w:rsid w:val="00D22951"/>
    <w:pPr>
      <w:spacing w:after="0"/>
      <w:jc w:val="center"/>
    </w:pPr>
    <w:rPr>
      <w:rFonts w:eastAsia="Calibri" w:cs="Times New Roman"/>
      <w:b/>
      <w:szCs w:val="22"/>
      <w:lang w:val="es-MX" w:eastAsia="en-US"/>
    </w:rPr>
  </w:style>
  <w:style w:type="character" w:customStyle="1" w:styleId="Tabla-titulosCar">
    <w:name w:val="Tabla - titulos Car"/>
    <w:link w:val="Tabla-titulos"/>
    <w:rsid w:val="00D22951"/>
    <w:rPr>
      <w:rFonts w:ascii="Arial" w:hAnsi="Arial"/>
      <w:b/>
      <w:sz w:val="22"/>
      <w:szCs w:val="22"/>
      <w:lang w:eastAsia="en-US"/>
    </w:rPr>
  </w:style>
  <w:style w:type="paragraph" w:customStyle="1" w:styleId="Tabla-contenido">
    <w:name w:val="Tabla - contenido"/>
    <w:basedOn w:val="Sinespaciado"/>
    <w:link w:val="Tabla-contenidoCar"/>
    <w:qFormat/>
    <w:rsid w:val="00465D4E"/>
    <w:pPr>
      <w:jc w:val="center"/>
    </w:pPr>
    <w:rPr>
      <w:rFonts w:cs="Arial"/>
      <w:sz w:val="18"/>
    </w:rPr>
  </w:style>
  <w:style w:type="character" w:customStyle="1" w:styleId="Tabla-contenidoCar">
    <w:name w:val="Tabla - contenido Car"/>
    <w:link w:val="Tabla-contenido"/>
    <w:rsid w:val="00465D4E"/>
    <w:rPr>
      <w:rFonts w:ascii="Arial" w:hAnsi="Arial" w:cs="Arial"/>
      <w:sz w:val="18"/>
    </w:rPr>
  </w:style>
  <w:style w:type="paragraph" w:styleId="Sinespaciado">
    <w:name w:val="No Spacing"/>
    <w:link w:val="SinespaciadoCar"/>
    <w:uiPriority w:val="1"/>
    <w:qFormat/>
    <w:rsid w:val="004A31C9"/>
    <w:pPr>
      <w:jc w:val="both"/>
    </w:pPr>
    <w:rPr>
      <w:rFonts w:ascii="Arial" w:hAnsi="Arial"/>
      <w:sz w:val="22"/>
      <w:szCs w:val="22"/>
      <w:lang w:eastAsia="en-US"/>
    </w:rPr>
  </w:style>
  <w:style w:type="paragraph" w:customStyle="1" w:styleId="Fuentes">
    <w:name w:val="Fuentes"/>
    <w:next w:val="Normal"/>
    <w:link w:val="FuentesCar"/>
    <w:qFormat/>
    <w:rsid w:val="00B433AB"/>
    <w:pPr>
      <w:spacing w:line="259" w:lineRule="auto"/>
      <w:jc w:val="both"/>
    </w:pPr>
    <w:rPr>
      <w:rFonts w:ascii="Arial" w:eastAsia="MS Mincho" w:hAnsi="Arial" w:cs="Arial"/>
      <w:szCs w:val="24"/>
      <w:lang w:val="es-ES" w:eastAsia="es-ES"/>
    </w:rPr>
  </w:style>
  <w:style w:type="character" w:customStyle="1" w:styleId="FuentesCar">
    <w:name w:val="Fuentes Car"/>
    <w:link w:val="Fuentes"/>
    <w:rsid w:val="00B433AB"/>
    <w:rPr>
      <w:rFonts w:ascii="Arial" w:eastAsia="MS Mincho" w:hAnsi="Arial" w:cs="Arial"/>
      <w:szCs w:val="24"/>
      <w:lang w:val="es-ES" w:eastAsia="es-ES"/>
    </w:rPr>
  </w:style>
  <w:style w:type="paragraph" w:customStyle="1" w:styleId="Figura-titulos">
    <w:name w:val="Figura - titulos"/>
    <w:basedOn w:val="Normal"/>
    <w:next w:val="Normal"/>
    <w:link w:val="Figura-titulosCar"/>
    <w:qFormat/>
    <w:rsid w:val="000E07BC"/>
    <w:pPr>
      <w:spacing w:before="0" w:after="0" w:line="240" w:lineRule="auto"/>
      <w:jc w:val="center"/>
    </w:pPr>
    <w:rPr>
      <w:rFonts w:eastAsia="Calibri" w:cs="Times New Roman"/>
      <w:b/>
      <w:sz w:val="24"/>
      <w:szCs w:val="22"/>
      <w:lang w:val="es-MX" w:eastAsia="en-US"/>
    </w:rPr>
  </w:style>
  <w:style w:type="character" w:customStyle="1" w:styleId="Figura-titulosCar">
    <w:name w:val="Figura - titulos Car"/>
    <w:link w:val="Figura-titulos"/>
    <w:rsid w:val="000E07BC"/>
    <w:rPr>
      <w:rFonts w:ascii="Arial" w:hAnsi="Arial"/>
      <w:b/>
      <w:sz w:val="24"/>
      <w:szCs w:val="22"/>
      <w:lang w:eastAsia="en-US"/>
    </w:rPr>
  </w:style>
  <w:style w:type="character" w:customStyle="1" w:styleId="SinespaciadoCar">
    <w:name w:val="Sin espaciado Car"/>
    <w:basedOn w:val="Fuentedeprrafopredeter"/>
    <w:link w:val="Sinespaciado"/>
    <w:uiPriority w:val="1"/>
    <w:rsid w:val="004A31C9"/>
    <w:rPr>
      <w:rFonts w:ascii="Arial" w:hAnsi="Arial"/>
      <w:sz w:val="22"/>
      <w:szCs w:val="22"/>
      <w:lang w:eastAsia="en-US"/>
    </w:rPr>
  </w:style>
  <w:style w:type="character" w:customStyle="1" w:styleId="Ttulo3Car">
    <w:name w:val="Título 3 Car"/>
    <w:basedOn w:val="Fuentedeprrafopredeter"/>
    <w:link w:val="Ttulo3"/>
    <w:uiPriority w:val="9"/>
    <w:semiHidden/>
    <w:rsid w:val="00D9177E"/>
    <w:rPr>
      <w:rFonts w:ascii="Arial" w:eastAsiaTheme="majorEastAsia" w:hAnsi="Arial" w:cstheme="majorBidi"/>
      <w:color w:val="1F4D78" w:themeColor="accent1" w:themeShade="7F"/>
      <w:sz w:val="24"/>
      <w:szCs w:val="24"/>
      <w:lang w:eastAsia="en-US"/>
    </w:rPr>
  </w:style>
  <w:style w:type="paragraph" w:styleId="Ttulo">
    <w:name w:val="Title"/>
    <w:basedOn w:val="Normal"/>
    <w:next w:val="Normal"/>
    <w:link w:val="TtuloCar"/>
    <w:uiPriority w:val="10"/>
    <w:qFormat/>
    <w:rsid w:val="00D9177E"/>
    <w:pPr>
      <w:spacing w:before="0" w:after="0" w:line="240" w:lineRule="auto"/>
      <w:contextualSpacing/>
    </w:pPr>
    <w:rPr>
      <w:rFonts w:eastAsiaTheme="majorEastAsia" w:cstheme="majorBidi"/>
      <w:spacing w:val="-10"/>
      <w:kern w:val="28"/>
      <w:sz w:val="56"/>
      <w:szCs w:val="56"/>
      <w:lang w:val="es-MX" w:eastAsia="en-US"/>
    </w:rPr>
  </w:style>
  <w:style w:type="character" w:customStyle="1" w:styleId="TtuloCar">
    <w:name w:val="Título Car"/>
    <w:basedOn w:val="Fuentedeprrafopredeter"/>
    <w:link w:val="Ttulo"/>
    <w:uiPriority w:val="10"/>
    <w:rsid w:val="00D9177E"/>
    <w:rPr>
      <w:rFonts w:ascii="Arial" w:eastAsiaTheme="majorEastAsia" w:hAnsi="Arial" w:cstheme="majorBidi"/>
      <w:spacing w:val="-10"/>
      <w:kern w:val="28"/>
      <w:sz w:val="56"/>
      <w:szCs w:val="56"/>
      <w:lang w:eastAsia="en-US"/>
    </w:rPr>
  </w:style>
  <w:style w:type="paragraph" w:customStyle="1" w:styleId="Tabla">
    <w:name w:val="Tabla"/>
    <w:basedOn w:val="Normal"/>
    <w:link w:val="TablaCar"/>
    <w:autoRedefine/>
    <w:qFormat/>
    <w:rsid w:val="00AB3B1C"/>
    <w:pPr>
      <w:pBdr>
        <w:top w:val="none" w:sz="0" w:space="0" w:color="000000"/>
        <w:left w:val="none" w:sz="0" w:space="0" w:color="000000"/>
        <w:bottom w:val="none" w:sz="0" w:space="0" w:color="000000"/>
        <w:right w:val="none" w:sz="0" w:space="0" w:color="000000"/>
      </w:pBdr>
      <w:spacing w:before="20" w:after="20" w:line="240" w:lineRule="auto"/>
      <w:ind w:right="20"/>
      <w:jc w:val="left"/>
    </w:pPr>
    <w:rPr>
      <w:rFonts w:eastAsia="Arial"/>
      <w:sz w:val="18"/>
      <w:lang w:val="es-MX" w:eastAsia="en-US"/>
    </w:rPr>
  </w:style>
  <w:style w:type="character" w:customStyle="1" w:styleId="TablaCar">
    <w:name w:val="Tabla Car"/>
    <w:basedOn w:val="Fuentedeprrafopredeter"/>
    <w:link w:val="Tabla"/>
    <w:rsid w:val="00AB3B1C"/>
    <w:rPr>
      <w:rFonts w:ascii="Arial" w:eastAsia="Arial" w:hAnsi="Arial" w:cs="Arial"/>
      <w:sz w:val="18"/>
      <w:lang w:eastAsia="en-US"/>
    </w:rPr>
  </w:style>
  <w:style w:type="paragraph" w:customStyle="1" w:styleId="Figura-titulos0">
    <w:name w:val="Figura-titulos"/>
    <w:basedOn w:val="Normal"/>
    <w:next w:val="Normal"/>
    <w:link w:val="Figura-titulosCar0"/>
    <w:rsid w:val="000E07BC"/>
    <w:pPr>
      <w:spacing w:before="0" w:after="0"/>
      <w:jc w:val="center"/>
    </w:pPr>
    <w:rPr>
      <w:rFonts w:eastAsia="Calibri" w:cstheme="minorBidi"/>
      <w:b/>
      <w:sz w:val="24"/>
      <w:szCs w:val="22"/>
      <w:lang w:val="es-MX" w:eastAsia="en-US"/>
    </w:rPr>
  </w:style>
  <w:style w:type="paragraph" w:customStyle="1" w:styleId="Espaciado">
    <w:name w:val="Espaciado"/>
    <w:next w:val="Normal"/>
    <w:link w:val="EspaciadoCar"/>
    <w:qFormat/>
    <w:rsid w:val="00B433AB"/>
    <w:pPr>
      <w:spacing w:before="240" w:after="240" w:line="259" w:lineRule="auto"/>
      <w:jc w:val="both"/>
    </w:pPr>
    <w:rPr>
      <w:rFonts w:ascii="Arial" w:hAnsi="Arial" w:cstheme="minorBidi"/>
      <w:b/>
      <w:sz w:val="24"/>
      <w:szCs w:val="22"/>
      <w:lang w:eastAsia="en-US"/>
    </w:rPr>
  </w:style>
  <w:style w:type="character" w:customStyle="1" w:styleId="Figura-titulosCar0">
    <w:name w:val="Figura-titulos Car"/>
    <w:basedOn w:val="Fuentedeprrafopredeter"/>
    <w:link w:val="Figura-titulos0"/>
    <w:rsid w:val="000E07BC"/>
    <w:rPr>
      <w:rFonts w:ascii="Arial" w:hAnsi="Arial" w:cstheme="minorBidi"/>
      <w:b/>
      <w:sz w:val="24"/>
      <w:szCs w:val="22"/>
      <w:lang w:eastAsia="en-US"/>
    </w:rPr>
  </w:style>
  <w:style w:type="paragraph" w:customStyle="1" w:styleId="Espaciadoprincipal">
    <w:name w:val="Espaciado principal"/>
    <w:basedOn w:val="Espaciado"/>
    <w:link w:val="EspaciadoprincipalCar"/>
    <w:qFormat/>
    <w:rsid w:val="00373BC0"/>
    <w:pPr>
      <w:spacing w:before="0" w:after="0" w:line="240" w:lineRule="auto"/>
      <w:jc w:val="left"/>
    </w:pPr>
  </w:style>
  <w:style w:type="character" w:customStyle="1" w:styleId="EspaciadoCar">
    <w:name w:val="Espaciado Car"/>
    <w:basedOn w:val="Fuentedeprrafopredeter"/>
    <w:link w:val="Espaciado"/>
    <w:rsid w:val="00B433AB"/>
    <w:rPr>
      <w:rFonts w:ascii="Arial" w:hAnsi="Arial" w:cstheme="minorBidi"/>
      <w:b/>
      <w:sz w:val="24"/>
      <w:szCs w:val="22"/>
      <w:lang w:eastAsia="en-US"/>
    </w:rPr>
  </w:style>
  <w:style w:type="character" w:customStyle="1" w:styleId="EspaciadoprincipalCar">
    <w:name w:val="Espaciado principal Car"/>
    <w:basedOn w:val="EspaciadoCar"/>
    <w:link w:val="Espaciadoprincipal"/>
    <w:rsid w:val="00373BC0"/>
    <w:rPr>
      <w:rFonts w:ascii="Arial" w:hAnsi="Arial" w:cstheme="minorBidi"/>
      <w:b/>
      <w:sz w:val="24"/>
      <w:szCs w:val="22"/>
      <w:lang w:eastAsia="en-US"/>
    </w:rPr>
  </w:style>
  <w:style w:type="character" w:styleId="Hipervnculo">
    <w:name w:val="Hyperlink"/>
    <w:basedOn w:val="Fuentedeprrafopredeter"/>
    <w:uiPriority w:val="99"/>
    <w:rsid w:val="00002EBA"/>
    <w:rPr>
      <w:rFonts w:ascii="Times New Roman" w:hAnsi="Times New Roman" w:cs="Times New Roman"/>
      <w:color w:val="0000FF"/>
      <w:u w:val="single"/>
    </w:rPr>
  </w:style>
  <w:style w:type="paragraph" w:styleId="NormalWeb">
    <w:name w:val="Normal (Web)"/>
    <w:basedOn w:val="Normal"/>
    <w:uiPriority w:val="99"/>
    <w:rsid w:val="00002EB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eg.gob.mx/ns/?page_id=12894" TargetMode="External"/><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iieg.gob.mx/ns/?page_id=12894" TargetMode="Externa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ieg.gob.mx/ns/?page_id=12894" TargetMode="External"/><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ieg.gob.mx/ns/?page_id=12894" TargetMode="External"/><Relationship Id="rId14" Type="http://schemas.openxmlformats.org/officeDocument/2006/relationships/chart" Target="charts/chart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o.carrillo\Documents\ENEC\AUT\PLANTILLA%20ENEC%2020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rturo.carrillo\Documents\ENEC\2024%2005\ENEC_R-Excel_2024_05.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rturo.carrillo\Documents\ENEC\2024%2005\ENEC_R-Excel_2024_05.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rturo.carrillo\Documents\ENEC\2024%2005\ENEC_R-Excel_2024_05.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rturo.carrillo\Documents\ENEC\2024%2005\ENEC_R-Excel_2024_05.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rturo.carrillo\Documents\ENEC\2024%2005\ENEC_R-Excel_2024_05.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arturo.carrillo\Documents\ENEC\2024%2005\ENEC_R-Excel_2024_05.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arturo.carrillo\Documents\ENEC\2024%2005\ENEC_R-Excel_2024_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rgbClr val="7C878E"/>
            </a:solidFill>
            <a:ln>
              <a:noFill/>
            </a:ln>
            <a:effectLst/>
          </c:spPr>
          <c:invertIfNegative val="0"/>
          <c:dPt>
            <c:idx val="6"/>
            <c:invertIfNegative val="0"/>
            <c:bubble3D val="0"/>
            <c:spPr>
              <a:solidFill>
                <a:srgbClr val="FBBB27"/>
              </a:solidFill>
              <a:ln>
                <a:noFill/>
              </a:ln>
              <a:effectLst/>
            </c:spPr>
            <c:extLst>
              <c:ext xmlns:c16="http://schemas.microsoft.com/office/drawing/2014/chart" uri="{C3380CC4-5D6E-409C-BE32-E72D297353CC}">
                <c16:uniqueId val="{00000001-FE18-4F23-B406-92125BD42304}"/>
              </c:ext>
            </c:extLst>
          </c:dPt>
          <c:dLbls>
            <c:dLbl>
              <c:idx val="0"/>
              <c:delete val="1"/>
              <c:extLst>
                <c:ext xmlns:c15="http://schemas.microsoft.com/office/drawing/2012/chart" uri="{CE6537A1-D6FC-4f65-9D91-7224C49458BB}"/>
                <c:ext xmlns:c16="http://schemas.microsoft.com/office/drawing/2014/chart" uri="{C3380CC4-5D6E-409C-BE32-E72D297353CC}">
                  <c16:uniqueId val="{00000002-FE18-4F23-B406-92125BD42304}"/>
                </c:ext>
              </c:extLst>
            </c:dLbl>
            <c:dLbl>
              <c:idx val="1"/>
              <c:delete val="1"/>
              <c:extLst>
                <c:ext xmlns:c15="http://schemas.microsoft.com/office/drawing/2012/chart" uri="{CE6537A1-D6FC-4f65-9D91-7224C49458BB}"/>
                <c:ext xmlns:c16="http://schemas.microsoft.com/office/drawing/2014/chart" uri="{C3380CC4-5D6E-409C-BE32-E72D297353CC}">
                  <c16:uniqueId val="{00000003-FE18-4F23-B406-92125BD42304}"/>
                </c:ext>
              </c:extLst>
            </c:dLbl>
            <c:dLbl>
              <c:idx val="2"/>
              <c:delete val="1"/>
              <c:extLst>
                <c:ext xmlns:c15="http://schemas.microsoft.com/office/drawing/2012/chart" uri="{CE6537A1-D6FC-4f65-9D91-7224C49458BB}"/>
                <c:ext xmlns:c16="http://schemas.microsoft.com/office/drawing/2014/chart" uri="{C3380CC4-5D6E-409C-BE32-E72D297353CC}">
                  <c16:uniqueId val="{00000004-FE18-4F23-B406-92125BD42304}"/>
                </c:ext>
              </c:extLst>
            </c:dLbl>
            <c:dLbl>
              <c:idx val="3"/>
              <c:delete val="1"/>
              <c:extLst>
                <c:ext xmlns:c15="http://schemas.microsoft.com/office/drawing/2012/chart" uri="{CE6537A1-D6FC-4f65-9D91-7224C49458BB}"/>
                <c:ext xmlns:c16="http://schemas.microsoft.com/office/drawing/2014/chart" uri="{C3380CC4-5D6E-409C-BE32-E72D297353CC}">
                  <c16:uniqueId val="{00000005-FE18-4F23-B406-92125BD42304}"/>
                </c:ext>
              </c:extLst>
            </c:dLbl>
            <c:dLbl>
              <c:idx val="4"/>
              <c:delete val="1"/>
              <c:extLst>
                <c:ext xmlns:c15="http://schemas.microsoft.com/office/drawing/2012/chart" uri="{CE6537A1-D6FC-4f65-9D91-7224C49458BB}"/>
                <c:ext xmlns:c16="http://schemas.microsoft.com/office/drawing/2014/chart" uri="{C3380CC4-5D6E-409C-BE32-E72D297353CC}">
                  <c16:uniqueId val="{00000006-FE18-4F23-B406-92125BD42304}"/>
                </c:ext>
              </c:extLst>
            </c:dLbl>
            <c:dLbl>
              <c:idx val="5"/>
              <c:delete val="1"/>
              <c:extLst>
                <c:ext xmlns:c15="http://schemas.microsoft.com/office/drawing/2012/chart" uri="{CE6537A1-D6FC-4f65-9D91-7224C49458BB}"/>
                <c:ext xmlns:c16="http://schemas.microsoft.com/office/drawing/2014/chart" uri="{C3380CC4-5D6E-409C-BE32-E72D297353CC}">
                  <c16:uniqueId val="{00000007-FE18-4F23-B406-92125BD4230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MES!$A$6:$A$12</c:f>
              <c:strCache>
                <c:ptCount val="7"/>
                <c:pt idx="0">
                  <c:v>2018/05</c:v>
                </c:pt>
                <c:pt idx="1">
                  <c:v>2019/05</c:v>
                </c:pt>
                <c:pt idx="2">
                  <c:v>2020/05</c:v>
                </c:pt>
                <c:pt idx="3">
                  <c:v>2021/05</c:v>
                </c:pt>
                <c:pt idx="4">
                  <c:v>2022/05</c:v>
                </c:pt>
                <c:pt idx="5">
                  <c:v>2023/05</c:v>
                </c:pt>
                <c:pt idx="6">
                  <c:v>2024/05</c:v>
                </c:pt>
              </c:strCache>
            </c:strRef>
          </c:cat>
          <c:val>
            <c:numRef>
              <c:f>MES!$B$6:$B$12</c:f>
              <c:numCache>
                <c:formatCode>#,##0</c:formatCode>
                <c:ptCount val="7"/>
                <c:pt idx="0">
                  <c:v>2692.5169999999998</c:v>
                </c:pt>
                <c:pt idx="1">
                  <c:v>2432.1750000000002</c:v>
                </c:pt>
                <c:pt idx="2">
                  <c:v>1639.184</c:v>
                </c:pt>
                <c:pt idx="3">
                  <c:v>2061.1590000000001</c:v>
                </c:pt>
                <c:pt idx="4">
                  <c:v>4265.6610000000001</c:v>
                </c:pt>
                <c:pt idx="5">
                  <c:v>3883.8969999999999</c:v>
                </c:pt>
                <c:pt idx="6">
                  <c:v>3270.5219999999999</c:v>
                </c:pt>
              </c:numCache>
            </c:numRef>
          </c:val>
          <c:extLst>
            <c:ext xmlns:c16="http://schemas.microsoft.com/office/drawing/2014/chart" uri="{C3380CC4-5D6E-409C-BE32-E72D297353CC}">
              <c16:uniqueId val="{00000008-FE18-4F23-B406-92125BD42304}"/>
            </c:ext>
          </c:extLst>
        </c:ser>
        <c:dLbls>
          <c:dLblPos val="outEnd"/>
          <c:showLegendKey val="0"/>
          <c:showVal val="1"/>
          <c:showCatName val="0"/>
          <c:showSerName val="0"/>
          <c:showPercent val="0"/>
          <c:showBubbleSize val="0"/>
        </c:dLbls>
        <c:gapWidth val="50"/>
        <c:overlap val="-27"/>
        <c:axId val="540025024"/>
        <c:axId val="540032240"/>
      </c:bar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scaling>
        <c:delete val="0"/>
        <c:axPos val="l"/>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HIS!$C$5</c:f>
              <c:strCache>
                <c:ptCount val="1"/>
                <c:pt idx="0">
                  <c:v>Valor de la producción</c:v>
                </c:pt>
              </c:strCache>
            </c:strRef>
          </c:tx>
          <c:spPr>
            <a:solidFill>
              <a:srgbClr val="C9D0D6"/>
            </a:solidFill>
            <a:ln>
              <a:noFill/>
            </a:ln>
            <a:effectLst/>
          </c:spPr>
          <c:invertIfNegative val="0"/>
          <c:dPt>
            <c:idx val="4"/>
            <c:invertIfNegative val="0"/>
            <c:bubble3D val="0"/>
            <c:spPr>
              <a:solidFill>
                <a:srgbClr val="7C878E"/>
              </a:solidFill>
              <a:ln>
                <a:noFill/>
              </a:ln>
              <a:effectLst/>
            </c:spPr>
            <c:extLst>
              <c:ext xmlns:c16="http://schemas.microsoft.com/office/drawing/2014/chart" uri="{C3380CC4-5D6E-409C-BE32-E72D297353CC}">
                <c16:uniqueId val="{00000001-D63A-4A33-970E-49BC9DF7AB61}"/>
              </c:ext>
            </c:extLst>
          </c:dPt>
          <c:dPt>
            <c:idx val="16"/>
            <c:invertIfNegative val="0"/>
            <c:bubble3D val="0"/>
            <c:spPr>
              <a:solidFill>
                <a:srgbClr val="7C878E"/>
              </a:solidFill>
              <a:ln>
                <a:noFill/>
              </a:ln>
              <a:effectLst/>
            </c:spPr>
            <c:extLst>
              <c:ext xmlns:c16="http://schemas.microsoft.com/office/drawing/2014/chart" uri="{C3380CC4-5D6E-409C-BE32-E72D297353CC}">
                <c16:uniqueId val="{00000003-D63A-4A33-970E-49BC9DF7AB61}"/>
              </c:ext>
            </c:extLst>
          </c:dPt>
          <c:dPt>
            <c:idx val="28"/>
            <c:invertIfNegative val="0"/>
            <c:bubble3D val="0"/>
            <c:spPr>
              <a:solidFill>
                <a:srgbClr val="7C878E"/>
              </a:solidFill>
              <a:ln>
                <a:noFill/>
              </a:ln>
              <a:effectLst/>
            </c:spPr>
            <c:extLst>
              <c:ext xmlns:c16="http://schemas.microsoft.com/office/drawing/2014/chart" uri="{C3380CC4-5D6E-409C-BE32-E72D297353CC}">
                <c16:uniqueId val="{00000005-D63A-4A33-970E-49BC9DF7AB61}"/>
              </c:ext>
            </c:extLst>
          </c:dPt>
          <c:dPt>
            <c:idx val="40"/>
            <c:invertIfNegative val="0"/>
            <c:bubble3D val="0"/>
            <c:spPr>
              <a:solidFill>
                <a:srgbClr val="7C878E"/>
              </a:solidFill>
              <a:ln>
                <a:noFill/>
              </a:ln>
              <a:effectLst/>
            </c:spPr>
            <c:extLst>
              <c:ext xmlns:c16="http://schemas.microsoft.com/office/drawing/2014/chart" uri="{C3380CC4-5D6E-409C-BE32-E72D297353CC}">
                <c16:uniqueId val="{00000007-D63A-4A33-970E-49BC9DF7AB61}"/>
              </c:ext>
            </c:extLst>
          </c:dPt>
          <c:dPt>
            <c:idx val="52"/>
            <c:invertIfNegative val="0"/>
            <c:bubble3D val="0"/>
            <c:spPr>
              <a:solidFill>
                <a:srgbClr val="7C878E"/>
              </a:solidFill>
              <a:ln>
                <a:noFill/>
              </a:ln>
              <a:effectLst/>
            </c:spPr>
            <c:extLst>
              <c:ext xmlns:c16="http://schemas.microsoft.com/office/drawing/2014/chart" uri="{C3380CC4-5D6E-409C-BE32-E72D297353CC}">
                <c16:uniqueId val="{00000009-D63A-4A33-970E-49BC9DF7AB61}"/>
              </c:ext>
            </c:extLst>
          </c:dPt>
          <c:dPt>
            <c:idx val="64"/>
            <c:invertIfNegative val="0"/>
            <c:bubble3D val="0"/>
            <c:spPr>
              <a:solidFill>
                <a:srgbClr val="FBBB27"/>
              </a:solidFill>
              <a:ln>
                <a:noFill/>
              </a:ln>
              <a:effectLst/>
            </c:spPr>
            <c:extLst>
              <c:ext xmlns:c16="http://schemas.microsoft.com/office/drawing/2014/chart" uri="{C3380CC4-5D6E-409C-BE32-E72D297353CC}">
                <c16:uniqueId val="{0000000B-D63A-4A33-970E-49BC9DF7AB61}"/>
              </c:ext>
            </c:extLst>
          </c:dPt>
          <c:cat>
            <c:multiLvlStrRef>
              <c:f>HIS!$A$6:$B$70</c:f>
              <c:multiLvlStrCache>
                <c:ptCount val="6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lvl>
                <c:lvl>
                  <c:pt idx="0">
                    <c:v>2019</c:v>
                  </c:pt>
                  <c:pt idx="12">
                    <c:v>2020</c:v>
                  </c:pt>
                  <c:pt idx="24">
                    <c:v>2021</c:v>
                  </c:pt>
                  <c:pt idx="36">
                    <c:v>2022</c:v>
                  </c:pt>
                  <c:pt idx="48">
                    <c:v>2023</c:v>
                  </c:pt>
                  <c:pt idx="60">
                    <c:v>2024</c:v>
                  </c:pt>
                </c:lvl>
              </c:multiLvlStrCache>
            </c:multiLvlStrRef>
          </c:cat>
          <c:val>
            <c:numRef>
              <c:f>HIS!$C$6:$C$70</c:f>
              <c:numCache>
                <c:formatCode>#,##0</c:formatCode>
                <c:ptCount val="65"/>
                <c:pt idx="0">
                  <c:v>2673.652</c:v>
                </c:pt>
                <c:pt idx="1">
                  <c:v>2528.0189999999998</c:v>
                </c:pt>
                <c:pt idx="2">
                  <c:v>2990.5030000000002</c:v>
                </c:pt>
                <c:pt idx="3">
                  <c:v>2168.81</c:v>
                </c:pt>
                <c:pt idx="4">
                  <c:v>2432.1750000000002</c:v>
                </c:pt>
                <c:pt idx="5">
                  <c:v>2365.35</c:v>
                </c:pt>
                <c:pt idx="6">
                  <c:v>2201.4899999999998</c:v>
                </c:pt>
                <c:pt idx="7">
                  <c:v>2127.9630000000002</c:v>
                </c:pt>
                <c:pt idx="8">
                  <c:v>1972.433</c:v>
                </c:pt>
                <c:pt idx="9">
                  <c:v>2153.8380000000002</c:v>
                </c:pt>
                <c:pt idx="10">
                  <c:v>2303.473</c:v>
                </c:pt>
                <c:pt idx="11">
                  <c:v>2295.6770000000001</c:v>
                </c:pt>
                <c:pt idx="12">
                  <c:v>2004.155</c:v>
                </c:pt>
                <c:pt idx="13">
                  <c:v>2244.2750000000001</c:v>
                </c:pt>
                <c:pt idx="14">
                  <c:v>2193.8539999999998</c:v>
                </c:pt>
                <c:pt idx="15">
                  <c:v>1713.433</c:v>
                </c:pt>
                <c:pt idx="16">
                  <c:v>1639.184</c:v>
                </c:pt>
                <c:pt idx="17">
                  <c:v>1803.6469999999999</c:v>
                </c:pt>
                <c:pt idx="18">
                  <c:v>1932.2149999999999</c:v>
                </c:pt>
                <c:pt idx="19">
                  <c:v>1920.4829999999999</c:v>
                </c:pt>
                <c:pt idx="20">
                  <c:v>1992.7729999999999</c:v>
                </c:pt>
                <c:pt idx="21">
                  <c:v>2095.39</c:v>
                </c:pt>
                <c:pt idx="22">
                  <c:v>2154.1149999999998</c:v>
                </c:pt>
                <c:pt idx="23">
                  <c:v>2033.1410000000001</c:v>
                </c:pt>
                <c:pt idx="24">
                  <c:v>2086.8980000000001</c:v>
                </c:pt>
                <c:pt idx="25">
                  <c:v>2030.3040000000001</c:v>
                </c:pt>
                <c:pt idx="26">
                  <c:v>2123.4110000000001</c:v>
                </c:pt>
                <c:pt idx="27">
                  <c:v>1994.154</c:v>
                </c:pt>
                <c:pt idx="28">
                  <c:v>2061.1590000000001</c:v>
                </c:pt>
                <c:pt idx="29">
                  <c:v>1969.211</c:v>
                </c:pt>
                <c:pt idx="30">
                  <c:v>2076.6840000000002</c:v>
                </c:pt>
                <c:pt idx="31">
                  <c:v>2078.6170000000002</c:v>
                </c:pt>
                <c:pt idx="32">
                  <c:v>2371.817</c:v>
                </c:pt>
                <c:pt idx="33">
                  <c:v>2566.4180000000001</c:v>
                </c:pt>
                <c:pt idx="34">
                  <c:v>2633.3589999999999</c:v>
                </c:pt>
                <c:pt idx="35">
                  <c:v>2826.2080000000001</c:v>
                </c:pt>
                <c:pt idx="36">
                  <c:v>3886.8620000000001</c:v>
                </c:pt>
                <c:pt idx="37">
                  <c:v>3445.3670000000002</c:v>
                </c:pt>
                <c:pt idx="38">
                  <c:v>3699.828</c:v>
                </c:pt>
                <c:pt idx="39">
                  <c:v>3921.83</c:v>
                </c:pt>
                <c:pt idx="40">
                  <c:v>4265.6610000000001</c:v>
                </c:pt>
                <c:pt idx="41">
                  <c:v>4192.7089999999998</c:v>
                </c:pt>
                <c:pt idx="42">
                  <c:v>3903.5929999999998</c:v>
                </c:pt>
                <c:pt idx="43">
                  <c:v>3621.0030000000002</c:v>
                </c:pt>
                <c:pt idx="44">
                  <c:v>3429.3310000000001</c:v>
                </c:pt>
                <c:pt idx="45">
                  <c:v>3472.011</c:v>
                </c:pt>
                <c:pt idx="46">
                  <c:v>3877.3020000000001</c:v>
                </c:pt>
                <c:pt idx="47">
                  <c:v>4598.5240000000003</c:v>
                </c:pt>
                <c:pt idx="48">
                  <c:v>3909.41</c:v>
                </c:pt>
                <c:pt idx="49">
                  <c:v>3821.2869999999998</c:v>
                </c:pt>
                <c:pt idx="50">
                  <c:v>3934.6869999999999</c:v>
                </c:pt>
                <c:pt idx="51">
                  <c:v>3860.462</c:v>
                </c:pt>
                <c:pt idx="52">
                  <c:v>3883.8969999999999</c:v>
                </c:pt>
                <c:pt idx="53">
                  <c:v>3339.7089999999998</c:v>
                </c:pt>
                <c:pt idx="54">
                  <c:v>3283.09</c:v>
                </c:pt>
                <c:pt idx="55">
                  <c:v>3364.2959999999998</c:v>
                </c:pt>
                <c:pt idx="56">
                  <c:v>3668.9340000000002</c:v>
                </c:pt>
                <c:pt idx="57">
                  <c:v>4183.7179999999998</c:v>
                </c:pt>
                <c:pt idx="58">
                  <c:v>4281.7839999999997</c:v>
                </c:pt>
                <c:pt idx="59">
                  <c:v>3826.2860000000001</c:v>
                </c:pt>
                <c:pt idx="60">
                  <c:v>3238.681</c:v>
                </c:pt>
                <c:pt idx="61">
                  <c:v>3093.4070000000002</c:v>
                </c:pt>
                <c:pt idx="62">
                  <c:v>2865.1469999999999</c:v>
                </c:pt>
                <c:pt idx="63">
                  <c:v>3273.4520000000002</c:v>
                </c:pt>
                <c:pt idx="64">
                  <c:v>3270.5219999999999</c:v>
                </c:pt>
              </c:numCache>
            </c:numRef>
          </c:val>
          <c:extLst>
            <c:ext xmlns:c16="http://schemas.microsoft.com/office/drawing/2014/chart" uri="{C3380CC4-5D6E-409C-BE32-E72D297353CC}">
              <c16:uniqueId val="{0000000C-D63A-4A33-970E-49BC9DF7AB61}"/>
            </c:ext>
          </c:extLst>
        </c:ser>
        <c:dLbls>
          <c:showLegendKey val="0"/>
          <c:showVal val="0"/>
          <c:showCatName val="0"/>
          <c:showSerName val="0"/>
          <c:showPercent val="0"/>
          <c:showBubbleSize val="0"/>
        </c:dLbls>
        <c:gapWidth val="50"/>
        <c:overlap val="-27"/>
        <c:axId val="540025024"/>
        <c:axId val="540032240"/>
      </c:barChart>
      <c:lineChart>
        <c:grouping val="standard"/>
        <c:varyColors val="0"/>
        <c:ser>
          <c:idx val="1"/>
          <c:order val="1"/>
          <c:tx>
            <c:strRef>
              <c:f>HIS!$D$5</c:f>
              <c:strCache>
                <c:ptCount val="1"/>
                <c:pt idx="0">
                  <c:v>Promedio</c:v>
                </c:pt>
              </c:strCache>
            </c:strRef>
          </c:tx>
          <c:spPr>
            <a:ln w="28575" cap="rnd">
              <a:solidFill>
                <a:srgbClr val="B69630"/>
              </a:solidFill>
              <a:round/>
            </a:ln>
            <a:effectLst/>
          </c:spPr>
          <c:marker>
            <c:symbol val="none"/>
          </c:marker>
          <c:cat>
            <c:multiLvlStrRef>
              <c:f>HIS!$A$6:$B$70</c:f>
              <c:multiLvlStrCache>
                <c:ptCount val="6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lvl>
                <c:lvl>
                  <c:pt idx="0">
                    <c:v>2019</c:v>
                  </c:pt>
                  <c:pt idx="12">
                    <c:v>2020</c:v>
                  </c:pt>
                  <c:pt idx="24">
                    <c:v>2021</c:v>
                  </c:pt>
                  <c:pt idx="36">
                    <c:v>2022</c:v>
                  </c:pt>
                  <c:pt idx="48">
                    <c:v>2023</c:v>
                  </c:pt>
                  <c:pt idx="60">
                    <c:v>2024</c:v>
                  </c:pt>
                </c:lvl>
              </c:multiLvlStrCache>
            </c:multiLvlStrRef>
          </c:cat>
          <c:val>
            <c:numRef>
              <c:f>HIS!$D$6:$D$70</c:f>
              <c:numCache>
                <c:formatCode>#,##0</c:formatCode>
                <c:ptCount val="65"/>
                <c:pt idx="0">
                  <c:v>2686.8505833333302</c:v>
                </c:pt>
                <c:pt idx="1">
                  <c:v>2722.1095833333302</c:v>
                </c:pt>
                <c:pt idx="2">
                  <c:v>2760.0162500000001</c:v>
                </c:pt>
                <c:pt idx="3">
                  <c:v>2752.64883333333</c:v>
                </c:pt>
                <c:pt idx="4">
                  <c:v>2730.95366666667</c:v>
                </c:pt>
                <c:pt idx="5">
                  <c:v>2728.7022499999998</c:v>
                </c:pt>
                <c:pt idx="6">
                  <c:v>2687.45</c:v>
                </c:pt>
                <c:pt idx="7">
                  <c:v>2608.7404166666702</c:v>
                </c:pt>
                <c:pt idx="8">
                  <c:v>2571.2802499999998</c:v>
                </c:pt>
                <c:pt idx="9">
                  <c:v>2477.69941666667</c:v>
                </c:pt>
                <c:pt idx="10">
                  <c:v>2456.9801666666699</c:v>
                </c:pt>
                <c:pt idx="11">
                  <c:v>2351.1152499999998</c:v>
                </c:pt>
                <c:pt idx="12">
                  <c:v>2295.3238333333302</c:v>
                </c:pt>
                <c:pt idx="13">
                  <c:v>2271.6785</c:v>
                </c:pt>
                <c:pt idx="14">
                  <c:v>2205.2910833333299</c:v>
                </c:pt>
                <c:pt idx="15">
                  <c:v>2167.3429999999998</c:v>
                </c:pt>
                <c:pt idx="16">
                  <c:v>2101.2604166666702</c:v>
                </c:pt>
                <c:pt idx="17">
                  <c:v>2054.4518333333299</c:v>
                </c:pt>
                <c:pt idx="18">
                  <c:v>2032.01225</c:v>
                </c:pt>
                <c:pt idx="19">
                  <c:v>2014.72225</c:v>
                </c:pt>
                <c:pt idx="20">
                  <c:v>2016.41725</c:v>
                </c:pt>
                <c:pt idx="21">
                  <c:v>2011.5465833333301</c:v>
                </c:pt>
                <c:pt idx="22">
                  <c:v>1999.1000833333301</c:v>
                </c:pt>
                <c:pt idx="23">
                  <c:v>1977.2220833333299</c:v>
                </c:pt>
                <c:pt idx="24">
                  <c:v>1984.11733333333</c:v>
                </c:pt>
                <c:pt idx="25">
                  <c:v>1966.28641666667</c:v>
                </c:pt>
                <c:pt idx="26">
                  <c:v>1960.4161666666701</c:v>
                </c:pt>
                <c:pt idx="27">
                  <c:v>1983.80958333333</c:v>
                </c:pt>
                <c:pt idx="28">
                  <c:v>2018.97416666667</c:v>
                </c:pt>
                <c:pt idx="29">
                  <c:v>2032.7711666666701</c:v>
                </c:pt>
                <c:pt idx="30">
                  <c:v>2044.81025</c:v>
                </c:pt>
                <c:pt idx="31">
                  <c:v>2057.98808333333</c:v>
                </c:pt>
                <c:pt idx="32">
                  <c:v>2089.57508333333</c:v>
                </c:pt>
                <c:pt idx="33">
                  <c:v>2128.8274166666702</c:v>
                </c:pt>
                <c:pt idx="34">
                  <c:v>2168.7644166666701</c:v>
                </c:pt>
                <c:pt idx="35">
                  <c:v>2234.8533333333298</c:v>
                </c:pt>
                <c:pt idx="36">
                  <c:v>2384.8503333333301</c:v>
                </c:pt>
                <c:pt idx="37">
                  <c:v>2502.77225</c:v>
                </c:pt>
                <c:pt idx="38">
                  <c:v>2634.1403333333301</c:v>
                </c:pt>
                <c:pt idx="39">
                  <c:v>2794.78</c:v>
                </c:pt>
                <c:pt idx="40">
                  <c:v>2978.4884999999999</c:v>
                </c:pt>
                <c:pt idx="41">
                  <c:v>3163.78</c:v>
                </c:pt>
                <c:pt idx="42">
                  <c:v>3316.0224166666699</c:v>
                </c:pt>
                <c:pt idx="43">
                  <c:v>3444.5545833333299</c:v>
                </c:pt>
                <c:pt idx="44">
                  <c:v>3532.68075</c:v>
                </c:pt>
                <c:pt idx="45">
                  <c:v>3608.1468333333301</c:v>
                </c:pt>
                <c:pt idx="46">
                  <c:v>3711.8087500000001</c:v>
                </c:pt>
                <c:pt idx="47">
                  <c:v>3859.5017499999999</c:v>
                </c:pt>
                <c:pt idx="48">
                  <c:v>3861.3807499999998</c:v>
                </c:pt>
                <c:pt idx="49">
                  <c:v>3892.7074166666698</c:v>
                </c:pt>
                <c:pt idx="50">
                  <c:v>3912.279</c:v>
                </c:pt>
                <c:pt idx="51">
                  <c:v>3907.165</c:v>
                </c:pt>
                <c:pt idx="52">
                  <c:v>3875.3513333333299</c:v>
                </c:pt>
                <c:pt idx="53">
                  <c:v>3804.268</c:v>
                </c:pt>
                <c:pt idx="54">
                  <c:v>3752.5594166666701</c:v>
                </c:pt>
                <c:pt idx="55">
                  <c:v>3731.1671666666698</c:v>
                </c:pt>
                <c:pt idx="56">
                  <c:v>3751.1340833333302</c:v>
                </c:pt>
                <c:pt idx="57">
                  <c:v>3810.4430000000002</c:v>
                </c:pt>
                <c:pt idx="58">
                  <c:v>3844.1498333333302</c:v>
                </c:pt>
                <c:pt idx="59">
                  <c:v>3779.7966666666698</c:v>
                </c:pt>
                <c:pt idx="60">
                  <c:v>3723.9025833333299</c:v>
                </c:pt>
                <c:pt idx="61">
                  <c:v>3663.2459166666699</c:v>
                </c:pt>
                <c:pt idx="62">
                  <c:v>3574.11758333333</c:v>
                </c:pt>
                <c:pt idx="63">
                  <c:v>3525.20008333333</c:v>
                </c:pt>
                <c:pt idx="64">
                  <c:v>3474.0855000000001</c:v>
                </c:pt>
              </c:numCache>
            </c:numRef>
          </c:val>
          <c:smooth val="0"/>
          <c:extLst>
            <c:ext xmlns:c16="http://schemas.microsoft.com/office/drawing/2014/chart" uri="{C3380CC4-5D6E-409C-BE32-E72D297353CC}">
              <c16:uniqueId val="{0000000D-D63A-4A33-970E-49BC9DF7AB61}"/>
            </c:ext>
          </c:extLst>
        </c:ser>
        <c:dLbls>
          <c:showLegendKey val="0"/>
          <c:showVal val="0"/>
          <c:showCatName val="0"/>
          <c:showSerName val="0"/>
          <c:showPercent val="0"/>
          <c:showBubbleSize val="0"/>
        </c:dLbls>
        <c:marker val="1"/>
        <c:smooth val="0"/>
        <c:axId val="540025024"/>
        <c:axId val="540032240"/>
      </c:line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scaling>
        <c:delete val="0"/>
        <c:axPos val="l"/>
        <c:majorGridlines>
          <c:spPr>
            <a:ln w="9525" cap="flat" cmpd="sng" algn="ctr">
              <a:solidFill>
                <a:srgbClr val="D9D9D9"/>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7C878E"/>
            </a:solidFill>
            <a:ln>
              <a:noFill/>
            </a:ln>
            <a:effectLst/>
          </c:spPr>
          <c:invertIfNegative val="0"/>
          <c:dPt>
            <c:idx val="0"/>
            <c:invertIfNegative val="0"/>
            <c:bubble3D val="0"/>
            <c:spPr>
              <a:solidFill>
                <a:srgbClr val="7C878E"/>
              </a:solidFill>
              <a:ln>
                <a:noFill/>
              </a:ln>
              <a:effectLst/>
            </c:spPr>
            <c:extLst>
              <c:ext xmlns:c16="http://schemas.microsoft.com/office/drawing/2014/chart" uri="{C3380CC4-5D6E-409C-BE32-E72D297353CC}">
                <c16:uniqueId val="{00000001-53C6-4A5C-AB71-C3B8FF3A0DB7}"/>
              </c:ext>
            </c:extLst>
          </c:dPt>
          <c:dPt>
            <c:idx val="1"/>
            <c:invertIfNegative val="0"/>
            <c:bubble3D val="0"/>
            <c:spPr>
              <a:solidFill>
                <a:srgbClr val="7C878E"/>
              </a:solidFill>
              <a:ln>
                <a:noFill/>
              </a:ln>
              <a:effectLst/>
            </c:spPr>
            <c:extLst>
              <c:ext xmlns:c16="http://schemas.microsoft.com/office/drawing/2014/chart" uri="{C3380CC4-5D6E-409C-BE32-E72D297353CC}">
                <c16:uniqueId val="{00000003-53C6-4A5C-AB71-C3B8FF3A0DB7}"/>
              </c:ext>
            </c:extLst>
          </c:dPt>
          <c:dPt>
            <c:idx val="2"/>
            <c:invertIfNegative val="0"/>
            <c:bubble3D val="0"/>
            <c:spPr>
              <a:solidFill>
                <a:srgbClr val="7C878E"/>
              </a:solidFill>
              <a:ln>
                <a:noFill/>
              </a:ln>
              <a:effectLst/>
            </c:spPr>
            <c:extLst>
              <c:ext xmlns:c16="http://schemas.microsoft.com/office/drawing/2014/chart" uri="{C3380CC4-5D6E-409C-BE32-E72D297353CC}">
                <c16:uniqueId val="{00000005-53C6-4A5C-AB71-C3B8FF3A0DB7}"/>
              </c:ext>
            </c:extLst>
          </c:dPt>
          <c:dPt>
            <c:idx val="3"/>
            <c:invertIfNegative val="0"/>
            <c:bubble3D val="0"/>
            <c:spPr>
              <a:solidFill>
                <a:srgbClr val="7C878E"/>
              </a:solidFill>
              <a:ln>
                <a:noFill/>
              </a:ln>
              <a:effectLst/>
            </c:spPr>
            <c:extLst>
              <c:ext xmlns:c16="http://schemas.microsoft.com/office/drawing/2014/chart" uri="{C3380CC4-5D6E-409C-BE32-E72D297353CC}">
                <c16:uniqueId val="{00000007-53C6-4A5C-AB71-C3B8FF3A0DB7}"/>
              </c:ext>
            </c:extLst>
          </c:dPt>
          <c:dPt>
            <c:idx val="4"/>
            <c:invertIfNegative val="0"/>
            <c:bubble3D val="0"/>
            <c:spPr>
              <a:solidFill>
                <a:srgbClr val="7C878E"/>
              </a:solidFill>
              <a:ln>
                <a:noFill/>
              </a:ln>
              <a:effectLst/>
            </c:spPr>
            <c:extLst>
              <c:ext xmlns:c16="http://schemas.microsoft.com/office/drawing/2014/chart" uri="{C3380CC4-5D6E-409C-BE32-E72D297353CC}">
                <c16:uniqueId val="{00000009-53C6-4A5C-AB71-C3B8FF3A0DB7}"/>
              </c:ext>
            </c:extLst>
          </c:dPt>
          <c:dPt>
            <c:idx val="5"/>
            <c:invertIfNegative val="0"/>
            <c:bubble3D val="0"/>
            <c:spPr>
              <a:solidFill>
                <a:srgbClr val="7C878E"/>
              </a:solidFill>
              <a:ln>
                <a:noFill/>
              </a:ln>
              <a:effectLst/>
            </c:spPr>
            <c:extLst>
              <c:ext xmlns:c16="http://schemas.microsoft.com/office/drawing/2014/chart" uri="{C3380CC4-5D6E-409C-BE32-E72D297353CC}">
                <c16:uniqueId val="{0000000B-53C6-4A5C-AB71-C3B8FF3A0DB7}"/>
              </c:ext>
            </c:extLst>
          </c:dPt>
          <c:dPt>
            <c:idx val="6"/>
            <c:invertIfNegative val="0"/>
            <c:bubble3D val="0"/>
            <c:spPr>
              <a:solidFill>
                <a:srgbClr val="7C878E"/>
              </a:solidFill>
              <a:ln>
                <a:noFill/>
              </a:ln>
              <a:effectLst/>
            </c:spPr>
            <c:extLst>
              <c:ext xmlns:c16="http://schemas.microsoft.com/office/drawing/2014/chart" uri="{C3380CC4-5D6E-409C-BE32-E72D297353CC}">
                <c16:uniqueId val="{0000000D-53C6-4A5C-AB71-C3B8FF3A0DB7}"/>
              </c:ext>
            </c:extLst>
          </c:dPt>
          <c:dPt>
            <c:idx val="7"/>
            <c:invertIfNegative val="0"/>
            <c:bubble3D val="0"/>
            <c:spPr>
              <a:solidFill>
                <a:srgbClr val="7C878E"/>
              </a:solidFill>
              <a:ln>
                <a:noFill/>
              </a:ln>
              <a:effectLst/>
            </c:spPr>
            <c:extLst>
              <c:ext xmlns:c16="http://schemas.microsoft.com/office/drawing/2014/chart" uri="{C3380CC4-5D6E-409C-BE32-E72D297353CC}">
                <c16:uniqueId val="{0000000F-53C6-4A5C-AB71-C3B8FF3A0DB7}"/>
              </c:ext>
            </c:extLst>
          </c:dPt>
          <c:dPt>
            <c:idx val="8"/>
            <c:invertIfNegative val="0"/>
            <c:bubble3D val="0"/>
            <c:spPr>
              <a:solidFill>
                <a:srgbClr val="7C878E"/>
              </a:solidFill>
              <a:ln>
                <a:noFill/>
              </a:ln>
              <a:effectLst/>
            </c:spPr>
            <c:extLst>
              <c:ext xmlns:c16="http://schemas.microsoft.com/office/drawing/2014/chart" uri="{C3380CC4-5D6E-409C-BE32-E72D297353CC}">
                <c16:uniqueId val="{00000011-53C6-4A5C-AB71-C3B8FF3A0DB7}"/>
              </c:ext>
            </c:extLst>
          </c:dPt>
          <c:dPt>
            <c:idx val="9"/>
            <c:invertIfNegative val="0"/>
            <c:bubble3D val="0"/>
            <c:spPr>
              <a:solidFill>
                <a:srgbClr val="7C878E"/>
              </a:solidFill>
              <a:ln>
                <a:noFill/>
              </a:ln>
              <a:effectLst/>
            </c:spPr>
            <c:extLst>
              <c:ext xmlns:c16="http://schemas.microsoft.com/office/drawing/2014/chart" uri="{C3380CC4-5D6E-409C-BE32-E72D297353CC}">
                <c16:uniqueId val="{00000013-53C6-4A5C-AB71-C3B8FF3A0DB7}"/>
              </c:ext>
            </c:extLst>
          </c:dPt>
          <c:dPt>
            <c:idx val="10"/>
            <c:invertIfNegative val="0"/>
            <c:bubble3D val="0"/>
            <c:spPr>
              <a:solidFill>
                <a:srgbClr val="7C878E"/>
              </a:solidFill>
              <a:ln>
                <a:noFill/>
              </a:ln>
              <a:effectLst/>
            </c:spPr>
            <c:extLst>
              <c:ext xmlns:c16="http://schemas.microsoft.com/office/drawing/2014/chart" uri="{C3380CC4-5D6E-409C-BE32-E72D297353CC}">
                <c16:uniqueId val="{00000015-53C6-4A5C-AB71-C3B8FF3A0DB7}"/>
              </c:ext>
            </c:extLst>
          </c:dPt>
          <c:dPt>
            <c:idx val="11"/>
            <c:invertIfNegative val="0"/>
            <c:bubble3D val="0"/>
            <c:spPr>
              <a:solidFill>
                <a:srgbClr val="7C878E"/>
              </a:solidFill>
              <a:ln>
                <a:noFill/>
              </a:ln>
              <a:effectLst/>
            </c:spPr>
            <c:extLst>
              <c:ext xmlns:c16="http://schemas.microsoft.com/office/drawing/2014/chart" uri="{C3380CC4-5D6E-409C-BE32-E72D297353CC}">
                <c16:uniqueId val="{00000017-53C6-4A5C-AB71-C3B8FF3A0DB7}"/>
              </c:ext>
            </c:extLst>
          </c:dPt>
          <c:dPt>
            <c:idx val="12"/>
            <c:invertIfNegative val="0"/>
            <c:bubble3D val="0"/>
            <c:spPr>
              <a:solidFill>
                <a:srgbClr val="7C878E"/>
              </a:solidFill>
              <a:ln>
                <a:noFill/>
              </a:ln>
              <a:effectLst/>
            </c:spPr>
            <c:extLst>
              <c:ext xmlns:c16="http://schemas.microsoft.com/office/drawing/2014/chart" uri="{C3380CC4-5D6E-409C-BE32-E72D297353CC}">
                <c16:uniqueId val="{00000019-53C6-4A5C-AB71-C3B8FF3A0DB7}"/>
              </c:ext>
            </c:extLst>
          </c:dPt>
          <c:dPt>
            <c:idx val="13"/>
            <c:invertIfNegative val="0"/>
            <c:bubble3D val="0"/>
            <c:spPr>
              <a:solidFill>
                <a:srgbClr val="7C878E"/>
              </a:solidFill>
              <a:ln>
                <a:noFill/>
              </a:ln>
              <a:effectLst/>
            </c:spPr>
            <c:extLst>
              <c:ext xmlns:c16="http://schemas.microsoft.com/office/drawing/2014/chart" uri="{C3380CC4-5D6E-409C-BE32-E72D297353CC}">
                <c16:uniqueId val="{0000001B-53C6-4A5C-AB71-C3B8FF3A0DB7}"/>
              </c:ext>
            </c:extLst>
          </c:dPt>
          <c:dPt>
            <c:idx val="14"/>
            <c:invertIfNegative val="0"/>
            <c:bubble3D val="0"/>
            <c:spPr>
              <a:solidFill>
                <a:srgbClr val="7C878E"/>
              </a:solidFill>
              <a:ln>
                <a:noFill/>
              </a:ln>
              <a:effectLst/>
            </c:spPr>
            <c:extLst>
              <c:ext xmlns:c16="http://schemas.microsoft.com/office/drawing/2014/chart" uri="{C3380CC4-5D6E-409C-BE32-E72D297353CC}">
                <c16:uniqueId val="{0000001D-53C6-4A5C-AB71-C3B8FF3A0DB7}"/>
              </c:ext>
            </c:extLst>
          </c:dPt>
          <c:dPt>
            <c:idx val="15"/>
            <c:invertIfNegative val="0"/>
            <c:bubble3D val="0"/>
            <c:spPr>
              <a:solidFill>
                <a:srgbClr val="7C878E"/>
              </a:solidFill>
              <a:ln>
                <a:noFill/>
              </a:ln>
              <a:effectLst/>
            </c:spPr>
            <c:extLst>
              <c:ext xmlns:c16="http://schemas.microsoft.com/office/drawing/2014/chart" uri="{C3380CC4-5D6E-409C-BE32-E72D297353CC}">
                <c16:uniqueId val="{0000001F-53C6-4A5C-AB71-C3B8FF3A0DB7}"/>
              </c:ext>
            </c:extLst>
          </c:dPt>
          <c:dPt>
            <c:idx val="16"/>
            <c:invertIfNegative val="0"/>
            <c:bubble3D val="0"/>
            <c:spPr>
              <a:solidFill>
                <a:srgbClr val="7C878E"/>
              </a:solidFill>
              <a:ln>
                <a:noFill/>
              </a:ln>
              <a:effectLst/>
            </c:spPr>
            <c:extLst>
              <c:ext xmlns:c16="http://schemas.microsoft.com/office/drawing/2014/chart" uri="{C3380CC4-5D6E-409C-BE32-E72D297353CC}">
                <c16:uniqueId val="{00000021-53C6-4A5C-AB71-C3B8FF3A0DB7}"/>
              </c:ext>
            </c:extLst>
          </c:dPt>
          <c:dPt>
            <c:idx val="17"/>
            <c:invertIfNegative val="0"/>
            <c:bubble3D val="0"/>
            <c:spPr>
              <a:solidFill>
                <a:srgbClr val="7C878E"/>
              </a:solidFill>
              <a:ln>
                <a:noFill/>
              </a:ln>
              <a:effectLst/>
            </c:spPr>
            <c:extLst>
              <c:ext xmlns:c16="http://schemas.microsoft.com/office/drawing/2014/chart" uri="{C3380CC4-5D6E-409C-BE32-E72D297353CC}">
                <c16:uniqueId val="{00000023-53C6-4A5C-AB71-C3B8FF3A0DB7}"/>
              </c:ext>
            </c:extLst>
          </c:dPt>
          <c:dPt>
            <c:idx val="29"/>
            <c:invertIfNegative val="0"/>
            <c:bubble3D val="0"/>
            <c:spPr>
              <a:solidFill>
                <a:srgbClr val="FBBB27"/>
              </a:solidFill>
              <a:ln>
                <a:noFill/>
              </a:ln>
              <a:effectLst/>
            </c:spPr>
            <c:extLst>
              <c:ext xmlns:c16="http://schemas.microsoft.com/office/drawing/2014/chart" uri="{C3380CC4-5D6E-409C-BE32-E72D297353CC}">
                <c16:uniqueId val="{00000025-53C6-4A5C-AB71-C3B8FF3A0DB7}"/>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RANKDIS!$A$6:$A$37</c:f>
              <c:strCache>
                <c:ptCount val="32"/>
                <c:pt idx="0">
                  <c:v>Tlaxcala</c:v>
                </c:pt>
                <c:pt idx="1">
                  <c:v>Zacatecas</c:v>
                </c:pt>
                <c:pt idx="2">
                  <c:v>Morelos</c:v>
                </c:pt>
                <c:pt idx="3">
                  <c:v>Colima</c:v>
                </c:pt>
                <c:pt idx="4">
                  <c:v>Michoacán</c:v>
                </c:pt>
                <c:pt idx="5">
                  <c:v>Guerrero</c:v>
                </c:pt>
                <c:pt idx="6">
                  <c:v>Aguascalientes</c:v>
                </c:pt>
                <c:pt idx="7">
                  <c:v>Chiapas</c:v>
                </c:pt>
                <c:pt idx="8">
                  <c:v>Baja California Sur</c:v>
                </c:pt>
                <c:pt idx="9">
                  <c:v>Durango</c:v>
                </c:pt>
                <c:pt idx="10">
                  <c:v>Nayarit</c:v>
                </c:pt>
                <c:pt idx="11">
                  <c:v>Sinaloa</c:v>
                </c:pt>
                <c:pt idx="12">
                  <c:v>Puebla</c:v>
                </c:pt>
                <c:pt idx="13">
                  <c:v>Tamaulipas</c:v>
                </c:pt>
                <c:pt idx="14">
                  <c:v>San Luis Potosí</c:v>
                </c:pt>
                <c:pt idx="15">
                  <c:v>Guanajuato</c:v>
                </c:pt>
                <c:pt idx="16">
                  <c:v>Yucatán</c:v>
                </c:pt>
                <c:pt idx="17">
                  <c:v>Veracruz</c:v>
                </c:pt>
                <c:pt idx="18">
                  <c:v>Oaxaca</c:v>
                </c:pt>
                <c:pt idx="19">
                  <c:v>Hidalgo</c:v>
                </c:pt>
                <c:pt idx="20">
                  <c:v>Coahuila</c:v>
                </c:pt>
                <c:pt idx="21">
                  <c:v>Querétaro</c:v>
                </c:pt>
                <c:pt idx="22">
                  <c:v>Tabasco</c:v>
                </c:pt>
                <c:pt idx="23">
                  <c:v>Estado de México</c:v>
                </c:pt>
                <c:pt idx="24">
                  <c:v>Ciudad de México</c:v>
                </c:pt>
                <c:pt idx="25">
                  <c:v>Sonora</c:v>
                </c:pt>
                <c:pt idx="26">
                  <c:v>Baja California</c:v>
                </c:pt>
                <c:pt idx="27">
                  <c:v>Chihuahua</c:v>
                </c:pt>
                <c:pt idx="28">
                  <c:v>Campeche</c:v>
                </c:pt>
                <c:pt idx="29">
                  <c:v>Jalisco</c:v>
                </c:pt>
                <c:pt idx="30">
                  <c:v>Nuevo León</c:v>
                </c:pt>
                <c:pt idx="31">
                  <c:v>Quintana Roo</c:v>
                </c:pt>
              </c:strCache>
            </c:strRef>
          </c:cat>
          <c:val>
            <c:numRef>
              <c:f>RANKDIS!$B$6:$B$37</c:f>
              <c:numCache>
                <c:formatCode>0.0</c:formatCode>
                <c:ptCount val="32"/>
                <c:pt idx="0">
                  <c:v>0.11939914951893101</c:v>
                </c:pt>
                <c:pt idx="1">
                  <c:v>0.32257956667771798</c:v>
                </c:pt>
                <c:pt idx="2">
                  <c:v>0.40993364635648599</c:v>
                </c:pt>
                <c:pt idx="3">
                  <c:v>0.689507543792926</c:v>
                </c:pt>
                <c:pt idx="4">
                  <c:v>0.96867120939687501</c:v>
                </c:pt>
                <c:pt idx="5">
                  <c:v>0.97527286967919602</c:v>
                </c:pt>
                <c:pt idx="6">
                  <c:v>1.02498682333547</c:v>
                </c:pt>
                <c:pt idx="7">
                  <c:v>1.33744613335263</c:v>
                </c:pt>
                <c:pt idx="8">
                  <c:v>1.3895997917395799</c:v>
                </c:pt>
                <c:pt idx="9">
                  <c:v>1.55817254549665</c:v>
                </c:pt>
                <c:pt idx="10">
                  <c:v>1.7683232894304</c:v>
                </c:pt>
                <c:pt idx="11">
                  <c:v>1.8840845681175999</c:v>
                </c:pt>
                <c:pt idx="12">
                  <c:v>1.89742704221132</c:v>
                </c:pt>
                <c:pt idx="13">
                  <c:v>2.3172695041517</c:v>
                </c:pt>
                <c:pt idx="14">
                  <c:v>2.47441901820318</c:v>
                </c:pt>
                <c:pt idx="15">
                  <c:v>2.9838492450424101</c:v>
                </c:pt>
                <c:pt idx="16">
                  <c:v>3.0905366293202099</c:v>
                </c:pt>
                <c:pt idx="17">
                  <c:v>3.2018486094541401</c:v>
                </c:pt>
                <c:pt idx="18">
                  <c:v>3.3073161413666101</c:v>
                </c:pt>
                <c:pt idx="19">
                  <c:v>3.3797591071692699</c:v>
                </c:pt>
                <c:pt idx="20">
                  <c:v>3.3831620434713798</c:v>
                </c:pt>
                <c:pt idx="21">
                  <c:v>3.7193352834706501</c:v>
                </c:pt>
                <c:pt idx="22">
                  <c:v>3.9062473880475999</c:v>
                </c:pt>
                <c:pt idx="23">
                  <c:v>4.11992395711433</c:v>
                </c:pt>
                <c:pt idx="24">
                  <c:v>4.14242345629716</c:v>
                </c:pt>
                <c:pt idx="25">
                  <c:v>4.3740146868417602</c:v>
                </c:pt>
                <c:pt idx="26">
                  <c:v>4.5182301514433201</c:v>
                </c:pt>
                <c:pt idx="27">
                  <c:v>4.5544624774767799</c:v>
                </c:pt>
                <c:pt idx="28">
                  <c:v>5.1665301787409001</c:v>
                </c:pt>
                <c:pt idx="29">
                  <c:v>5.9104503667825004</c:v>
                </c:pt>
                <c:pt idx="30">
                  <c:v>10.120115699834299</c:v>
                </c:pt>
                <c:pt idx="31">
                  <c:v>10.984701876666101</c:v>
                </c:pt>
              </c:numCache>
            </c:numRef>
          </c:val>
          <c:extLst>
            <c:ext xmlns:c16="http://schemas.microsoft.com/office/drawing/2014/chart" uri="{C3380CC4-5D6E-409C-BE32-E72D297353CC}">
              <c16:uniqueId val="{00000026-53C6-4A5C-AB71-C3B8FF3A0DB7}"/>
            </c:ext>
          </c:extLst>
        </c:ser>
        <c:dLbls>
          <c:showLegendKey val="0"/>
          <c:showVal val="0"/>
          <c:showCatName val="0"/>
          <c:showSerName val="0"/>
          <c:showPercent val="0"/>
          <c:showBubbleSize val="0"/>
        </c:dLbls>
        <c:gapWidth val="75"/>
        <c:axId val="365567288"/>
        <c:axId val="365572864"/>
      </c:barChart>
      <c:catAx>
        <c:axId val="36556728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365572864"/>
        <c:crosses val="autoZero"/>
        <c:auto val="1"/>
        <c:lblAlgn val="ctr"/>
        <c:lblOffset val="100"/>
        <c:noMultiLvlLbl val="0"/>
      </c:catAx>
      <c:valAx>
        <c:axId val="365572864"/>
        <c:scaling>
          <c:orientation val="minMax"/>
        </c:scaling>
        <c:delete val="1"/>
        <c:axPos val="b"/>
        <c:numFmt formatCode="0.0" sourceLinked="1"/>
        <c:majorTickMark val="none"/>
        <c:minorTickMark val="none"/>
        <c:tickLblPos val="nextTo"/>
        <c:crossAx val="365567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7C878E"/>
            </a:solidFill>
            <a:ln>
              <a:noFill/>
            </a:ln>
            <a:effectLst/>
          </c:spPr>
          <c:invertIfNegative val="0"/>
          <c:dPt>
            <c:idx val="0"/>
            <c:invertIfNegative val="0"/>
            <c:bubble3D val="0"/>
            <c:spPr>
              <a:solidFill>
                <a:srgbClr val="7C878E"/>
              </a:solidFill>
              <a:ln>
                <a:noFill/>
              </a:ln>
              <a:effectLst/>
            </c:spPr>
            <c:extLst>
              <c:ext xmlns:c16="http://schemas.microsoft.com/office/drawing/2014/chart" uri="{C3380CC4-5D6E-409C-BE32-E72D297353CC}">
                <c16:uniqueId val="{00000001-C2EE-4876-A7DE-6500CF3D8B0C}"/>
              </c:ext>
            </c:extLst>
          </c:dPt>
          <c:dPt>
            <c:idx val="1"/>
            <c:invertIfNegative val="0"/>
            <c:bubble3D val="0"/>
            <c:spPr>
              <a:solidFill>
                <a:srgbClr val="7C878E"/>
              </a:solidFill>
              <a:ln>
                <a:noFill/>
              </a:ln>
              <a:effectLst/>
            </c:spPr>
            <c:extLst>
              <c:ext xmlns:c16="http://schemas.microsoft.com/office/drawing/2014/chart" uri="{C3380CC4-5D6E-409C-BE32-E72D297353CC}">
                <c16:uniqueId val="{00000003-C2EE-4876-A7DE-6500CF3D8B0C}"/>
              </c:ext>
            </c:extLst>
          </c:dPt>
          <c:dPt>
            <c:idx val="2"/>
            <c:invertIfNegative val="0"/>
            <c:bubble3D val="0"/>
            <c:spPr>
              <a:solidFill>
                <a:srgbClr val="7C878E"/>
              </a:solidFill>
              <a:ln>
                <a:noFill/>
              </a:ln>
              <a:effectLst/>
            </c:spPr>
            <c:extLst>
              <c:ext xmlns:c16="http://schemas.microsoft.com/office/drawing/2014/chart" uri="{C3380CC4-5D6E-409C-BE32-E72D297353CC}">
                <c16:uniqueId val="{00000005-C2EE-4876-A7DE-6500CF3D8B0C}"/>
              </c:ext>
            </c:extLst>
          </c:dPt>
          <c:dPt>
            <c:idx val="3"/>
            <c:invertIfNegative val="0"/>
            <c:bubble3D val="0"/>
            <c:spPr>
              <a:solidFill>
                <a:srgbClr val="7C878E"/>
              </a:solidFill>
              <a:ln>
                <a:noFill/>
              </a:ln>
              <a:effectLst/>
            </c:spPr>
            <c:extLst>
              <c:ext xmlns:c16="http://schemas.microsoft.com/office/drawing/2014/chart" uri="{C3380CC4-5D6E-409C-BE32-E72D297353CC}">
                <c16:uniqueId val="{00000007-C2EE-4876-A7DE-6500CF3D8B0C}"/>
              </c:ext>
            </c:extLst>
          </c:dPt>
          <c:dPt>
            <c:idx val="4"/>
            <c:invertIfNegative val="0"/>
            <c:bubble3D val="0"/>
            <c:spPr>
              <a:solidFill>
                <a:srgbClr val="7C878E"/>
              </a:solidFill>
              <a:ln>
                <a:noFill/>
              </a:ln>
              <a:effectLst/>
            </c:spPr>
            <c:extLst>
              <c:ext xmlns:c16="http://schemas.microsoft.com/office/drawing/2014/chart" uri="{C3380CC4-5D6E-409C-BE32-E72D297353CC}">
                <c16:uniqueId val="{00000009-C2EE-4876-A7DE-6500CF3D8B0C}"/>
              </c:ext>
            </c:extLst>
          </c:dPt>
          <c:dPt>
            <c:idx val="5"/>
            <c:invertIfNegative val="0"/>
            <c:bubble3D val="0"/>
            <c:spPr>
              <a:solidFill>
                <a:srgbClr val="7C878E"/>
              </a:solidFill>
              <a:ln>
                <a:noFill/>
              </a:ln>
              <a:effectLst/>
            </c:spPr>
            <c:extLst>
              <c:ext xmlns:c16="http://schemas.microsoft.com/office/drawing/2014/chart" uri="{C3380CC4-5D6E-409C-BE32-E72D297353CC}">
                <c16:uniqueId val="{0000000B-C2EE-4876-A7DE-6500CF3D8B0C}"/>
              </c:ext>
            </c:extLst>
          </c:dPt>
          <c:dPt>
            <c:idx val="6"/>
            <c:invertIfNegative val="0"/>
            <c:bubble3D val="0"/>
            <c:spPr>
              <a:solidFill>
                <a:srgbClr val="FBBB27"/>
              </a:solidFill>
              <a:ln>
                <a:noFill/>
              </a:ln>
              <a:effectLst/>
            </c:spPr>
            <c:extLst>
              <c:ext xmlns:c16="http://schemas.microsoft.com/office/drawing/2014/chart" uri="{C3380CC4-5D6E-409C-BE32-E72D297353CC}">
                <c16:uniqueId val="{0000000D-C2EE-4876-A7DE-6500CF3D8B0C}"/>
              </c:ext>
            </c:extLst>
          </c:dPt>
          <c:dPt>
            <c:idx val="7"/>
            <c:invertIfNegative val="0"/>
            <c:bubble3D val="0"/>
            <c:spPr>
              <a:solidFill>
                <a:srgbClr val="7C878E"/>
              </a:solidFill>
              <a:ln>
                <a:noFill/>
              </a:ln>
              <a:effectLst/>
            </c:spPr>
            <c:extLst>
              <c:ext xmlns:c16="http://schemas.microsoft.com/office/drawing/2014/chart" uri="{C3380CC4-5D6E-409C-BE32-E72D297353CC}">
                <c16:uniqueId val="{0000000F-C2EE-4876-A7DE-6500CF3D8B0C}"/>
              </c:ext>
            </c:extLst>
          </c:dPt>
          <c:dPt>
            <c:idx val="8"/>
            <c:invertIfNegative val="0"/>
            <c:bubble3D val="0"/>
            <c:spPr>
              <a:solidFill>
                <a:srgbClr val="7C878E"/>
              </a:solidFill>
              <a:ln>
                <a:noFill/>
              </a:ln>
              <a:effectLst/>
            </c:spPr>
            <c:extLst>
              <c:ext xmlns:c16="http://schemas.microsoft.com/office/drawing/2014/chart" uri="{C3380CC4-5D6E-409C-BE32-E72D297353CC}">
                <c16:uniqueId val="{00000011-C2EE-4876-A7DE-6500CF3D8B0C}"/>
              </c:ext>
            </c:extLst>
          </c:dPt>
          <c:dPt>
            <c:idx val="9"/>
            <c:invertIfNegative val="0"/>
            <c:bubble3D val="0"/>
            <c:spPr>
              <a:solidFill>
                <a:srgbClr val="7C878E"/>
              </a:solidFill>
              <a:ln>
                <a:noFill/>
              </a:ln>
              <a:effectLst/>
            </c:spPr>
            <c:extLst>
              <c:ext xmlns:c16="http://schemas.microsoft.com/office/drawing/2014/chart" uri="{C3380CC4-5D6E-409C-BE32-E72D297353CC}">
                <c16:uniqueId val="{00000013-C2EE-4876-A7DE-6500CF3D8B0C}"/>
              </c:ext>
            </c:extLst>
          </c:dPt>
          <c:dPt>
            <c:idx val="10"/>
            <c:invertIfNegative val="0"/>
            <c:bubble3D val="0"/>
            <c:spPr>
              <a:solidFill>
                <a:srgbClr val="7C878E"/>
              </a:solidFill>
              <a:ln>
                <a:noFill/>
              </a:ln>
              <a:effectLst/>
            </c:spPr>
            <c:extLst>
              <c:ext xmlns:c16="http://schemas.microsoft.com/office/drawing/2014/chart" uri="{C3380CC4-5D6E-409C-BE32-E72D297353CC}">
                <c16:uniqueId val="{00000015-C2EE-4876-A7DE-6500CF3D8B0C}"/>
              </c:ext>
            </c:extLst>
          </c:dPt>
          <c:dPt>
            <c:idx val="11"/>
            <c:invertIfNegative val="0"/>
            <c:bubble3D val="0"/>
            <c:spPr>
              <a:solidFill>
                <a:srgbClr val="7C878E"/>
              </a:solidFill>
              <a:ln>
                <a:noFill/>
              </a:ln>
              <a:effectLst/>
            </c:spPr>
            <c:extLst>
              <c:ext xmlns:c16="http://schemas.microsoft.com/office/drawing/2014/chart" uri="{C3380CC4-5D6E-409C-BE32-E72D297353CC}">
                <c16:uniqueId val="{00000017-C2EE-4876-A7DE-6500CF3D8B0C}"/>
              </c:ext>
            </c:extLst>
          </c:dPt>
          <c:dPt>
            <c:idx val="12"/>
            <c:invertIfNegative val="0"/>
            <c:bubble3D val="0"/>
            <c:spPr>
              <a:solidFill>
                <a:srgbClr val="7C878E"/>
              </a:solidFill>
              <a:ln>
                <a:noFill/>
              </a:ln>
              <a:effectLst/>
            </c:spPr>
            <c:extLst>
              <c:ext xmlns:c16="http://schemas.microsoft.com/office/drawing/2014/chart" uri="{C3380CC4-5D6E-409C-BE32-E72D297353CC}">
                <c16:uniqueId val="{00000019-C2EE-4876-A7DE-6500CF3D8B0C}"/>
              </c:ext>
            </c:extLst>
          </c:dPt>
          <c:dPt>
            <c:idx val="13"/>
            <c:invertIfNegative val="0"/>
            <c:bubble3D val="0"/>
            <c:spPr>
              <a:solidFill>
                <a:srgbClr val="7C878E"/>
              </a:solidFill>
              <a:ln>
                <a:noFill/>
              </a:ln>
              <a:effectLst/>
            </c:spPr>
            <c:extLst>
              <c:ext xmlns:c16="http://schemas.microsoft.com/office/drawing/2014/chart" uri="{C3380CC4-5D6E-409C-BE32-E72D297353CC}">
                <c16:uniqueId val="{0000001B-C2EE-4876-A7DE-6500CF3D8B0C}"/>
              </c:ext>
            </c:extLst>
          </c:dPt>
          <c:dPt>
            <c:idx val="14"/>
            <c:invertIfNegative val="0"/>
            <c:bubble3D val="0"/>
            <c:spPr>
              <a:solidFill>
                <a:srgbClr val="7C878E"/>
              </a:solidFill>
              <a:ln>
                <a:noFill/>
              </a:ln>
              <a:effectLst/>
            </c:spPr>
            <c:extLst>
              <c:ext xmlns:c16="http://schemas.microsoft.com/office/drawing/2014/chart" uri="{C3380CC4-5D6E-409C-BE32-E72D297353CC}">
                <c16:uniqueId val="{0000001D-C2EE-4876-A7DE-6500CF3D8B0C}"/>
              </c:ext>
            </c:extLst>
          </c:dPt>
          <c:dPt>
            <c:idx val="15"/>
            <c:invertIfNegative val="0"/>
            <c:bubble3D val="0"/>
            <c:spPr>
              <a:solidFill>
                <a:srgbClr val="95682B"/>
              </a:solidFill>
              <a:ln>
                <a:noFill/>
              </a:ln>
              <a:effectLst/>
            </c:spPr>
            <c:extLst>
              <c:ext xmlns:c16="http://schemas.microsoft.com/office/drawing/2014/chart" uri="{C3380CC4-5D6E-409C-BE32-E72D297353CC}">
                <c16:uniqueId val="{0000001F-C2EE-4876-A7DE-6500CF3D8B0C}"/>
              </c:ext>
            </c:extLst>
          </c:dPt>
          <c:dPt>
            <c:idx val="16"/>
            <c:invertIfNegative val="0"/>
            <c:bubble3D val="0"/>
            <c:spPr>
              <a:solidFill>
                <a:srgbClr val="7C878E"/>
              </a:solidFill>
              <a:ln>
                <a:noFill/>
              </a:ln>
              <a:effectLst/>
            </c:spPr>
            <c:extLst>
              <c:ext xmlns:c16="http://schemas.microsoft.com/office/drawing/2014/chart" uri="{C3380CC4-5D6E-409C-BE32-E72D297353CC}">
                <c16:uniqueId val="{00000021-C2EE-4876-A7DE-6500CF3D8B0C}"/>
              </c:ext>
            </c:extLst>
          </c:dPt>
          <c:dPt>
            <c:idx val="17"/>
            <c:invertIfNegative val="0"/>
            <c:bubble3D val="0"/>
            <c:spPr>
              <a:solidFill>
                <a:srgbClr val="7C878E"/>
              </a:solidFill>
              <a:ln>
                <a:noFill/>
              </a:ln>
              <a:effectLst/>
            </c:spPr>
            <c:extLst>
              <c:ext xmlns:c16="http://schemas.microsoft.com/office/drawing/2014/chart" uri="{C3380CC4-5D6E-409C-BE32-E72D297353CC}">
                <c16:uniqueId val="{00000023-C2EE-4876-A7DE-6500CF3D8B0C}"/>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RANKVPP!$A$6:$A$38</c:f>
              <c:strCache>
                <c:ptCount val="33"/>
                <c:pt idx="0">
                  <c:v>Michoacán</c:v>
                </c:pt>
                <c:pt idx="1">
                  <c:v>Tabasco</c:v>
                </c:pt>
                <c:pt idx="2">
                  <c:v>Aguascalientes</c:v>
                </c:pt>
                <c:pt idx="3">
                  <c:v>Zacatecas</c:v>
                </c:pt>
                <c:pt idx="4">
                  <c:v>Sinaloa</c:v>
                </c:pt>
                <c:pt idx="5">
                  <c:v>Campeche</c:v>
                </c:pt>
                <c:pt idx="6">
                  <c:v>Jalisco</c:v>
                </c:pt>
                <c:pt idx="7">
                  <c:v>Guanajuato</c:v>
                </c:pt>
                <c:pt idx="8">
                  <c:v>Sonora</c:v>
                </c:pt>
                <c:pt idx="9">
                  <c:v>Tamaulipas</c:v>
                </c:pt>
                <c:pt idx="10">
                  <c:v>Tlaxcala</c:v>
                </c:pt>
                <c:pt idx="11">
                  <c:v>Chihuahua</c:v>
                </c:pt>
                <c:pt idx="12">
                  <c:v>Estado de México</c:v>
                </c:pt>
                <c:pt idx="13">
                  <c:v>Hidalgo</c:v>
                </c:pt>
                <c:pt idx="14">
                  <c:v>Ciudad de México</c:v>
                </c:pt>
                <c:pt idx="15">
                  <c:v>Nacional</c:v>
                </c:pt>
                <c:pt idx="16">
                  <c:v>Nayarit</c:v>
                </c:pt>
                <c:pt idx="17">
                  <c:v>Baja California Sur</c:v>
                </c:pt>
                <c:pt idx="18">
                  <c:v>Coahuila</c:v>
                </c:pt>
                <c:pt idx="19">
                  <c:v>Chiapas</c:v>
                </c:pt>
                <c:pt idx="20">
                  <c:v>Morelos</c:v>
                </c:pt>
                <c:pt idx="21">
                  <c:v>Querétaro</c:v>
                </c:pt>
                <c:pt idx="22">
                  <c:v>Yucatán</c:v>
                </c:pt>
                <c:pt idx="23">
                  <c:v>Baja California</c:v>
                </c:pt>
                <c:pt idx="24">
                  <c:v>Quintana Roo</c:v>
                </c:pt>
                <c:pt idx="25">
                  <c:v>Veracruz</c:v>
                </c:pt>
                <c:pt idx="26">
                  <c:v>San Luis Potosí</c:v>
                </c:pt>
                <c:pt idx="27">
                  <c:v>Nuevo León</c:v>
                </c:pt>
                <c:pt idx="28">
                  <c:v>Colima</c:v>
                </c:pt>
                <c:pt idx="29">
                  <c:v>Oaxaca</c:v>
                </c:pt>
                <c:pt idx="30">
                  <c:v>Puebla</c:v>
                </c:pt>
                <c:pt idx="31">
                  <c:v>Durango</c:v>
                </c:pt>
                <c:pt idx="32">
                  <c:v>Guerrero</c:v>
                </c:pt>
              </c:strCache>
            </c:strRef>
          </c:cat>
          <c:val>
            <c:numRef>
              <c:f>RANKVPP!$B$6:$B$38</c:f>
              <c:numCache>
                <c:formatCode>0.0</c:formatCode>
                <c:ptCount val="33"/>
                <c:pt idx="0">
                  <c:v>-36.509835461675003</c:v>
                </c:pt>
                <c:pt idx="1">
                  <c:v>-32.7506521911601</c:v>
                </c:pt>
                <c:pt idx="2">
                  <c:v>-28.509683559062498</c:v>
                </c:pt>
                <c:pt idx="3">
                  <c:v>-27.9657460168849</c:v>
                </c:pt>
                <c:pt idx="4">
                  <c:v>-25.680940231807298</c:v>
                </c:pt>
                <c:pt idx="5">
                  <c:v>-24.6953705810954</c:v>
                </c:pt>
                <c:pt idx="6">
                  <c:v>-15.7927720534298</c:v>
                </c:pt>
                <c:pt idx="7">
                  <c:v>-15.1265108982063</c:v>
                </c:pt>
                <c:pt idx="8">
                  <c:v>-11.7829321178107</c:v>
                </c:pt>
                <c:pt idx="9">
                  <c:v>-8.1118093342133406</c:v>
                </c:pt>
                <c:pt idx="10">
                  <c:v>-4.9531016227414</c:v>
                </c:pt>
                <c:pt idx="11">
                  <c:v>-3.8353053225392801</c:v>
                </c:pt>
                <c:pt idx="12">
                  <c:v>-2.1851647014958302</c:v>
                </c:pt>
                <c:pt idx="13">
                  <c:v>-1.8582735179624501</c:v>
                </c:pt>
                <c:pt idx="14">
                  <c:v>0.857081382471092</c:v>
                </c:pt>
                <c:pt idx="15">
                  <c:v>5.7795102206730702</c:v>
                </c:pt>
                <c:pt idx="16">
                  <c:v>6.4934753980605802</c:v>
                </c:pt>
                <c:pt idx="17">
                  <c:v>11.7920214707024</c:v>
                </c:pt>
                <c:pt idx="18">
                  <c:v>13.7592813941886</c:v>
                </c:pt>
                <c:pt idx="19">
                  <c:v>15.949726447197699</c:v>
                </c:pt>
                <c:pt idx="20">
                  <c:v>17.534742012705099</c:v>
                </c:pt>
                <c:pt idx="21">
                  <c:v>17.704606948426399</c:v>
                </c:pt>
                <c:pt idx="22">
                  <c:v>20.579709940554</c:v>
                </c:pt>
                <c:pt idx="23">
                  <c:v>27.788008752466801</c:v>
                </c:pt>
                <c:pt idx="24">
                  <c:v>32.027116405707801</c:v>
                </c:pt>
                <c:pt idx="25">
                  <c:v>33.717919206022799</c:v>
                </c:pt>
                <c:pt idx="26">
                  <c:v>33.951463947218102</c:v>
                </c:pt>
                <c:pt idx="27">
                  <c:v>35.490845409324699</c:v>
                </c:pt>
                <c:pt idx="28">
                  <c:v>45.122591344434902</c:v>
                </c:pt>
                <c:pt idx="29">
                  <c:v>69.437937809116605</c:v>
                </c:pt>
                <c:pt idx="30">
                  <c:v>86.380072746121698</c:v>
                </c:pt>
                <c:pt idx="31">
                  <c:v>102.430457729945</c:v>
                </c:pt>
                <c:pt idx="32">
                  <c:v>143.279928593325</c:v>
                </c:pt>
              </c:numCache>
            </c:numRef>
          </c:val>
          <c:extLst>
            <c:ext xmlns:c16="http://schemas.microsoft.com/office/drawing/2014/chart" uri="{C3380CC4-5D6E-409C-BE32-E72D297353CC}">
              <c16:uniqueId val="{00000024-C2EE-4876-A7DE-6500CF3D8B0C}"/>
            </c:ext>
          </c:extLst>
        </c:ser>
        <c:dLbls>
          <c:showLegendKey val="0"/>
          <c:showVal val="0"/>
          <c:showCatName val="0"/>
          <c:showSerName val="0"/>
          <c:showPercent val="0"/>
          <c:showBubbleSize val="0"/>
        </c:dLbls>
        <c:gapWidth val="75"/>
        <c:axId val="365567288"/>
        <c:axId val="365572864"/>
      </c:barChart>
      <c:catAx>
        <c:axId val="36556728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365572864"/>
        <c:crosses val="autoZero"/>
        <c:auto val="1"/>
        <c:lblAlgn val="ctr"/>
        <c:lblOffset val="100"/>
        <c:noMultiLvlLbl val="0"/>
      </c:catAx>
      <c:valAx>
        <c:axId val="365572864"/>
        <c:scaling>
          <c:orientation val="minMax"/>
        </c:scaling>
        <c:delete val="1"/>
        <c:axPos val="b"/>
        <c:numFmt formatCode="0.0" sourceLinked="1"/>
        <c:majorTickMark val="none"/>
        <c:minorTickMark val="none"/>
        <c:tickLblPos val="nextTo"/>
        <c:crossAx val="365567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7C878E"/>
            </a:solidFill>
            <a:ln>
              <a:noFill/>
            </a:ln>
            <a:effectLst/>
          </c:spPr>
          <c:invertIfNegative val="0"/>
          <c:dPt>
            <c:idx val="0"/>
            <c:invertIfNegative val="0"/>
            <c:bubble3D val="0"/>
            <c:spPr>
              <a:solidFill>
                <a:srgbClr val="7C878E"/>
              </a:solidFill>
              <a:ln>
                <a:noFill/>
              </a:ln>
              <a:effectLst/>
            </c:spPr>
            <c:extLst>
              <c:ext xmlns:c16="http://schemas.microsoft.com/office/drawing/2014/chart" uri="{C3380CC4-5D6E-409C-BE32-E72D297353CC}">
                <c16:uniqueId val="{00000001-C583-4BBE-92FB-D7E5A9C42CA9}"/>
              </c:ext>
            </c:extLst>
          </c:dPt>
          <c:dPt>
            <c:idx val="1"/>
            <c:invertIfNegative val="0"/>
            <c:bubble3D val="0"/>
            <c:spPr>
              <a:solidFill>
                <a:srgbClr val="7C878E"/>
              </a:solidFill>
              <a:ln>
                <a:noFill/>
              </a:ln>
              <a:effectLst/>
            </c:spPr>
            <c:extLst>
              <c:ext xmlns:c16="http://schemas.microsoft.com/office/drawing/2014/chart" uri="{C3380CC4-5D6E-409C-BE32-E72D297353CC}">
                <c16:uniqueId val="{00000003-C583-4BBE-92FB-D7E5A9C42CA9}"/>
              </c:ext>
            </c:extLst>
          </c:dPt>
          <c:dPt>
            <c:idx val="2"/>
            <c:invertIfNegative val="0"/>
            <c:bubble3D val="0"/>
            <c:spPr>
              <a:solidFill>
                <a:srgbClr val="7C878E"/>
              </a:solidFill>
              <a:ln>
                <a:noFill/>
              </a:ln>
              <a:effectLst/>
            </c:spPr>
            <c:extLst>
              <c:ext xmlns:c16="http://schemas.microsoft.com/office/drawing/2014/chart" uri="{C3380CC4-5D6E-409C-BE32-E72D297353CC}">
                <c16:uniqueId val="{00000005-C583-4BBE-92FB-D7E5A9C42CA9}"/>
              </c:ext>
            </c:extLst>
          </c:dPt>
          <c:dPt>
            <c:idx val="3"/>
            <c:invertIfNegative val="0"/>
            <c:bubble3D val="0"/>
            <c:spPr>
              <a:solidFill>
                <a:srgbClr val="7C878E"/>
              </a:solidFill>
              <a:ln>
                <a:noFill/>
              </a:ln>
              <a:effectLst/>
            </c:spPr>
            <c:extLst>
              <c:ext xmlns:c16="http://schemas.microsoft.com/office/drawing/2014/chart" uri="{C3380CC4-5D6E-409C-BE32-E72D297353CC}">
                <c16:uniqueId val="{00000007-C583-4BBE-92FB-D7E5A9C42CA9}"/>
              </c:ext>
            </c:extLst>
          </c:dPt>
          <c:dPt>
            <c:idx val="4"/>
            <c:invertIfNegative val="0"/>
            <c:bubble3D val="0"/>
            <c:spPr>
              <a:solidFill>
                <a:srgbClr val="7C878E"/>
              </a:solidFill>
              <a:ln>
                <a:noFill/>
              </a:ln>
              <a:effectLst/>
            </c:spPr>
            <c:extLst>
              <c:ext xmlns:c16="http://schemas.microsoft.com/office/drawing/2014/chart" uri="{C3380CC4-5D6E-409C-BE32-E72D297353CC}">
                <c16:uniqueId val="{00000009-C583-4BBE-92FB-D7E5A9C42CA9}"/>
              </c:ext>
            </c:extLst>
          </c:dPt>
          <c:dPt>
            <c:idx val="5"/>
            <c:invertIfNegative val="0"/>
            <c:bubble3D val="0"/>
            <c:spPr>
              <a:solidFill>
                <a:srgbClr val="7C878E"/>
              </a:solidFill>
              <a:ln>
                <a:noFill/>
              </a:ln>
              <a:effectLst/>
            </c:spPr>
            <c:extLst>
              <c:ext xmlns:c16="http://schemas.microsoft.com/office/drawing/2014/chart" uri="{C3380CC4-5D6E-409C-BE32-E72D297353CC}">
                <c16:uniqueId val="{0000000B-C583-4BBE-92FB-D7E5A9C42CA9}"/>
              </c:ext>
            </c:extLst>
          </c:dPt>
          <c:dPt>
            <c:idx val="6"/>
            <c:invertIfNegative val="0"/>
            <c:bubble3D val="0"/>
            <c:spPr>
              <a:solidFill>
                <a:srgbClr val="7C878E"/>
              </a:solidFill>
              <a:ln>
                <a:noFill/>
              </a:ln>
              <a:effectLst/>
            </c:spPr>
            <c:extLst>
              <c:ext xmlns:c16="http://schemas.microsoft.com/office/drawing/2014/chart" uri="{C3380CC4-5D6E-409C-BE32-E72D297353CC}">
                <c16:uniqueId val="{0000000D-C583-4BBE-92FB-D7E5A9C42CA9}"/>
              </c:ext>
            </c:extLst>
          </c:dPt>
          <c:dPt>
            <c:idx val="7"/>
            <c:invertIfNegative val="0"/>
            <c:bubble3D val="0"/>
            <c:spPr>
              <a:solidFill>
                <a:srgbClr val="7C878E"/>
              </a:solidFill>
              <a:ln>
                <a:noFill/>
              </a:ln>
              <a:effectLst/>
            </c:spPr>
            <c:extLst>
              <c:ext xmlns:c16="http://schemas.microsoft.com/office/drawing/2014/chart" uri="{C3380CC4-5D6E-409C-BE32-E72D297353CC}">
                <c16:uniqueId val="{0000000F-C583-4BBE-92FB-D7E5A9C42CA9}"/>
              </c:ext>
            </c:extLst>
          </c:dPt>
          <c:dPt>
            <c:idx val="8"/>
            <c:invertIfNegative val="0"/>
            <c:bubble3D val="0"/>
            <c:spPr>
              <a:solidFill>
                <a:srgbClr val="7C878E"/>
              </a:solidFill>
              <a:ln>
                <a:noFill/>
              </a:ln>
              <a:effectLst/>
            </c:spPr>
            <c:extLst>
              <c:ext xmlns:c16="http://schemas.microsoft.com/office/drawing/2014/chart" uri="{C3380CC4-5D6E-409C-BE32-E72D297353CC}">
                <c16:uniqueId val="{00000011-C583-4BBE-92FB-D7E5A9C42CA9}"/>
              </c:ext>
            </c:extLst>
          </c:dPt>
          <c:dPt>
            <c:idx val="9"/>
            <c:invertIfNegative val="0"/>
            <c:bubble3D val="0"/>
            <c:spPr>
              <a:solidFill>
                <a:srgbClr val="7C878E"/>
              </a:solidFill>
              <a:ln>
                <a:noFill/>
              </a:ln>
              <a:effectLst/>
            </c:spPr>
            <c:extLst>
              <c:ext xmlns:c16="http://schemas.microsoft.com/office/drawing/2014/chart" uri="{C3380CC4-5D6E-409C-BE32-E72D297353CC}">
                <c16:uniqueId val="{00000013-C583-4BBE-92FB-D7E5A9C42CA9}"/>
              </c:ext>
            </c:extLst>
          </c:dPt>
          <c:dPt>
            <c:idx val="10"/>
            <c:invertIfNegative val="0"/>
            <c:bubble3D val="0"/>
            <c:spPr>
              <a:solidFill>
                <a:srgbClr val="7C878E"/>
              </a:solidFill>
              <a:ln>
                <a:noFill/>
              </a:ln>
              <a:effectLst/>
            </c:spPr>
            <c:extLst>
              <c:ext xmlns:c16="http://schemas.microsoft.com/office/drawing/2014/chart" uri="{C3380CC4-5D6E-409C-BE32-E72D297353CC}">
                <c16:uniqueId val="{00000015-C583-4BBE-92FB-D7E5A9C42CA9}"/>
              </c:ext>
            </c:extLst>
          </c:dPt>
          <c:dPt>
            <c:idx val="11"/>
            <c:invertIfNegative val="0"/>
            <c:bubble3D val="0"/>
            <c:spPr>
              <a:solidFill>
                <a:srgbClr val="7C878E"/>
              </a:solidFill>
              <a:ln>
                <a:noFill/>
              </a:ln>
              <a:effectLst/>
            </c:spPr>
            <c:extLst>
              <c:ext xmlns:c16="http://schemas.microsoft.com/office/drawing/2014/chart" uri="{C3380CC4-5D6E-409C-BE32-E72D297353CC}">
                <c16:uniqueId val="{00000017-C583-4BBE-92FB-D7E5A9C42CA9}"/>
              </c:ext>
            </c:extLst>
          </c:dPt>
          <c:dPt>
            <c:idx val="12"/>
            <c:invertIfNegative val="0"/>
            <c:bubble3D val="0"/>
            <c:spPr>
              <a:solidFill>
                <a:srgbClr val="7C878E"/>
              </a:solidFill>
              <a:ln>
                <a:noFill/>
              </a:ln>
              <a:effectLst/>
            </c:spPr>
            <c:extLst>
              <c:ext xmlns:c16="http://schemas.microsoft.com/office/drawing/2014/chart" uri="{C3380CC4-5D6E-409C-BE32-E72D297353CC}">
                <c16:uniqueId val="{00000019-C583-4BBE-92FB-D7E5A9C42CA9}"/>
              </c:ext>
            </c:extLst>
          </c:dPt>
          <c:dPt>
            <c:idx val="13"/>
            <c:invertIfNegative val="0"/>
            <c:bubble3D val="0"/>
            <c:spPr>
              <a:solidFill>
                <a:srgbClr val="7C878E"/>
              </a:solidFill>
              <a:ln>
                <a:noFill/>
              </a:ln>
              <a:effectLst/>
            </c:spPr>
            <c:extLst>
              <c:ext xmlns:c16="http://schemas.microsoft.com/office/drawing/2014/chart" uri="{C3380CC4-5D6E-409C-BE32-E72D297353CC}">
                <c16:uniqueId val="{0000001B-C583-4BBE-92FB-D7E5A9C42CA9}"/>
              </c:ext>
            </c:extLst>
          </c:dPt>
          <c:dPt>
            <c:idx val="14"/>
            <c:invertIfNegative val="0"/>
            <c:bubble3D val="0"/>
            <c:spPr>
              <a:solidFill>
                <a:srgbClr val="7C878E"/>
              </a:solidFill>
              <a:ln>
                <a:noFill/>
              </a:ln>
              <a:effectLst/>
            </c:spPr>
            <c:extLst>
              <c:ext xmlns:c16="http://schemas.microsoft.com/office/drawing/2014/chart" uri="{C3380CC4-5D6E-409C-BE32-E72D297353CC}">
                <c16:uniqueId val="{0000001D-C583-4BBE-92FB-D7E5A9C42CA9}"/>
              </c:ext>
            </c:extLst>
          </c:dPt>
          <c:dPt>
            <c:idx val="15"/>
            <c:invertIfNegative val="0"/>
            <c:bubble3D val="0"/>
            <c:spPr>
              <a:solidFill>
                <a:srgbClr val="95682B"/>
              </a:solidFill>
              <a:ln>
                <a:noFill/>
              </a:ln>
              <a:effectLst/>
            </c:spPr>
            <c:extLst>
              <c:ext xmlns:c16="http://schemas.microsoft.com/office/drawing/2014/chart" uri="{C3380CC4-5D6E-409C-BE32-E72D297353CC}">
                <c16:uniqueId val="{0000001F-C583-4BBE-92FB-D7E5A9C42CA9}"/>
              </c:ext>
            </c:extLst>
          </c:dPt>
          <c:dPt>
            <c:idx val="16"/>
            <c:invertIfNegative val="0"/>
            <c:bubble3D val="0"/>
            <c:spPr>
              <a:solidFill>
                <a:srgbClr val="FBBB27"/>
              </a:solidFill>
              <a:ln>
                <a:noFill/>
              </a:ln>
              <a:effectLst/>
            </c:spPr>
            <c:extLst>
              <c:ext xmlns:c16="http://schemas.microsoft.com/office/drawing/2014/chart" uri="{C3380CC4-5D6E-409C-BE32-E72D297353CC}">
                <c16:uniqueId val="{00000021-C583-4BBE-92FB-D7E5A9C42CA9}"/>
              </c:ext>
            </c:extLst>
          </c:dPt>
          <c:dPt>
            <c:idx val="17"/>
            <c:invertIfNegative val="0"/>
            <c:bubble3D val="0"/>
            <c:spPr>
              <a:solidFill>
                <a:srgbClr val="7C878E"/>
              </a:solidFill>
              <a:ln>
                <a:noFill/>
              </a:ln>
              <a:effectLst/>
            </c:spPr>
            <c:extLst>
              <c:ext xmlns:c16="http://schemas.microsoft.com/office/drawing/2014/chart" uri="{C3380CC4-5D6E-409C-BE32-E72D297353CC}">
                <c16:uniqueId val="{00000023-C583-4BBE-92FB-D7E5A9C42CA9}"/>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RANKVMEN!$A$6:$A$38</c:f>
              <c:strCache>
                <c:ptCount val="33"/>
                <c:pt idx="0">
                  <c:v>Michoacán</c:v>
                </c:pt>
                <c:pt idx="1">
                  <c:v>Campeche</c:v>
                </c:pt>
                <c:pt idx="2">
                  <c:v>Chihuahua</c:v>
                </c:pt>
                <c:pt idx="3">
                  <c:v>Quintana Roo</c:v>
                </c:pt>
                <c:pt idx="4">
                  <c:v>Estado de México</c:v>
                </c:pt>
                <c:pt idx="5">
                  <c:v>Guanajuato</c:v>
                </c:pt>
                <c:pt idx="6">
                  <c:v>San Luis Potosí</c:v>
                </c:pt>
                <c:pt idx="7">
                  <c:v>Tamaulipas</c:v>
                </c:pt>
                <c:pt idx="8">
                  <c:v>Puebla</c:v>
                </c:pt>
                <c:pt idx="9">
                  <c:v>Ciudad de México</c:v>
                </c:pt>
                <c:pt idx="10">
                  <c:v>Zacatecas</c:v>
                </c:pt>
                <c:pt idx="11">
                  <c:v>Yucatán</c:v>
                </c:pt>
                <c:pt idx="12">
                  <c:v>Sinaloa</c:v>
                </c:pt>
                <c:pt idx="13">
                  <c:v>Durango</c:v>
                </c:pt>
                <c:pt idx="14">
                  <c:v>Querétaro</c:v>
                </c:pt>
                <c:pt idx="15">
                  <c:v>Nacional</c:v>
                </c:pt>
                <c:pt idx="16">
                  <c:v>Jalisco</c:v>
                </c:pt>
                <c:pt idx="17">
                  <c:v>Chiapas</c:v>
                </c:pt>
                <c:pt idx="18">
                  <c:v>Nuevo León</c:v>
                </c:pt>
                <c:pt idx="19">
                  <c:v>Baja California</c:v>
                </c:pt>
                <c:pt idx="20">
                  <c:v>Veracruz</c:v>
                </c:pt>
                <c:pt idx="21">
                  <c:v>Hidalgo</c:v>
                </c:pt>
                <c:pt idx="22">
                  <c:v>Aguascalientes</c:v>
                </c:pt>
                <c:pt idx="23">
                  <c:v>Baja California Sur</c:v>
                </c:pt>
                <c:pt idx="24">
                  <c:v>Colima</c:v>
                </c:pt>
                <c:pt idx="25">
                  <c:v>Guerrero</c:v>
                </c:pt>
                <c:pt idx="26">
                  <c:v>Coahuila</c:v>
                </c:pt>
                <c:pt idx="27">
                  <c:v>Oaxaca</c:v>
                </c:pt>
                <c:pt idx="28">
                  <c:v>Sonora</c:v>
                </c:pt>
                <c:pt idx="29">
                  <c:v>Morelos</c:v>
                </c:pt>
                <c:pt idx="30">
                  <c:v>Nayarit</c:v>
                </c:pt>
                <c:pt idx="31">
                  <c:v>Tabasco</c:v>
                </c:pt>
                <c:pt idx="32">
                  <c:v>Tlaxcala</c:v>
                </c:pt>
              </c:strCache>
            </c:strRef>
          </c:cat>
          <c:val>
            <c:numRef>
              <c:f>RANKVMEN!$B$6:$B$38</c:f>
              <c:numCache>
                <c:formatCode>0.0</c:formatCode>
                <c:ptCount val="33"/>
                <c:pt idx="0">
                  <c:v>-23.936118884492899</c:v>
                </c:pt>
                <c:pt idx="1">
                  <c:v>-13.3006576878392</c:v>
                </c:pt>
                <c:pt idx="2">
                  <c:v>-11.5574080293439</c:v>
                </c:pt>
                <c:pt idx="3">
                  <c:v>-9.7110229628472204</c:v>
                </c:pt>
                <c:pt idx="4">
                  <c:v>-8.2107156791021705</c:v>
                </c:pt>
                <c:pt idx="5">
                  <c:v>-7.2583498940079396</c:v>
                </c:pt>
                <c:pt idx="6">
                  <c:v>-5.2761894878846096</c:v>
                </c:pt>
                <c:pt idx="7">
                  <c:v>-3.7719707049762401</c:v>
                </c:pt>
                <c:pt idx="8">
                  <c:v>-3.4837244790086701</c:v>
                </c:pt>
                <c:pt idx="9">
                  <c:v>-3.3520780303352899</c:v>
                </c:pt>
                <c:pt idx="10">
                  <c:v>-3.2740869188251902</c:v>
                </c:pt>
                <c:pt idx="11">
                  <c:v>-2.8935439525340301</c:v>
                </c:pt>
                <c:pt idx="12">
                  <c:v>-1.79779133337603</c:v>
                </c:pt>
                <c:pt idx="13">
                  <c:v>-1.1284916329243</c:v>
                </c:pt>
                <c:pt idx="14">
                  <c:v>-0.323379771449883</c:v>
                </c:pt>
                <c:pt idx="15">
                  <c:v>-0.13027475029845401</c:v>
                </c:pt>
                <c:pt idx="16">
                  <c:v>-8.9507956738021893E-2</c:v>
                </c:pt>
                <c:pt idx="17">
                  <c:v>0.95530149358788996</c:v>
                </c:pt>
                <c:pt idx="18">
                  <c:v>1.8618236030593101</c:v>
                </c:pt>
                <c:pt idx="19">
                  <c:v>2.1152578426158999</c:v>
                </c:pt>
                <c:pt idx="20">
                  <c:v>2.67619020022603</c:v>
                </c:pt>
                <c:pt idx="21">
                  <c:v>5.4299815937604903</c:v>
                </c:pt>
                <c:pt idx="22">
                  <c:v>7.8101595942853299</c:v>
                </c:pt>
                <c:pt idx="23">
                  <c:v>9.4749415913630592</c:v>
                </c:pt>
                <c:pt idx="24">
                  <c:v>10.2434373058642</c:v>
                </c:pt>
                <c:pt idx="25">
                  <c:v>10.628392672647101</c:v>
                </c:pt>
                <c:pt idx="26">
                  <c:v>10.7410785799553</c:v>
                </c:pt>
                <c:pt idx="27">
                  <c:v>14.226998578785601</c:v>
                </c:pt>
                <c:pt idx="28">
                  <c:v>17.278837068443401</c:v>
                </c:pt>
                <c:pt idx="29">
                  <c:v>21.626693690650399</c:v>
                </c:pt>
                <c:pt idx="30">
                  <c:v>23.5423865985044</c:v>
                </c:pt>
                <c:pt idx="31">
                  <c:v>44.309774920000599</c:v>
                </c:pt>
                <c:pt idx="32">
                  <c:v>116.875656512605</c:v>
                </c:pt>
              </c:numCache>
            </c:numRef>
          </c:val>
          <c:extLst>
            <c:ext xmlns:c16="http://schemas.microsoft.com/office/drawing/2014/chart" uri="{C3380CC4-5D6E-409C-BE32-E72D297353CC}">
              <c16:uniqueId val="{00000024-C583-4BBE-92FB-D7E5A9C42CA9}"/>
            </c:ext>
          </c:extLst>
        </c:ser>
        <c:dLbls>
          <c:showLegendKey val="0"/>
          <c:showVal val="0"/>
          <c:showCatName val="0"/>
          <c:showSerName val="0"/>
          <c:showPercent val="0"/>
          <c:showBubbleSize val="0"/>
        </c:dLbls>
        <c:gapWidth val="75"/>
        <c:axId val="365567288"/>
        <c:axId val="365572864"/>
      </c:barChart>
      <c:catAx>
        <c:axId val="36556728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365572864"/>
        <c:crosses val="autoZero"/>
        <c:auto val="1"/>
        <c:lblAlgn val="ctr"/>
        <c:lblOffset val="100"/>
        <c:noMultiLvlLbl val="0"/>
      </c:catAx>
      <c:valAx>
        <c:axId val="365572864"/>
        <c:scaling>
          <c:orientation val="minMax"/>
        </c:scaling>
        <c:delete val="1"/>
        <c:axPos val="b"/>
        <c:numFmt formatCode="0.0" sourceLinked="1"/>
        <c:majorTickMark val="none"/>
        <c:minorTickMark val="none"/>
        <c:tickLblPos val="nextTo"/>
        <c:crossAx val="365567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2"/>
          <c:order val="2"/>
          <c:tx>
            <c:strRef>
              <c:f>SECTOR!$E$5</c:f>
              <c:strCache>
                <c:ptCount val="1"/>
                <c:pt idx="0">
                  <c:v>Porcentaje sector público</c:v>
                </c:pt>
              </c:strCache>
            </c:strRef>
          </c:tx>
          <c:spPr>
            <a:solidFill>
              <a:schemeClr val="bg1">
                <a:lumMod val="85000"/>
              </a:schemeClr>
            </a:solidFill>
            <a:ln>
              <a:solidFill>
                <a:schemeClr val="bg1">
                  <a:lumMod val="85000"/>
                </a:schemeClr>
              </a:solidFill>
            </a:ln>
            <a:effectLst/>
          </c:spPr>
          <c:invertIfNegative val="0"/>
          <c:cat>
            <c:multiLvlStrRef>
              <c:f>SECTOR!$A$6:$B$82</c:f>
              <c:multiLvlStrCache>
                <c:ptCount val="7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lvl>
                <c:lvl>
                  <c:pt idx="0">
                    <c:v>2018</c:v>
                  </c:pt>
                  <c:pt idx="12">
                    <c:v>2019</c:v>
                  </c:pt>
                  <c:pt idx="24">
                    <c:v>2020</c:v>
                  </c:pt>
                  <c:pt idx="36">
                    <c:v>2021</c:v>
                  </c:pt>
                  <c:pt idx="48">
                    <c:v>2022</c:v>
                  </c:pt>
                  <c:pt idx="60">
                    <c:v>2023</c:v>
                  </c:pt>
                  <c:pt idx="72">
                    <c:v>2024</c:v>
                  </c:pt>
                </c:lvl>
              </c:multiLvlStrCache>
            </c:multiLvlStrRef>
          </c:cat>
          <c:val>
            <c:numRef>
              <c:f>SECTOR!$E$6:$E$82</c:f>
              <c:numCache>
                <c:formatCode>0.0%</c:formatCode>
                <c:ptCount val="77"/>
                <c:pt idx="0">
                  <c:v>0.208068093125964</c:v>
                </c:pt>
                <c:pt idx="1">
                  <c:v>0.25605168104494702</c:v>
                </c:pt>
                <c:pt idx="2">
                  <c:v>0.25071589901180102</c:v>
                </c:pt>
                <c:pt idx="3">
                  <c:v>0.226632418032987</c:v>
                </c:pt>
                <c:pt idx="4">
                  <c:v>0.18900493478778399</c:v>
                </c:pt>
                <c:pt idx="5">
                  <c:v>0.25636869259607697</c:v>
                </c:pt>
                <c:pt idx="6">
                  <c:v>0.21607577478651199</c:v>
                </c:pt>
                <c:pt idx="7">
                  <c:v>0.18655528208826899</c:v>
                </c:pt>
                <c:pt idx="8">
                  <c:v>0.17537443924432899</c:v>
                </c:pt>
                <c:pt idx="9">
                  <c:v>0.19053969594800799</c:v>
                </c:pt>
                <c:pt idx="10">
                  <c:v>0.24149094237538901</c:v>
                </c:pt>
                <c:pt idx="11">
                  <c:v>0.12826074520422601</c:v>
                </c:pt>
                <c:pt idx="12">
                  <c:v>0.172427077271088</c:v>
                </c:pt>
                <c:pt idx="13">
                  <c:v>0.10636352021088399</c:v>
                </c:pt>
                <c:pt idx="14">
                  <c:v>0.14156882638138099</c:v>
                </c:pt>
                <c:pt idx="15">
                  <c:v>0.139430378871363</c:v>
                </c:pt>
                <c:pt idx="16">
                  <c:v>0.12974518692117101</c:v>
                </c:pt>
                <c:pt idx="17">
                  <c:v>0.141424313526539</c:v>
                </c:pt>
                <c:pt idx="18">
                  <c:v>0.17135258393179201</c:v>
                </c:pt>
                <c:pt idx="19">
                  <c:v>0.14308143515653199</c:v>
                </c:pt>
                <c:pt idx="20">
                  <c:v>0.162981961871455</c:v>
                </c:pt>
                <c:pt idx="21">
                  <c:v>0.19207851286865599</c:v>
                </c:pt>
                <c:pt idx="22">
                  <c:v>0.194999897980137</c:v>
                </c:pt>
                <c:pt idx="23">
                  <c:v>0.207698208415208</c:v>
                </c:pt>
                <c:pt idx="24">
                  <c:v>0.18750396052201601</c:v>
                </c:pt>
                <c:pt idx="25">
                  <c:v>0.164904033596596</c:v>
                </c:pt>
                <c:pt idx="26">
                  <c:v>0.165470901892286</c:v>
                </c:pt>
                <c:pt idx="27">
                  <c:v>0.158592719995471</c:v>
                </c:pt>
                <c:pt idx="28">
                  <c:v>0.14722386260480799</c:v>
                </c:pt>
                <c:pt idx="29">
                  <c:v>0.13937372445938701</c:v>
                </c:pt>
                <c:pt idx="30">
                  <c:v>0.13632230367738599</c:v>
                </c:pt>
                <c:pt idx="31">
                  <c:v>0.14548319355078901</c:v>
                </c:pt>
                <c:pt idx="32">
                  <c:v>0.16058427126421301</c:v>
                </c:pt>
                <c:pt idx="33">
                  <c:v>0.172797903970144</c:v>
                </c:pt>
                <c:pt idx="34">
                  <c:v>0.15611608479584399</c:v>
                </c:pt>
                <c:pt idx="35">
                  <c:v>0.15622871212572101</c:v>
                </c:pt>
                <c:pt idx="36">
                  <c:v>0.155140308726157</c:v>
                </c:pt>
                <c:pt idx="37">
                  <c:v>0.14631010922502199</c:v>
                </c:pt>
                <c:pt idx="38">
                  <c:v>0.161452493181961</c:v>
                </c:pt>
                <c:pt idx="39">
                  <c:v>0.145676311859566</c:v>
                </c:pt>
                <c:pt idx="40">
                  <c:v>0.14474914356437299</c:v>
                </c:pt>
                <c:pt idx="41">
                  <c:v>0.16397481021586799</c:v>
                </c:pt>
                <c:pt idx="42">
                  <c:v>0.150241924144453</c:v>
                </c:pt>
                <c:pt idx="43">
                  <c:v>0.143591147383092</c:v>
                </c:pt>
                <c:pt idx="44">
                  <c:v>0.157902991672629</c:v>
                </c:pt>
                <c:pt idx="45">
                  <c:v>0.18683238661823601</c:v>
                </c:pt>
                <c:pt idx="46">
                  <c:v>0.14730653891095</c:v>
                </c:pt>
                <c:pt idx="47">
                  <c:v>0.17017714195133499</c:v>
                </c:pt>
                <c:pt idx="48">
                  <c:v>0.24566809935624201</c:v>
                </c:pt>
                <c:pt idx="49">
                  <c:v>0.23409639669736201</c:v>
                </c:pt>
                <c:pt idx="50">
                  <c:v>0.20267725959152699</c:v>
                </c:pt>
                <c:pt idx="51">
                  <c:v>0.201496750241596</c:v>
                </c:pt>
                <c:pt idx="52">
                  <c:v>0.17389450310280199</c:v>
                </c:pt>
                <c:pt idx="53">
                  <c:v>0.20404874271026199</c:v>
                </c:pt>
                <c:pt idx="54">
                  <c:v>0.26029634749319402</c:v>
                </c:pt>
                <c:pt idx="55">
                  <c:v>0.278457101526842</c:v>
                </c:pt>
                <c:pt idx="56">
                  <c:v>0.29157757008582702</c:v>
                </c:pt>
                <c:pt idx="57">
                  <c:v>0.24576707850291901</c:v>
                </c:pt>
                <c:pt idx="58">
                  <c:v>0.35594596448767701</c:v>
                </c:pt>
                <c:pt idx="59">
                  <c:v>0.39440677052028</c:v>
                </c:pt>
                <c:pt idx="60">
                  <c:v>0.24161650990814501</c:v>
                </c:pt>
                <c:pt idx="61">
                  <c:v>0.33223701857515497</c:v>
                </c:pt>
                <c:pt idx="62">
                  <c:v>0.38732458261610098</c:v>
                </c:pt>
                <c:pt idx="63">
                  <c:v>0.42499731897373899</c:v>
                </c:pt>
                <c:pt idx="64">
                  <c:v>0.368937178303132</c:v>
                </c:pt>
                <c:pt idx="65">
                  <c:v>0.30680068233489799</c:v>
                </c:pt>
                <c:pt idx="66">
                  <c:v>0.19072824686499601</c:v>
                </c:pt>
                <c:pt idx="67">
                  <c:v>0.20865435146015701</c:v>
                </c:pt>
                <c:pt idx="68">
                  <c:v>0.21058705335119099</c:v>
                </c:pt>
                <c:pt idx="69">
                  <c:v>0.21500015058376301</c:v>
                </c:pt>
                <c:pt idx="70">
                  <c:v>0.33591138646881802</c:v>
                </c:pt>
                <c:pt idx="71">
                  <c:v>0.18793864337375699</c:v>
                </c:pt>
                <c:pt idx="72">
                  <c:v>0.166524890842908</c:v>
                </c:pt>
                <c:pt idx="73">
                  <c:v>0.209654274397129</c:v>
                </c:pt>
                <c:pt idx="74">
                  <c:v>0.19673545545830601</c:v>
                </c:pt>
                <c:pt idx="75">
                  <c:v>0.22259437437909599</c:v>
                </c:pt>
                <c:pt idx="76">
                  <c:v>0.25391634729868801</c:v>
                </c:pt>
              </c:numCache>
            </c:numRef>
          </c:val>
          <c:extLst>
            <c:ext xmlns:c16="http://schemas.microsoft.com/office/drawing/2014/chart" uri="{C3380CC4-5D6E-409C-BE32-E72D297353CC}">
              <c16:uniqueId val="{00000000-C9BB-4327-911C-897795640BC7}"/>
            </c:ext>
          </c:extLst>
        </c:ser>
        <c:dLbls>
          <c:showLegendKey val="0"/>
          <c:showVal val="0"/>
          <c:showCatName val="0"/>
          <c:showSerName val="0"/>
          <c:showPercent val="0"/>
          <c:showBubbleSize val="0"/>
        </c:dLbls>
        <c:gapWidth val="219"/>
        <c:axId val="971652808"/>
        <c:axId val="971660024"/>
      </c:barChart>
      <c:lineChart>
        <c:grouping val="standard"/>
        <c:varyColors val="0"/>
        <c:ser>
          <c:idx val="0"/>
          <c:order val="0"/>
          <c:tx>
            <c:strRef>
              <c:f>SECTOR!$C$5</c:f>
              <c:strCache>
                <c:ptCount val="1"/>
                <c:pt idx="0">
                  <c:v>Sector público</c:v>
                </c:pt>
              </c:strCache>
            </c:strRef>
          </c:tx>
          <c:spPr>
            <a:ln w="28575" cap="rnd">
              <a:solidFill>
                <a:srgbClr val="393D3F"/>
              </a:solidFill>
              <a:round/>
            </a:ln>
            <a:effectLst/>
          </c:spPr>
          <c:marker>
            <c:symbol val="none"/>
          </c:marker>
          <c:cat>
            <c:multiLvlStrRef>
              <c:f>SECTOR!$A$6:$B$82</c:f>
              <c:multiLvlStrCache>
                <c:ptCount val="7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lvl>
                <c:lvl>
                  <c:pt idx="0">
                    <c:v>2018</c:v>
                  </c:pt>
                  <c:pt idx="12">
                    <c:v>2019</c:v>
                  </c:pt>
                  <c:pt idx="24">
                    <c:v>2020</c:v>
                  </c:pt>
                  <c:pt idx="36">
                    <c:v>2021</c:v>
                  </c:pt>
                  <c:pt idx="48">
                    <c:v>2022</c:v>
                  </c:pt>
                  <c:pt idx="60">
                    <c:v>2023</c:v>
                  </c:pt>
                  <c:pt idx="72">
                    <c:v>2024</c:v>
                  </c:pt>
                </c:lvl>
              </c:multiLvlStrCache>
            </c:multiLvlStrRef>
          </c:cat>
          <c:val>
            <c:numRef>
              <c:f>SECTOR!$C$6:$C$82</c:f>
              <c:numCache>
                <c:formatCode>#,##0</c:formatCode>
                <c:ptCount val="77"/>
                <c:pt idx="0">
                  <c:v>437</c:v>
                </c:pt>
                <c:pt idx="1">
                  <c:v>539</c:v>
                </c:pt>
                <c:pt idx="2">
                  <c:v>636</c:v>
                </c:pt>
                <c:pt idx="3">
                  <c:v>512</c:v>
                </c:pt>
                <c:pt idx="4">
                  <c:v>509</c:v>
                </c:pt>
                <c:pt idx="5">
                  <c:v>613</c:v>
                </c:pt>
                <c:pt idx="6">
                  <c:v>583</c:v>
                </c:pt>
                <c:pt idx="7">
                  <c:v>573</c:v>
                </c:pt>
                <c:pt idx="8">
                  <c:v>425</c:v>
                </c:pt>
                <c:pt idx="9">
                  <c:v>624</c:v>
                </c:pt>
                <c:pt idx="10">
                  <c:v>616</c:v>
                </c:pt>
                <c:pt idx="11">
                  <c:v>457</c:v>
                </c:pt>
                <c:pt idx="12">
                  <c:v>461</c:v>
                </c:pt>
                <c:pt idx="13">
                  <c:v>269</c:v>
                </c:pt>
                <c:pt idx="14">
                  <c:v>423</c:v>
                </c:pt>
                <c:pt idx="15">
                  <c:v>302</c:v>
                </c:pt>
                <c:pt idx="16">
                  <c:v>316</c:v>
                </c:pt>
                <c:pt idx="17">
                  <c:v>335</c:v>
                </c:pt>
                <c:pt idx="18">
                  <c:v>377</c:v>
                </c:pt>
                <c:pt idx="19">
                  <c:v>304</c:v>
                </c:pt>
                <c:pt idx="20">
                  <c:v>321</c:v>
                </c:pt>
                <c:pt idx="21">
                  <c:v>414</c:v>
                </c:pt>
                <c:pt idx="22">
                  <c:v>449</c:v>
                </c:pt>
                <c:pt idx="23">
                  <c:v>477</c:v>
                </c:pt>
                <c:pt idx="24">
                  <c:v>376</c:v>
                </c:pt>
                <c:pt idx="25">
                  <c:v>370</c:v>
                </c:pt>
                <c:pt idx="26">
                  <c:v>363</c:v>
                </c:pt>
                <c:pt idx="27">
                  <c:v>272</c:v>
                </c:pt>
                <c:pt idx="28">
                  <c:v>241</c:v>
                </c:pt>
                <c:pt idx="29">
                  <c:v>251</c:v>
                </c:pt>
                <c:pt idx="30">
                  <c:v>263</c:v>
                </c:pt>
                <c:pt idx="31">
                  <c:v>279</c:v>
                </c:pt>
                <c:pt idx="32">
                  <c:v>320</c:v>
                </c:pt>
                <c:pt idx="33">
                  <c:v>362</c:v>
                </c:pt>
                <c:pt idx="34">
                  <c:v>336</c:v>
                </c:pt>
                <c:pt idx="35">
                  <c:v>318</c:v>
                </c:pt>
                <c:pt idx="36">
                  <c:v>324</c:v>
                </c:pt>
                <c:pt idx="37">
                  <c:v>297</c:v>
                </c:pt>
                <c:pt idx="38">
                  <c:v>343</c:v>
                </c:pt>
                <c:pt idx="39">
                  <c:v>291</c:v>
                </c:pt>
                <c:pt idx="40">
                  <c:v>298</c:v>
                </c:pt>
                <c:pt idx="41">
                  <c:v>323</c:v>
                </c:pt>
                <c:pt idx="42">
                  <c:v>312</c:v>
                </c:pt>
                <c:pt idx="43">
                  <c:v>298</c:v>
                </c:pt>
                <c:pt idx="44">
                  <c:v>375</c:v>
                </c:pt>
                <c:pt idx="45">
                  <c:v>479</c:v>
                </c:pt>
                <c:pt idx="46">
                  <c:v>388</c:v>
                </c:pt>
                <c:pt idx="47">
                  <c:v>481</c:v>
                </c:pt>
                <c:pt idx="48">
                  <c:v>955</c:v>
                </c:pt>
                <c:pt idx="49">
                  <c:v>807</c:v>
                </c:pt>
                <c:pt idx="50">
                  <c:v>750</c:v>
                </c:pt>
                <c:pt idx="51">
                  <c:v>790</c:v>
                </c:pt>
                <c:pt idx="52">
                  <c:v>742</c:v>
                </c:pt>
                <c:pt idx="53">
                  <c:v>856</c:v>
                </c:pt>
                <c:pt idx="54">
                  <c:v>1016</c:v>
                </c:pt>
                <c:pt idx="55">
                  <c:v>1008</c:v>
                </c:pt>
                <c:pt idx="56">
                  <c:v>1000</c:v>
                </c:pt>
                <c:pt idx="57">
                  <c:v>853</c:v>
                </c:pt>
                <c:pt idx="58">
                  <c:v>1380</c:v>
                </c:pt>
                <c:pt idx="59">
                  <c:v>1814</c:v>
                </c:pt>
                <c:pt idx="60">
                  <c:v>945</c:v>
                </c:pt>
                <c:pt idx="61">
                  <c:v>1270</c:v>
                </c:pt>
                <c:pt idx="62">
                  <c:v>1524</c:v>
                </c:pt>
                <c:pt idx="63">
                  <c:v>1641</c:v>
                </c:pt>
                <c:pt idx="64">
                  <c:v>1433</c:v>
                </c:pt>
                <c:pt idx="65">
                  <c:v>1025</c:v>
                </c:pt>
                <c:pt idx="66">
                  <c:v>626</c:v>
                </c:pt>
                <c:pt idx="67">
                  <c:v>702</c:v>
                </c:pt>
                <c:pt idx="68">
                  <c:v>773</c:v>
                </c:pt>
                <c:pt idx="69">
                  <c:v>900</c:v>
                </c:pt>
                <c:pt idx="70">
                  <c:v>1438</c:v>
                </c:pt>
                <c:pt idx="71">
                  <c:v>719</c:v>
                </c:pt>
                <c:pt idx="72">
                  <c:v>539</c:v>
                </c:pt>
                <c:pt idx="73">
                  <c:v>649</c:v>
                </c:pt>
                <c:pt idx="74">
                  <c:v>564</c:v>
                </c:pt>
                <c:pt idx="75">
                  <c:v>729</c:v>
                </c:pt>
                <c:pt idx="76">
                  <c:v>830</c:v>
                </c:pt>
              </c:numCache>
            </c:numRef>
          </c:val>
          <c:smooth val="0"/>
          <c:extLst>
            <c:ext xmlns:c16="http://schemas.microsoft.com/office/drawing/2014/chart" uri="{C3380CC4-5D6E-409C-BE32-E72D297353CC}">
              <c16:uniqueId val="{00000001-C9BB-4327-911C-897795640BC7}"/>
            </c:ext>
          </c:extLst>
        </c:ser>
        <c:ser>
          <c:idx val="1"/>
          <c:order val="1"/>
          <c:tx>
            <c:strRef>
              <c:f>SECTOR!$D$5</c:f>
              <c:strCache>
                <c:ptCount val="1"/>
                <c:pt idx="0">
                  <c:v>Sector privado</c:v>
                </c:pt>
              </c:strCache>
            </c:strRef>
          </c:tx>
          <c:spPr>
            <a:ln w="28575" cap="rnd">
              <a:solidFill>
                <a:srgbClr val="FABB28"/>
              </a:solidFill>
              <a:round/>
            </a:ln>
            <a:effectLst/>
          </c:spPr>
          <c:marker>
            <c:symbol val="none"/>
          </c:marker>
          <c:cat>
            <c:multiLvlStrRef>
              <c:f>SECTOR!$A$6:$B$82</c:f>
              <c:multiLvlStrCache>
                <c:ptCount val="77"/>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pt idx="65">
                    <c:v>JUN</c:v>
                  </c:pt>
                  <c:pt idx="66">
                    <c:v>JUL</c:v>
                  </c:pt>
                  <c:pt idx="67">
                    <c:v>AGO</c:v>
                  </c:pt>
                  <c:pt idx="68">
                    <c:v>SEP</c:v>
                  </c:pt>
                  <c:pt idx="69">
                    <c:v>OCT</c:v>
                  </c:pt>
                  <c:pt idx="70">
                    <c:v>NOV</c:v>
                  </c:pt>
                  <c:pt idx="71">
                    <c:v>DIC</c:v>
                  </c:pt>
                  <c:pt idx="72">
                    <c:v>ENE</c:v>
                  </c:pt>
                  <c:pt idx="73">
                    <c:v>FEB</c:v>
                  </c:pt>
                  <c:pt idx="74">
                    <c:v>MAR</c:v>
                  </c:pt>
                  <c:pt idx="75">
                    <c:v>ABR</c:v>
                  </c:pt>
                  <c:pt idx="76">
                    <c:v>MAY</c:v>
                  </c:pt>
                </c:lvl>
                <c:lvl>
                  <c:pt idx="0">
                    <c:v>2018</c:v>
                  </c:pt>
                  <c:pt idx="12">
                    <c:v>2019</c:v>
                  </c:pt>
                  <c:pt idx="24">
                    <c:v>2020</c:v>
                  </c:pt>
                  <c:pt idx="36">
                    <c:v>2021</c:v>
                  </c:pt>
                  <c:pt idx="48">
                    <c:v>2022</c:v>
                  </c:pt>
                  <c:pt idx="60">
                    <c:v>2023</c:v>
                  </c:pt>
                  <c:pt idx="72">
                    <c:v>2024</c:v>
                  </c:pt>
                </c:lvl>
              </c:multiLvlStrCache>
            </c:multiLvlStrRef>
          </c:cat>
          <c:val>
            <c:numRef>
              <c:f>SECTOR!$D$6:$D$82</c:f>
              <c:numCache>
                <c:formatCode>#,##0</c:formatCode>
                <c:ptCount val="77"/>
                <c:pt idx="0">
                  <c:v>1664</c:v>
                </c:pt>
                <c:pt idx="1">
                  <c:v>1566</c:v>
                </c:pt>
                <c:pt idx="2">
                  <c:v>1900</c:v>
                </c:pt>
                <c:pt idx="3">
                  <c:v>1746</c:v>
                </c:pt>
                <c:pt idx="4">
                  <c:v>2184</c:v>
                </c:pt>
                <c:pt idx="5">
                  <c:v>1779</c:v>
                </c:pt>
                <c:pt idx="6">
                  <c:v>2114</c:v>
                </c:pt>
                <c:pt idx="7">
                  <c:v>2499</c:v>
                </c:pt>
                <c:pt idx="8">
                  <c:v>1997</c:v>
                </c:pt>
                <c:pt idx="9">
                  <c:v>2652</c:v>
                </c:pt>
                <c:pt idx="10">
                  <c:v>1936</c:v>
                </c:pt>
                <c:pt idx="11">
                  <c:v>3109</c:v>
                </c:pt>
                <c:pt idx="12">
                  <c:v>2213</c:v>
                </c:pt>
                <c:pt idx="13">
                  <c:v>2259</c:v>
                </c:pt>
                <c:pt idx="14">
                  <c:v>2567</c:v>
                </c:pt>
                <c:pt idx="15">
                  <c:v>1866</c:v>
                </c:pt>
                <c:pt idx="16">
                  <c:v>2117</c:v>
                </c:pt>
                <c:pt idx="17">
                  <c:v>2031</c:v>
                </c:pt>
                <c:pt idx="18">
                  <c:v>1824</c:v>
                </c:pt>
                <c:pt idx="19">
                  <c:v>1823</c:v>
                </c:pt>
                <c:pt idx="20">
                  <c:v>1651</c:v>
                </c:pt>
                <c:pt idx="21">
                  <c:v>1740</c:v>
                </c:pt>
                <c:pt idx="22">
                  <c:v>1854</c:v>
                </c:pt>
                <c:pt idx="23">
                  <c:v>1819</c:v>
                </c:pt>
                <c:pt idx="24">
                  <c:v>1628</c:v>
                </c:pt>
                <c:pt idx="25">
                  <c:v>1874</c:v>
                </c:pt>
                <c:pt idx="26">
                  <c:v>1831</c:v>
                </c:pt>
                <c:pt idx="27">
                  <c:v>1442</c:v>
                </c:pt>
                <c:pt idx="28">
                  <c:v>1398</c:v>
                </c:pt>
                <c:pt idx="29">
                  <c:v>1552</c:v>
                </c:pt>
                <c:pt idx="30">
                  <c:v>1669</c:v>
                </c:pt>
                <c:pt idx="31">
                  <c:v>1641</c:v>
                </c:pt>
                <c:pt idx="32">
                  <c:v>1673</c:v>
                </c:pt>
                <c:pt idx="33">
                  <c:v>1733</c:v>
                </c:pt>
                <c:pt idx="34">
                  <c:v>1818</c:v>
                </c:pt>
                <c:pt idx="35">
                  <c:v>1716</c:v>
                </c:pt>
                <c:pt idx="36">
                  <c:v>1763</c:v>
                </c:pt>
                <c:pt idx="37">
                  <c:v>1733</c:v>
                </c:pt>
                <c:pt idx="38">
                  <c:v>1781</c:v>
                </c:pt>
                <c:pt idx="39">
                  <c:v>1704</c:v>
                </c:pt>
                <c:pt idx="40">
                  <c:v>1763</c:v>
                </c:pt>
                <c:pt idx="41">
                  <c:v>1646</c:v>
                </c:pt>
                <c:pt idx="42">
                  <c:v>1765</c:v>
                </c:pt>
                <c:pt idx="43">
                  <c:v>1780</c:v>
                </c:pt>
                <c:pt idx="44">
                  <c:v>1997</c:v>
                </c:pt>
                <c:pt idx="45">
                  <c:v>2087</c:v>
                </c:pt>
                <c:pt idx="46">
                  <c:v>2245</c:v>
                </c:pt>
                <c:pt idx="47">
                  <c:v>2345</c:v>
                </c:pt>
                <c:pt idx="48">
                  <c:v>2932</c:v>
                </c:pt>
                <c:pt idx="49">
                  <c:v>2639</c:v>
                </c:pt>
                <c:pt idx="50">
                  <c:v>2950</c:v>
                </c:pt>
                <c:pt idx="51">
                  <c:v>3132</c:v>
                </c:pt>
                <c:pt idx="52">
                  <c:v>3524</c:v>
                </c:pt>
                <c:pt idx="53">
                  <c:v>3337</c:v>
                </c:pt>
                <c:pt idx="54">
                  <c:v>2888</c:v>
                </c:pt>
                <c:pt idx="55">
                  <c:v>2613</c:v>
                </c:pt>
                <c:pt idx="56">
                  <c:v>2429</c:v>
                </c:pt>
                <c:pt idx="57">
                  <c:v>2619</c:v>
                </c:pt>
                <c:pt idx="58">
                  <c:v>2497</c:v>
                </c:pt>
                <c:pt idx="59">
                  <c:v>2785</c:v>
                </c:pt>
                <c:pt idx="60">
                  <c:v>2965</c:v>
                </c:pt>
                <c:pt idx="61">
                  <c:v>2552</c:v>
                </c:pt>
                <c:pt idx="62">
                  <c:v>2411</c:v>
                </c:pt>
                <c:pt idx="63">
                  <c:v>2220</c:v>
                </c:pt>
                <c:pt idx="64">
                  <c:v>2451</c:v>
                </c:pt>
                <c:pt idx="65">
                  <c:v>2315</c:v>
                </c:pt>
                <c:pt idx="66">
                  <c:v>2657</c:v>
                </c:pt>
                <c:pt idx="67">
                  <c:v>2662</c:v>
                </c:pt>
                <c:pt idx="68">
                  <c:v>2896</c:v>
                </c:pt>
                <c:pt idx="69">
                  <c:v>3284</c:v>
                </c:pt>
                <c:pt idx="70">
                  <c:v>2843</c:v>
                </c:pt>
                <c:pt idx="71">
                  <c:v>3107</c:v>
                </c:pt>
                <c:pt idx="72">
                  <c:v>2699</c:v>
                </c:pt>
                <c:pt idx="73">
                  <c:v>2445</c:v>
                </c:pt>
                <c:pt idx="74">
                  <c:v>2301</c:v>
                </c:pt>
                <c:pt idx="75">
                  <c:v>2545</c:v>
                </c:pt>
                <c:pt idx="76">
                  <c:v>2440</c:v>
                </c:pt>
              </c:numCache>
            </c:numRef>
          </c:val>
          <c:smooth val="0"/>
          <c:extLst>
            <c:ext xmlns:c16="http://schemas.microsoft.com/office/drawing/2014/chart" uri="{C3380CC4-5D6E-409C-BE32-E72D297353CC}">
              <c16:uniqueId val="{00000002-C9BB-4327-911C-897795640BC7}"/>
            </c:ext>
          </c:extLst>
        </c:ser>
        <c:dLbls>
          <c:showLegendKey val="0"/>
          <c:showVal val="0"/>
          <c:showCatName val="0"/>
          <c:showSerName val="0"/>
          <c:showPercent val="0"/>
          <c:showBubbleSize val="0"/>
        </c:dLbls>
        <c:marker val="1"/>
        <c:smooth val="0"/>
        <c:axId val="832984528"/>
        <c:axId val="832982560"/>
      </c:lineChart>
      <c:catAx>
        <c:axId val="971652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971660024"/>
        <c:crosses val="autoZero"/>
        <c:auto val="1"/>
        <c:lblAlgn val="ctr"/>
        <c:lblOffset val="100"/>
        <c:noMultiLvlLbl val="0"/>
      </c:catAx>
      <c:valAx>
        <c:axId val="97166002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971652808"/>
        <c:crosses val="autoZero"/>
        <c:crossBetween val="between"/>
      </c:valAx>
      <c:valAx>
        <c:axId val="832982560"/>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832984528"/>
        <c:crosses val="max"/>
        <c:crossBetween val="between"/>
      </c:valAx>
      <c:catAx>
        <c:axId val="832984528"/>
        <c:scaling>
          <c:orientation val="minMax"/>
        </c:scaling>
        <c:delete val="1"/>
        <c:axPos val="b"/>
        <c:numFmt formatCode="General" sourceLinked="1"/>
        <c:majorTickMark val="out"/>
        <c:minorTickMark val="none"/>
        <c:tickLblPos val="nextTo"/>
        <c:crossAx val="8329825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OBRA!$B$5</c:f>
              <c:strCache>
                <c:ptCount val="1"/>
                <c:pt idx="0">
                  <c:v>Edificación</c:v>
                </c:pt>
              </c:strCache>
            </c:strRef>
          </c:tx>
          <c:spPr>
            <a:solidFill>
              <a:srgbClr val="7C868D"/>
            </a:solidFill>
            <a:ln>
              <a:noFill/>
            </a:ln>
            <a:effectLst/>
          </c:spPr>
          <c:invertIfNegative val="0"/>
          <c:cat>
            <c:strRef>
              <c:f>OBRA!$A$6:$A$12</c:f>
              <c:strCache>
                <c:ptCount val="7"/>
                <c:pt idx="0">
                  <c:v>2018/05</c:v>
                </c:pt>
                <c:pt idx="1">
                  <c:v>2019/05</c:v>
                </c:pt>
                <c:pt idx="2">
                  <c:v>2020/05</c:v>
                </c:pt>
                <c:pt idx="3">
                  <c:v>2021/05</c:v>
                </c:pt>
                <c:pt idx="4">
                  <c:v>2022/05</c:v>
                </c:pt>
                <c:pt idx="5">
                  <c:v>2023/05</c:v>
                </c:pt>
                <c:pt idx="6">
                  <c:v>2024/05</c:v>
                </c:pt>
              </c:strCache>
            </c:strRef>
          </c:cat>
          <c:val>
            <c:numRef>
              <c:f>OBRA!$B$6:$B$12</c:f>
              <c:numCache>
                <c:formatCode>#,##0</c:formatCode>
                <c:ptCount val="7"/>
                <c:pt idx="0">
                  <c:v>1665.9190000000001</c:v>
                </c:pt>
                <c:pt idx="1">
                  <c:v>1694.605</c:v>
                </c:pt>
                <c:pt idx="2">
                  <c:v>1280.9110000000001</c:v>
                </c:pt>
                <c:pt idx="3">
                  <c:v>1574.971</c:v>
                </c:pt>
                <c:pt idx="4">
                  <c:v>2357.5120000000002</c:v>
                </c:pt>
                <c:pt idx="5">
                  <c:v>1933.7629999999999</c:v>
                </c:pt>
                <c:pt idx="6">
                  <c:v>1738.07</c:v>
                </c:pt>
              </c:numCache>
            </c:numRef>
          </c:val>
          <c:extLst>
            <c:ext xmlns:c16="http://schemas.microsoft.com/office/drawing/2014/chart" uri="{C3380CC4-5D6E-409C-BE32-E72D297353CC}">
              <c16:uniqueId val="{00000000-B777-43EC-9C6B-470DE73C275A}"/>
            </c:ext>
          </c:extLst>
        </c:ser>
        <c:ser>
          <c:idx val="1"/>
          <c:order val="1"/>
          <c:tx>
            <c:strRef>
              <c:f>OBRA!$C$5</c:f>
              <c:strCache>
                <c:ptCount val="1"/>
                <c:pt idx="0">
                  <c:v>Transporte y urbanización</c:v>
                </c:pt>
              </c:strCache>
            </c:strRef>
          </c:tx>
          <c:spPr>
            <a:solidFill>
              <a:srgbClr val="FABB28"/>
            </a:solidFill>
            <a:ln>
              <a:noFill/>
            </a:ln>
            <a:effectLst/>
          </c:spPr>
          <c:invertIfNegative val="0"/>
          <c:cat>
            <c:strRef>
              <c:f>OBRA!$A$6:$A$12</c:f>
              <c:strCache>
                <c:ptCount val="7"/>
                <c:pt idx="0">
                  <c:v>2018/05</c:v>
                </c:pt>
                <c:pt idx="1">
                  <c:v>2019/05</c:v>
                </c:pt>
                <c:pt idx="2">
                  <c:v>2020/05</c:v>
                </c:pt>
                <c:pt idx="3">
                  <c:v>2021/05</c:v>
                </c:pt>
                <c:pt idx="4">
                  <c:v>2022/05</c:v>
                </c:pt>
                <c:pt idx="5">
                  <c:v>2023/05</c:v>
                </c:pt>
                <c:pt idx="6">
                  <c:v>2024/05</c:v>
                </c:pt>
              </c:strCache>
            </c:strRef>
          </c:cat>
          <c:val>
            <c:numRef>
              <c:f>OBRA!$C$6:$C$12</c:f>
              <c:numCache>
                <c:formatCode>#,##0</c:formatCode>
                <c:ptCount val="7"/>
                <c:pt idx="0">
                  <c:v>359.221</c:v>
                </c:pt>
                <c:pt idx="1">
                  <c:v>303.88400000000001</c:v>
                </c:pt>
                <c:pt idx="2">
                  <c:v>161.49799999999999</c:v>
                </c:pt>
                <c:pt idx="3">
                  <c:v>166.768</c:v>
                </c:pt>
                <c:pt idx="4">
                  <c:v>627.30499999999995</c:v>
                </c:pt>
                <c:pt idx="5">
                  <c:v>690.69</c:v>
                </c:pt>
                <c:pt idx="6">
                  <c:v>491.41199999999998</c:v>
                </c:pt>
              </c:numCache>
            </c:numRef>
          </c:val>
          <c:extLst>
            <c:ext xmlns:c16="http://schemas.microsoft.com/office/drawing/2014/chart" uri="{C3380CC4-5D6E-409C-BE32-E72D297353CC}">
              <c16:uniqueId val="{00000001-B777-43EC-9C6B-470DE73C275A}"/>
            </c:ext>
          </c:extLst>
        </c:ser>
        <c:ser>
          <c:idx val="2"/>
          <c:order val="2"/>
          <c:tx>
            <c:strRef>
              <c:f>OBRA!$D$5</c:f>
              <c:strCache>
                <c:ptCount val="1"/>
                <c:pt idx="0">
                  <c:v>Agua riego y saneamiento</c:v>
                </c:pt>
              </c:strCache>
            </c:strRef>
          </c:tx>
          <c:spPr>
            <a:solidFill>
              <a:srgbClr val="94682A"/>
            </a:solidFill>
            <a:ln>
              <a:noFill/>
            </a:ln>
            <a:effectLst/>
          </c:spPr>
          <c:invertIfNegative val="0"/>
          <c:cat>
            <c:strRef>
              <c:f>OBRA!$A$6:$A$12</c:f>
              <c:strCache>
                <c:ptCount val="7"/>
                <c:pt idx="0">
                  <c:v>2018/05</c:v>
                </c:pt>
                <c:pt idx="1">
                  <c:v>2019/05</c:v>
                </c:pt>
                <c:pt idx="2">
                  <c:v>2020/05</c:v>
                </c:pt>
                <c:pt idx="3">
                  <c:v>2021/05</c:v>
                </c:pt>
                <c:pt idx="4">
                  <c:v>2022/05</c:v>
                </c:pt>
                <c:pt idx="5">
                  <c:v>2023/05</c:v>
                </c:pt>
                <c:pt idx="6">
                  <c:v>2024/05</c:v>
                </c:pt>
              </c:strCache>
            </c:strRef>
          </c:cat>
          <c:val>
            <c:numRef>
              <c:f>OBRA!$D$6:$D$12</c:f>
              <c:numCache>
                <c:formatCode>#,##0</c:formatCode>
                <c:ptCount val="7"/>
                <c:pt idx="0">
                  <c:v>61.790999999999997</c:v>
                </c:pt>
                <c:pt idx="1">
                  <c:v>10.509</c:v>
                </c:pt>
                <c:pt idx="2">
                  <c:v>16.774999999999999</c:v>
                </c:pt>
                <c:pt idx="3">
                  <c:v>51.725000000000001</c:v>
                </c:pt>
                <c:pt idx="4">
                  <c:v>140.017</c:v>
                </c:pt>
                <c:pt idx="5">
                  <c:v>740.96799999999996</c:v>
                </c:pt>
                <c:pt idx="6">
                  <c:v>319.82499999999999</c:v>
                </c:pt>
              </c:numCache>
            </c:numRef>
          </c:val>
          <c:extLst>
            <c:ext xmlns:c16="http://schemas.microsoft.com/office/drawing/2014/chart" uri="{C3380CC4-5D6E-409C-BE32-E72D297353CC}">
              <c16:uniqueId val="{00000002-B777-43EC-9C6B-470DE73C275A}"/>
            </c:ext>
          </c:extLst>
        </c:ser>
        <c:ser>
          <c:idx val="3"/>
          <c:order val="3"/>
          <c:tx>
            <c:strRef>
              <c:f>OBRA!$E$5</c:f>
              <c:strCache>
                <c:ptCount val="1"/>
                <c:pt idx="0">
                  <c:v>Otras</c:v>
                </c:pt>
              </c:strCache>
            </c:strRef>
          </c:tx>
          <c:spPr>
            <a:solidFill>
              <a:srgbClr val="BCCDD6"/>
            </a:solidFill>
            <a:ln>
              <a:noFill/>
            </a:ln>
            <a:effectLst/>
          </c:spPr>
          <c:invertIfNegative val="0"/>
          <c:cat>
            <c:strRef>
              <c:f>OBRA!$A$6:$A$12</c:f>
              <c:strCache>
                <c:ptCount val="7"/>
                <c:pt idx="0">
                  <c:v>2018/05</c:v>
                </c:pt>
                <c:pt idx="1">
                  <c:v>2019/05</c:v>
                </c:pt>
                <c:pt idx="2">
                  <c:v>2020/05</c:v>
                </c:pt>
                <c:pt idx="3">
                  <c:v>2021/05</c:v>
                </c:pt>
                <c:pt idx="4">
                  <c:v>2022/05</c:v>
                </c:pt>
                <c:pt idx="5">
                  <c:v>2023/05</c:v>
                </c:pt>
                <c:pt idx="6">
                  <c:v>2024/05</c:v>
                </c:pt>
              </c:strCache>
            </c:strRef>
          </c:cat>
          <c:val>
            <c:numRef>
              <c:f>OBRA!$E$6:$E$12</c:f>
              <c:numCache>
                <c:formatCode>#,##0</c:formatCode>
                <c:ptCount val="7"/>
                <c:pt idx="0">
                  <c:v>605.58600000000001</c:v>
                </c:pt>
                <c:pt idx="1">
                  <c:v>423.17700000000002</c:v>
                </c:pt>
                <c:pt idx="2">
                  <c:v>180</c:v>
                </c:pt>
                <c:pt idx="3">
                  <c:v>267.69499999999999</c:v>
                </c:pt>
                <c:pt idx="4">
                  <c:v>1140.827</c:v>
                </c:pt>
                <c:pt idx="5">
                  <c:v>518.476</c:v>
                </c:pt>
                <c:pt idx="6">
                  <c:v>721.21500000000003</c:v>
                </c:pt>
              </c:numCache>
            </c:numRef>
          </c:val>
          <c:extLst>
            <c:ext xmlns:c16="http://schemas.microsoft.com/office/drawing/2014/chart" uri="{C3380CC4-5D6E-409C-BE32-E72D297353CC}">
              <c16:uniqueId val="{00000003-B777-43EC-9C6B-470DE73C275A}"/>
            </c:ext>
          </c:extLst>
        </c:ser>
        <c:dLbls>
          <c:showLegendKey val="0"/>
          <c:showVal val="0"/>
          <c:showCatName val="0"/>
          <c:showSerName val="0"/>
          <c:showPercent val="0"/>
          <c:showBubbleSize val="0"/>
        </c:dLbls>
        <c:gapWidth val="219"/>
        <c:overlap val="-27"/>
        <c:axId val="844031976"/>
        <c:axId val="844032304"/>
      </c:barChart>
      <c:catAx>
        <c:axId val="844031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844032304"/>
        <c:crosses val="autoZero"/>
        <c:auto val="1"/>
        <c:lblAlgn val="ctr"/>
        <c:lblOffset val="100"/>
        <c:noMultiLvlLbl val="0"/>
      </c:catAx>
      <c:valAx>
        <c:axId val="8440323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844031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PLANTILLA ENEC 2024</Template>
  <TotalTime>0</TotalTime>
  <Pages>7</Pages>
  <Words>956</Words>
  <Characters>5263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Carrillo Villarreal</dc:creator>
  <cp:keywords/>
  <dc:description/>
  <cp:lastModifiedBy>Arturo Carrillo Villarreal</cp:lastModifiedBy>
  <cp:revision>2</cp:revision>
  <dcterms:created xsi:type="dcterms:W3CDTF">2024-07-24T15:40:00Z</dcterms:created>
  <dcterms:modified xsi:type="dcterms:W3CDTF">2024-07-24T15:40:00Z</dcterms:modified>
</cp:coreProperties>
</file>