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Auxiliou-me a definir o problema e a conduzir o trabalho até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Por que o conjunto usado na previsão tem 1.586 observações</w:t>
      </w:r>
    </w:p>
    <w:p w14:paraId="7670B9EB">
      <w:pPr>
        <w:pStyle w:val="3"/>
        <w:ind w:firstLine="0"/>
        <w:rPr>
          <w:color w:val="2E75B5"/>
        </w:rPr>
      </w:pPr>
      <w:r>
        <w:rPr>
          <w:rFonts w:ascii="Arial" w:hAnsi="Arial"/>
          <w:sz w:val="22"/>
        </w:rPr>
        <w:t>Figura 8 – Distribuição da taxa de abandono prevista e diferença de risco entre grupos de escolas</w:t>
      </w:r>
    </w:p>
    <w:p w14:paraId="1D62E1CA">
      <w:pPr>
        <w:pStyle w:val="3"/>
        <w:ind w:firstLine="0"/>
        <w:rPr>
          <w:color w:val="2E75B5"/>
        </w:rPr>
      </w:pPr>
      <w:r>
        <w:rPr>
          <w:rFonts w:ascii="Arial" w:hAnsi="Arial"/>
          <w:sz w:val="22"/>
        </w:rPr>
        <w:t>Figura 9 – Distribuição das 23 características contínuas na rede estadual</w:t>
      </w:r>
    </w:p>
    <w:p w14:paraId="25572C24">
      <w:pPr>
        <w:pStyle w:val="3"/>
        <w:ind w:firstLine="0"/>
        <w:rPr>
          <w:color w:val="2E75B5"/>
        </w:rPr>
      </w:pPr>
      <w:r>
        <w:rPr>
          <w:rFonts w:ascii="Arial" w:hAnsi="Arial"/>
          <w:sz w:val="22"/>
        </w:rPr>
        <w:t>Figura 10 – Repartição das escolas por atributo de sim ou não e taxa média de abandono de cada grupo</w:t>
      </w:r>
    </w:p>
    <w:p w14:paraId="00552AF9">
      <w:pPr>
        <w:pStyle w:val="3"/>
        <w:ind w:firstLine="0"/>
        <w:rPr>
          <w:color w:val="2E75B5"/>
        </w:rPr>
      </w:pPr>
      <w:r>
        <w:rPr>
          <w:rFonts w:ascii="Arial" w:hAnsi="Arial"/>
          <w:sz w:val="22"/>
        </w:rPr>
        <w:t>Figura 11 – Abandono médio e peso de cada região do estado no conjunto de dados</w:t>
      </w:r>
    </w:p>
    <w:p w14:paraId="4C704656">
      <w:pPr>
        <w:pStyle w:val="3"/>
        <w:ind w:firstLine="0"/>
        <w:rPr>
          <w:color w:val="2E75B5"/>
        </w:rPr>
      </w:pPr>
      <w:r>
        <w:rPr>
          <w:rFonts w:ascii="Arial" w:hAnsi="Arial"/>
          <w:sz w:val="22"/>
        </w:rPr>
        <w:t>Figura 12 – As 38 características numéricas ordenadas pela relação com o abandono do ano seguinte</w:t>
      </w:r>
    </w:p>
    <w:p w14:paraId="12CBFCCB">
      <w:pPr>
        <w:pStyle w:val="3"/>
        <w:ind w:firstLine="0"/>
        <w:rPr>
          <w:color w:val="2E75B5"/>
        </w:rPr>
      </w:pPr>
      <w:r>
        <w:rPr>
          <w:rFonts w:ascii="Arial" w:hAnsi="Arial"/>
          <w:sz w:val="22"/>
        </w:rPr>
        <w:t>Figura 13 – Distribuição das medidas de desempenho nas 20 repetições</w:t>
      </w:r>
    </w:p>
    <w:p w14:paraId="3199E1D8">
      <w:pPr>
        <w:pStyle w:val="3"/>
        <w:ind w:firstLine="0"/>
        <w:rPr>
          <w:color w:val="2E75B5"/>
        </w:rPr>
      </w:pPr>
      <w:r>
        <w:rPr>
          <w:rFonts w:ascii="Arial" w:hAnsi="Arial"/>
          <w:sz w:val="22"/>
        </w:rPr>
        <w:t>Figura 14 – Erro do valor e acerto da ordem no teste do ano nunca visto</w:t>
      </w:r>
    </w:p>
    <w:p w14:paraId="0BCC53AB">
      <w:pPr>
        <w:pStyle w:val="3"/>
        <w:ind w:firstLine="0"/>
        <w:rPr>
          <w:color w:val="2E75B5"/>
        </w:rPr>
      </w:pPr>
      <w:r>
        <w:rPr>
          <w:rFonts w:ascii="Arial" w:hAnsi="Arial"/>
          <w:sz w:val="22"/>
        </w:rPr>
        <w:t>Figura 15 – Desempenho do modelo adotado em cada transição anual (2022→2023 e 2023→2024)</w:t>
      </w:r>
    </w:p>
    <w:p w14:paraId="243493A6">
      <w:pPr>
        <w:pStyle w:val="3"/>
        <w:ind w:firstLine="0"/>
        <w:rPr>
          <w:color w:val="2E75B5"/>
        </w:rPr>
      </w:pPr>
      <w:r>
        <w:rPr>
          <w:rFonts w:ascii="Arial" w:hAnsi="Arial"/>
          <w:sz w:val="22"/>
        </w:rPr>
        <w:t>Figura 16 – Resíduo do modelo por escola, em número de alunos que abandonaram o ensino médio, nas transições 2022–2023 e 2023–2024</w:t>
      </w:r>
    </w:p>
    <w:p w14:paraId="145FB100">
      <w:pPr>
        <w:pStyle w:val="3"/>
        <w:ind w:firstLine="0"/>
        <w:rPr>
          <w:color w:val="2E75B5"/>
        </w:rPr>
      </w:pPr>
      <w:r>
        <w:rPr>
          <w:rFonts w:ascii="Arial" w:hAnsi="Arial"/>
          <w:sz w:val="22"/>
        </w:rPr>
        <w:t>Figura 17 – Ganho prático da lista de prioridade em relação à escolha ao acaso</w:t>
      </w:r>
    </w:p>
    <w:p w14:paraId="44E8BD78">
      <w:pPr>
        <w:pStyle w:val="3"/>
        <w:ind w:firstLine="0"/>
        <w:rPr>
          <w:color w:val="2E75B5"/>
        </w:rPr>
      </w:pPr>
      <w:r>
        <w:rPr>
          <w:rFonts w:ascii="Arial" w:hAnsi="Arial"/>
          <w:sz w:val="22"/>
        </w:rPr>
        <w:t>Figura 18 – Acerto e alcance da lista para diferentes tamanhos de lista</w:t>
      </w:r>
    </w:p>
    <w:p w14:paraId="4F99997E">
      <w:pPr>
        <w:pStyle w:val="3"/>
        <w:ind w:firstLine="0"/>
        <w:rPr>
          <w:color w:val="2E75B5"/>
        </w:rPr>
      </w:pPr>
      <w:r>
        <w:rPr>
          <w:rFonts w:ascii="Arial" w:hAnsi="Arial"/>
          <w:sz w:val="22"/>
        </w:rPr>
        <w:t>Figura 19 – As características que mais pesam nas previsões do sistema</w:t>
      </w:r>
    </w:p>
    <w:p w14:paraId="1A68FE01">
      <w:pPr>
        <w:pStyle w:val="3"/>
        <w:ind w:firstLine="0"/>
        <w:rPr>
          <w:color w:val="2E75B5"/>
        </w:rPr>
      </w:pPr>
      <w:r>
        <w:rPr>
          <w:rFonts w:ascii="Arial" w:hAnsi="Arial"/>
          <w:sz w:val="22"/>
        </w:rPr>
        <w:t>Figura 20 – Peso e direção de cada característica nas previsões do sistema</w:t>
      </w:r>
    </w:p>
    <w:p w14:paraId="043730E3">
      <w:pPr>
        <w:pStyle w:val="3"/>
        <w:ind w:firstLine="0"/>
        <w:rPr>
          <w:color w:val="2E75B5"/>
        </w:rPr>
      </w:pPr>
      <w:r>
        <w:rPr>
          <w:rFonts w:ascii="Arial" w:hAnsi="Arial"/>
          <w:sz w:val="22"/>
        </w:rPr>
        <w:t>Figura 21 – Explicação individual da escola de maior risco previsto</w:t>
      </w:r>
    </w:p>
    <w:p w14:paraId="0728882D">
      <w:pPr>
        <w:pStyle w:val="3"/>
        <w:ind w:firstLine="0"/>
        <w:rPr>
          <w:color w:val="2E75B5"/>
        </w:rPr>
      </w:pPr>
      <w:r>
        <w:rPr>
          <w:rFonts w:ascii="Arial" w:hAnsi="Arial"/>
          <w:sz w:val="22"/>
        </w:rPr>
        <w:t>Figura 22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000000" w:themeColor="text1"/>
          <w:highlight w:val="none"/>
          <w14:textFill>
            <w14:solidFill>
              <w14:schemeClr w14:val="tx1"/>
            </w14:solidFill>
          </w14:textFill>
        </w:rPr>
      </w:pPr>
      <w:r>
        <w:rPr>
          <w:rFonts w:ascii="Arial" w:hAnsi="Arial"/>
          <w:sz w:val="22"/>
        </w:rPr>
        <w:t xml:space="preserve">Quadro 11 – Desempenho do modelo adotado em cada transição anual (média e faixa </w:t>
      </w:r>
      <w:r>
        <w:rPr>
          <w:rFonts w:ascii="Arial" w:hAnsi="Arial"/>
          <w:color w:val="000000" w:themeColor="text1"/>
          <w:sz w:val="22"/>
          <w:highlight w:val="none"/>
          <w14:textFill>
            <w14:solidFill>
              <w14:schemeClr w14:val="tx1"/>
            </w14:solidFill>
          </w14:textFill>
        </w:rPr>
        <w:t>de confiança de 95% sobre 20 repetições)</w:t>
      </w:r>
    </w:p>
    <w:p w14:paraId="7E89A96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79137554">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678DE46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_Toc24929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_Toc24929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8E05D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_Toc22549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_Toc22549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D2D8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_Toc5120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_Toc5120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5A115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_Toc8917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_Toc8917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84A55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_Toc1671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_Toc1671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DADB0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_Toc25361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_Toc25361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F36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_Toc19974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_Toc19974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8A0D8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_Toc1310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_Toc1310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ED670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_Toc19166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_Toc19166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218C9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_Toc32695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_Toc32695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9A1BA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_Toc14676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_Toc14676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9BA6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_Toc1204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_Toc1204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6BEBA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_Toc30687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_Toc30687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689D9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_Toc9387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_Toc9387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6C117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_Toc14543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_Toc14543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6C987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_Toc25718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_Toc25718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440EC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_Toc16957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_Toc16957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A0A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_Toc31718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_Toc31718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BF967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_Toc13921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_Toc13921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B71D6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_Toc28473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_Toc28473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680A8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_Toc28615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_Toc28615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6E5B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_Toc263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1A6FD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_Toc6138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_Toc6138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7685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_Toc10430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_Toc10430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B4218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_Toc5265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_Toc5265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541F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_Toc23018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_Toc23018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FBBA4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_Toc1492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_Toc1492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A1D6F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_Toc2785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_Toc2785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5B805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_Toc11086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_Toc11086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AC2CF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_Toc7548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_Toc7548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AC94C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_Toc26108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_Toc26108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C7556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_Toc8978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_Toc8978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5D66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_Toc3329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_Toc3329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0EB3D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_Toc31950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_Toc31950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2F27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_Toc12558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_Toc12558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D9987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_Toc9225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_Toc9225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246AC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_Toc3029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D483F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_Toc616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_Toc616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9888C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_Toc1087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_Toc1087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04C68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_Toc16310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_Toc16310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1669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_Toc13640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_Toc13640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20BE9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_Toc23519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_Toc23519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6EF28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_Toc5281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_Toc5281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5EE7E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_Toc23927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_Toc23927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BEA5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_Toc32655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_Toc32655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FAAC6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_Toc25002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_Toc25002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E20C5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_Toc26531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_Toc26531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ECBA6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_Toc142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678E1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_Toc26166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_Toc26166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5C17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_Toc20785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_Toc20785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1BDF1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_Toc29911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_Toc29911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8FE6B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_Toc29394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_Toc29394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AEDB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_Toc14856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_Toc14856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4CC7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_Toc27943 </w:instrText>
          </w:r>
          <w:r>
            <w:rPr>
              <w:rFonts w:eastAsia="Arial" w:cs="Arial"/>
              <w:bCs/>
              <w:i w:val="0"/>
              <w:iCs w:val="0"/>
              <w:smallCaps/>
              <w:strike w:val="0"/>
              <w:dstrike w:val="0"/>
              <w:vanish w:val="0"/>
              <w:position w:val="0"/>
              <w:szCs w:val="24"/>
              <w:shd w:val="clear" w:fill="auto"/>
              <w:vertAlign w:val="baseline"/>
            </w:rPr>
            <w:fldChar w:fldCharType="separate"/>
          </w:r>
          <w:r>
            <w:t xml:space="preserve">6.3.5 </w:t>
          </w:r>
          <w:r>
            <w:rPr>
              <w:rFonts w:ascii="Arial" w:hAnsi="Arial"/>
              <w:highlight w:val="none"/>
            </w:rPr>
            <w:t>O Que Esses Números Significam em Seis Escolas</w:t>
          </w:r>
          <w:r>
            <w:tab/>
          </w:r>
          <w:r>
            <w:fldChar w:fldCharType="begin"/>
          </w:r>
          <w:r>
            <w:instrText xml:space="preserve"> PAGEREF _Toc27943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9E2BF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_Toc5369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_Toc5369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67DD5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_Toc1956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FDDF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_Toc10286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_Toc10286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0C3FF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_Toc30746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_Toc30746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DFF5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_Toc25132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_Toc25132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0D9B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_Toc2853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_Toc2853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98D77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_Toc15515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_Toc15515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1B439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_Toc15688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_Toc15688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4FABB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_Toc28038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_Toc28038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65C4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_Toc12711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_Toc12711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8CF80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_Toc25511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_Toc25511 \h </w:instrText>
          </w:r>
          <w:r>
            <w:fldChar w:fldCharType="separate"/>
          </w:r>
          <w:r>
            <w:t>65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99DB5C">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_Toc7093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_Toc7093 \h </w:instrText>
          </w:r>
          <w:r>
            <w:fldChar w:fldCharType="separate"/>
          </w:r>
          <w:r>
            <w:t>67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6672DF">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_Toc28111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_Toc28111 \h </w:instrText>
          </w:r>
          <w:r>
            <w:fldChar w:fldCharType="separate"/>
          </w:r>
          <w:r>
            <w:t>69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4929"/>
      <w:r>
        <w:rPr>
          <w:rFonts w:ascii="Arial" w:hAnsi="Arial" w:eastAsia="Arial" w:cs="Arial"/>
          <w:b w:val="0"/>
        </w:rPr>
        <w:t>Introdução</w:t>
      </w:r>
      <w:bookmarkEnd w:id="1"/>
    </w:p>
    <w:p w14:paraId="71BF03DA">
      <w:pPr>
        <w:pStyle w:val="4"/>
        <w:numPr>
          <w:ilvl w:val="1"/>
          <w:numId w:val="1"/>
        </w:numPr>
      </w:pPr>
      <w:bookmarkStart w:id="2" w:name="_Toc22549"/>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5120"/>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fora do padrão. De um lado estão as que perdem mais alunos do que o perfil indica, e merecem atenção imediata. De outro, as que resistem apesar de um perfil desfavorável, e merecem ser estudadas.</w:t>
      </w:r>
    </w:p>
    <w:p w14:paraId="1E3A4383">
      <w:pPr>
        <w:pStyle w:val="4"/>
        <w:numPr>
          <w:ilvl w:val="1"/>
          <w:numId w:val="1"/>
        </w:numPr>
      </w:pPr>
      <w:bookmarkStart w:id="4" w:name="_Toc8917"/>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671"/>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5361"/>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9974"/>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310"/>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9166"/>
      <w:r>
        <w:rPr>
          <w:rFonts w:ascii="Arial" w:hAnsi="Arial" w:eastAsia="Arial" w:cs="Arial"/>
          <w:b w:val="0"/>
        </w:rPr>
        <w:t>Fundamentação Teórica</w:t>
      </w:r>
      <w:bookmarkEnd w:id="9"/>
    </w:p>
    <w:p w14:paraId="0ED2592D">
      <w:pPr>
        <w:pStyle w:val="5"/>
        <w:numPr>
          <w:ilvl w:val="2"/>
          <w:numId w:val="1"/>
        </w:numPr>
      </w:pPr>
      <w:bookmarkStart w:id="10" w:name="_Toc3269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4676"/>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04"/>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30687"/>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938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14543"/>
      <w:r>
        <w:rPr>
          <w:rFonts w:ascii="Arial" w:hAnsi="Arial" w:eastAsia="Arial" w:cs="Arial"/>
          <w:b w:val="0"/>
        </w:rPr>
        <w:t>Método de Desenvolvimento</w:t>
      </w:r>
      <w:bookmarkEnd w:id="15"/>
    </w:p>
    <w:p w14:paraId="39EFBDEF">
      <w:pPr>
        <w:pStyle w:val="4"/>
        <w:numPr>
          <w:ilvl w:val="1"/>
          <w:numId w:val="1"/>
        </w:numPr>
      </w:pPr>
      <w:bookmarkStart w:id="16" w:name="_Toc25718"/>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6957"/>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3171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3921"/>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847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8615"/>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63"/>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6138"/>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0430"/>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5265"/>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23018"/>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492"/>
      <w:r>
        <w:rPr>
          <w:rFonts w:ascii="Arial" w:hAnsi="Arial" w:eastAsia="Arial" w:cs="Arial"/>
          <w:b w:val="0"/>
        </w:rPr>
        <w:t>Arquitetura do Software</w:t>
      </w:r>
      <w:bookmarkEnd w:id="27"/>
    </w:p>
    <w:p w14:paraId="527CA8A8">
      <w:pPr>
        <w:pStyle w:val="4"/>
        <w:numPr>
          <w:ilvl w:val="1"/>
          <w:numId w:val="1"/>
        </w:numPr>
      </w:pPr>
      <w:bookmarkStart w:id="28" w:name="_Toc2785"/>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1086"/>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7548"/>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6108"/>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8978"/>
      <w:r>
        <w:rPr>
          <w:rFonts w:ascii="Arial" w:hAnsi="Arial" w:eastAsia="Arial" w:cs="Arial"/>
          <w:b w:val="0"/>
        </w:rPr>
        <w:t>Tecnologias e Aspectos de Implementação</w:t>
      </w:r>
      <w:bookmarkEnd w:id="32"/>
    </w:p>
    <w:p w14:paraId="6E080A24">
      <w:pPr>
        <w:pStyle w:val="4"/>
        <w:numPr>
          <w:ilvl w:val="1"/>
          <w:numId w:val="1"/>
        </w:numPr>
      </w:pPr>
      <w:bookmarkStart w:id="33" w:name="_Toc332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31950"/>
      <w:r>
        <w:rPr>
          <w:rFonts w:ascii="Arial" w:hAnsi="Arial" w:eastAsia="Arial" w:cs="Arial"/>
          <w:b w:val="0"/>
        </w:rPr>
        <w:t>Aspectos de Implementação</w:t>
      </w:r>
      <w:bookmarkEnd w:id="34"/>
    </w:p>
    <w:p w14:paraId="1D664FD8">
      <w:pPr>
        <w:pStyle w:val="5"/>
        <w:numPr>
          <w:ilvl w:val="2"/>
          <w:numId w:val="1"/>
        </w:numPr>
      </w:pPr>
      <w:bookmarkStart w:id="35" w:name="_Toc1255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9225"/>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302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616"/>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087"/>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6310"/>
      <w:r>
        <w:rPr>
          <w:rFonts w:ascii="Arial" w:hAnsi="Arial" w:eastAsia="Arial" w:cs="Arial"/>
          <w:b w:val="0"/>
        </w:rPr>
        <w:t>Testes e Análise dos Resultados</w:t>
      </w:r>
      <w:bookmarkEnd w:id="40"/>
    </w:p>
    <w:p w14:paraId="5264F51A">
      <w:pPr>
        <w:pStyle w:val="4"/>
        <w:numPr>
          <w:ilvl w:val="1"/>
          <w:numId w:val="1"/>
        </w:numPr>
      </w:pPr>
      <w:bookmarkStart w:id="41" w:name="_Toc13640"/>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sustentada por uma suíte de 138 testes automatizados, executada por inteiro a cada alteração; na última execução, todos passaram. Acima da quantidade está o critério de escolha do que testar: cada módulo responde por um erro específico, capaz de acontecer sem interromper a execução do sistema.</w:t>
      </w:r>
    </w:p>
    <w:p w14:paraId="3D9B71D0">
      <w:pPr>
        <w:pStyle w:val="3"/>
        <w:ind w:firstLine="0"/>
        <w:rPr>
          <w:color w:val="2E75B5"/>
        </w:rPr>
      </w:pPr>
      <w:r>
        <w:rPr>
          <w:rFonts w:ascii="Arial" w:hAnsi="Arial" w:eastAsia="Arial" w:cs="Arial"/>
          <w:b w:val="0"/>
        </w:rPr>
        <w:t>Em sistemas que aprendem a partir de dados, um erro de preparação quase nunca interrompe a execução. Ele produz, em silêncio, um modelo inválido que continua respondendo normalmente — risco já documentado como característico desses sistemas em produção (SCULLEY et al., 2015). Um deslocamento de um ano no casamento entre as características e o abandono, por exemplo, destruiria todo o valor preditivo sem gerar sintoma algum: o programa rodaria, o painel abriria e a lista sairia igualmente plausível. Por isso a suíte não foi dimensionada por cobertura de linhas de código, e sim por risco de invalidar o resultado.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6A9DC0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Três linhas do quadro concentram o essencial. O casamento no tempo garante que o sistema aprenda a prever o ano seguinte, e não a repetir o ano corrente. A separação entre treino e teste impede que escolas do mesmo município apareçam dos dois lados da avaliação, o que produziria um desempenho otimista e irreproduzível em uso. A consistência da explicação verifica se a soma das contribuições de uma escola reproduz a previsão exibida; sem essa igualdade, a justificativa mostrada ao gestor não descreveria a indicação que ele recebeu. Os testes constroem os próprios dados sintéticos e não dependem dos microdados do INEP, de modo que a verificação pode ser repetida em qualquer máquina.</w:t>
      </w:r>
    </w:p>
    <w:p w14:paraId="1106BD26">
      <w:pPr>
        <w:pStyle w:val="4"/>
        <w:numPr>
          <w:ilvl w:val="1"/>
          <w:numId w:val="1"/>
        </w:numPr>
      </w:pPr>
      <w:bookmarkStart w:id="42" w:name="_Toc23519"/>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5281"/>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organizados por escola e ano. Dessas escolas, 97,4% aparecem nos três anos, o que permite comparar a rede ao longo do tempo. A rede cobre 185 municípios, 86% das escolas ficam na zona urbana e a escola típica tem cerca de 350 matrículas de Ensino Médio.</w:t>
      </w:r>
    </w:p>
    <w:p w14:paraId="11911752">
      <w:pPr>
        <w:pStyle w:val="3"/>
        <w:ind w:firstLine="0"/>
        <w:rPr>
          <w:color w:val="2E75B5"/>
        </w:rPr>
      </w:pPr>
      <w:r>
        <w:rPr>
          <w:rFonts w:ascii="Arial" w:hAnsi="Arial" w:eastAsia="Arial" w:cs="Arial"/>
          <w:b w:val="0"/>
        </w:rPr>
        <w:t>Aplicada a regra de casamento no tempo, o conjunto usado na previsão tem 1.586 observações de escola e ano, de 801 escolas, com 39 características e nenhuma lacuna. A distância entre 2.392 e 1.586 é aberta linha a linha no Quadro 5 e na Figura 7, que mostram onde ficam as observações que não entram.</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68DF1405">
      <w:pPr>
        <w:pStyle w:val="3"/>
        <w:ind w:firstLine="0"/>
        <w:rPr>
          <w:color w:val="2E75B5"/>
        </w:rPr>
      </w:pPr>
      <w:r>
        <w:rPr>
          <w:rFonts w:ascii="Arial" w:hAnsi="Arial" w:eastAsia="Arial" w:cs="Arial"/>
          <w:b w:val="0"/>
        </w:rPr>
        <w:t>A diferença entre os dois totais não vem de descarte por qualidade — nenhuma escola foi removida por dado ausente ou suspeito. Ela é consequência aritmética da regra que define o problema. O sistema aprende com pares: as características da escola em um ano e o abandono observado no ano seguinte. Com três anos de painel, cada escola forma apenas dois pares — 2022 para 2023 e 2023 para 2024.</w:t>
      </w:r>
    </w:p>
    <w:p w14:paraId="39737DB6">
      <w:pPr>
        <w:pStyle w:val="3"/>
        <w:ind w:firstLine="0"/>
        <w:rPr>
          <w:color w:val="2E75B5"/>
        </w:rPr>
      </w:pPr>
      <w:r>
        <w:rPr>
          <w:rFonts w:ascii="Arial" w:hAnsi="Arial" w:eastAsia="Arial" w:cs="Arial"/>
          <w:b w:val="0"/>
        </w:rPr>
        <w:t>As 791 linhas de 2024 não servem de ponto de partida, porque não há 2025 a observar. Elas não se perdem: são o alvo das linhas de 2023. Descontadas, restam 1.601 pares possíveis. Desses, 15 não se completam porque a escola não aparece no ano seguinte, tendo saído da rede ou deixado de ofertar Ensino Médio. Chega-se assim às 1.586 observações de escola e ano usadas na previsão, de 801 escolas. Essa janela curta, de apenas dois pares de anos, reaparece adiante como a explicação mais provável para a principal limitação encontrada.</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Por que o conjunto usado na previsão tem 1.586 observações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288540"/>
            <wp:effectExtent l="0" t="0" r="381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577840" cy="2288665"/>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9C78634">
      <w:pPr>
        <w:pStyle w:val="5"/>
        <w:numPr>
          <w:ilvl w:val="2"/>
          <w:numId w:val="1"/>
        </w:numPr>
      </w:pPr>
      <w:bookmarkStart w:id="44" w:name="_Toc23927"/>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O INEP publica essa taxa, que indica o percentual de alunos matriculados que deixaram a escola durante o ano. Uma escola com 400 alunos e taxa de 5% perdeu 20 estudantes no período. Prever a taxa, e não um rótulo de “em risco” ou “fora de risco”, é uma decisão com consequência prática. Como a saída é um número contínuo, o ponto de corte da lista pode ser definido depois, pelo gestor, conforme a capacidade de atendimento de cada ano. Um rótulo fixaria essa decisão dentro do modelo, fora do alcance do gestor.</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ou seja, a maioria das escolas não registra abandono no ano. A segunda: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há escolas sem abandono algum ao lado de escolas com taxas acima de 30%.</w:t>
      </w:r>
    </w:p>
    <w:p w14:paraId="19559515">
      <w:pPr>
        <w:pStyle w:val="3"/>
        <w:ind w:firstLine="0"/>
        <w:rPr>
          <w:color w:val="2E75B5"/>
        </w:rPr>
      </w:pPr>
      <w:r>
        <w:rPr>
          <w:rFonts w:ascii="Arial" w:hAnsi="Arial" w:eastAsia="Arial" w:cs="Arial"/>
          <w:b w:val="0"/>
        </w:rPr>
        <w:t>A Figura 8 resume esses dois traços. O painel da esquerda distribui as observações de escola e ano por faixa de abandono: a barra “nenhum abandono” concentra 68% dos casos e as faixas seguintes encolhem rápido, de modo que apenas 2% das observações passam de 10% de abandono. O painel da direita traz a taxa média de 2024 por grupo de localização. As barras urbana e rural ficam perto de zero; a das escolas indígenas e quilombolas se destaca, mais de dez vezes acima. Os dois traços explicam duas decisões do restante do capítulo: julgar o sistema pela ordem que ele produz, e não pelo valor que ele estima, e medir os erros por grupo de localização em vez de confiar em uma média única da rede.</w:t>
      </w:r>
    </w:p>
    <w:p w14:paraId="2304025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 taxa de abandono prevista e diferença de risco entre grupos de escolas</w:t>
      </w:r>
    </w:p>
    <w:p w14:paraId="7859AEE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9745" cy="1981291"/>
                    </a:xfrm>
                    <a:prstGeom prst="rect">
                      <a:avLst/>
                    </a:prstGeom>
                  </pic:spPr>
                </pic:pic>
              </a:graphicData>
            </a:graphic>
          </wp:inline>
        </w:drawing>
      </w:r>
    </w:p>
    <w:p w14:paraId="6E15999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32655"/>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Dessa análise saem os critérios de corte aplicados na seleção e a régua para julgar se o que o modelo aprendeu faz sentido.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reúne os de licenciatura em área diferente, e o Grupo 5, os sem ensino superior. Apenas esses três entram no sistema, porque resumem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O desvio-padrão diz o quanto as escolas se afastam dele: quanto maior, mais desigual é a rede naquela característica. Mínimo, mediana e máximo descrevem a distribuição. A mediana divide a rede ao meio; quando fica bem abaixo da média, indica que poucas escolas com valores altos puxam o resultado para cima.</w:t>
      </w:r>
    </w:p>
    <w:p w14:paraId="4A3DBCAC">
      <w:pPr>
        <w:pStyle w:val="3"/>
        <w:ind w:firstLine="0"/>
        <w:rPr>
          <w:color w:val="2E75B5"/>
        </w:rPr>
      </w:pPr>
      <w:r>
        <w:rPr>
          <w:rFonts w:ascii="Arial" w:hAnsi="Arial" w:eastAsia="Arial" w:cs="Arial"/>
          <w:b w:val="0"/>
        </w:rPr>
        <w:t>A última coluna resume a relação de cada característica com o abandono do ano seguinte pela correlação de Spearman, que varia de −1 a +1 e compara posições, e não valores. A escolha dessa medida decorre da forma do alvo: com 68% das observações em zero e as demais espalhadas até taxas muito altas, uma medida baseada nos valores seria dominada por uma dezena de escolas extremas. Positivo significa que a característica acompanha o aumento do abandono; negativo, que acompanha a redução. Quanto mais distante de zero, mais forte a associação. Os asteriscos indicam a confiança do resultado (* 95%, ** 99%, *** 99,9%); sem asterisco, a relação não se distingue do acaso.</w:t>
      </w:r>
    </w:p>
    <w:p w14:paraId="0B70ACFD">
      <w:pPr>
        <w:pStyle w:val="3"/>
        <w:ind w:firstLine="0"/>
        <w:rPr>
          <w:rFonts w:ascii="Arial" w:hAnsi="Arial" w:eastAsia="Arial" w:cs="Arial"/>
          <w:b w:val="0"/>
        </w:rPr>
      </w:pPr>
      <w:r>
        <w:rPr>
          <w:rFonts w:ascii="Arial" w:hAnsi="Arial" w:eastAsia="Arial" w:cs="Arial"/>
          <w:b w:val="0"/>
        </w:rPr>
        <w:t>As unidades variam conforme a linha: taxas e proporções estão em pontos percentuais, e as demais seguem as escalas descritas acima. O porte é a única característica transformada: entra como logaritmo do número de matrículas, porque a rede vai de escolas com poucas dezenas de alunos a escolas com mais de mil, e sem a transformação a comparação passaria a ser dominada pelas maiores. Por isso a mediana de 5,87 corresponde a cerca de 350 matrículas.</w:t>
      </w:r>
    </w:p>
    <w:p w14:paraId="08C5C0A5">
      <w:pPr>
        <w:pStyle w:val="3"/>
        <w:ind w:firstLine="0"/>
        <w:rPr>
          <w:rFonts w:ascii="Arial" w:hAnsi="Arial" w:eastAsia="Arial" w:cs="Arial"/>
          <w:b w:val="0"/>
        </w:rPr>
      </w:pPr>
    </w:p>
    <w:p w14:paraId="586AF979">
      <w:pPr>
        <w:pStyle w:val="3"/>
        <w:ind w:firstLine="0"/>
        <w:rPr>
          <w:rFonts w:ascii="Arial" w:hAnsi="Arial" w:eastAsia="Arial" w:cs="Arial"/>
          <w:b w:val="0"/>
        </w:rPr>
      </w:pP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reúnem a 1ª, 2ª e 3ª séries, a 4ª série e a matrícula não seriada (educação de jovens e adultos e organização modular). Por isso o valor da rede pode superar o máximo observado em qualquer série isolada: o máximo de 55,3% na reprovação vem de uma escola cuja matrícula de Ensino Médio é toda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rFonts w:ascii="Arial" w:hAnsi="Arial" w:eastAsia="Arial" w:cs="Arial"/>
          <w:b w:val="0"/>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quase como um sim ou não, com a rede dividida entre escolas totalmente integrais e escolas sem nenhuma matrícula nessa modalidade, e pouca coisa no meio. Já a defasagem idade-série distribui-se de maneira equilibrada, em torno de 23%, o que a torna especialmente útil para diferenciar escolas — e ajuda a explicar por que ela aparecerá entre as características de maior peso nas previsões. A Figura 9 reúne a distribuição das 23 características em um único painel.</w:t>
      </w:r>
    </w:p>
    <w:p w14:paraId="465BC492">
      <w:pPr>
        <w:pStyle w:val="3"/>
        <w:ind w:firstLine="0"/>
        <w:rPr>
          <w:rFonts w:ascii="Arial" w:hAnsi="Arial" w:eastAsia="Arial" w:cs="Arial"/>
          <w:b w:val="0"/>
        </w:rPr>
      </w:pPr>
    </w:p>
    <w:p w14:paraId="6B28F62D">
      <w:pPr>
        <w:pStyle w:val="3"/>
        <w:ind w:firstLine="0"/>
        <w:rPr>
          <w:rFonts w:ascii="Arial" w:hAnsi="Arial" w:eastAsia="Arial" w:cs="Arial"/>
          <w:b w:val="0"/>
        </w:rPr>
      </w:pPr>
    </w:p>
    <w:p w14:paraId="1F3823EB">
      <w:pPr>
        <w:pStyle w:val="3"/>
        <w:ind w:firstLine="0"/>
        <w:rPr>
          <w:rFonts w:ascii="Arial" w:hAnsi="Arial" w:eastAsia="Arial" w:cs="Arial"/>
          <w:b w:val="0"/>
        </w:rPr>
      </w:pPr>
    </w:p>
    <w:p w14:paraId="039259FA">
      <w:pPr>
        <w:pStyle w:val="3"/>
        <w:ind w:firstLine="0"/>
        <w:rPr>
          <w:rFonts w:ascii="Arial" w:hAnsi="Arial" w:eastAsia="Arial" w:cs="Arial"/>
          <w:b w:val="0"/>
        </w:rPr>
      </w:pPr>
    </w:p>
    <w:p w14:paraId="64409A15">
      <w:pPr>
        <w:pStyle w:val="3"/>
        <w:ind w:firstLine="0"/>
        <w:rPr>
          <w:rFonts w:ascii="Arial" w:hAnsi="Arial" w:eastAsia="Arial" w:cs="Arial"/>
          <w:b w:val="0"/>
        </w:rPr>
      </w:pPr>
    </w:p>
    <w:p w14:paraId="1F93777C">
      <w:pPr>
        <w:pStyle w:val="3"/>
        <w:ind w:firstLine="0"/>
        <w:rPr>
          <w:rFonts w:ascii="Arial" w:hAnsi="Arial" w:eastAsia="Arial" w:cs="Arial"/>
          <w:b w:val="0"/>
        </w:rPr>
      </w:pPr>
    </w:p>
    <w:p w14:paraId="6F576AAA">
      <w:pPr>
        <w:pStyle w:val="3"/>
        <w:ind w:firstLine="0"/>
        <w:rPr>
          <w:rFonts w:ascii="Arial" w:hAnsi="Arial" w:eastAsia="Arial" w:cs="Arial"/>
          <w:b w:val="0"/>
        </w:rPr>
      </w:pPr>
    </w:p>
    <w:p w14:paraId="4EAAAC2A">
      <w:pPr>
        <w:pStyle w:val="3"/>
        <w:ind w:firstLine="0"/>
        <w:rPr>
          <w:rFonts w:ascii="Arial" w:hAnsi="Arial" w:eastAsia="Arial" w:cs="Arial"/>
          <w:b w:val="0"/>
        </w:rPr>
      </w:pPr>
    </w:p>
    <w:p w14:paraId="4A9F300F">
      <w:pPr>
        <w:pStyle w:val="3"/>
        <w:ind w:firstLine="0"/>
        <w:rPr>
          <w:rFonts w:ascii="Arial" w:hAnsi="Arial" w:eastAsia="Arial" w:cs="Arial"/>
          <w:b w:val="0"/>
        </w:rPr>
      </w:pPr>
    </w:p>
    <w:p w14:paraId="1EBF07A8">
      <w:pPr>
        <w:pStyle w:val="3"/>
        <w:ind w:firstLine="0"/>
        <w:rPr>
          <w:rFonts w:ascii="Arial" w:hAnsi="Arial" w:eastAsia="Arial" w:cs="Arial"/>
          <w:b w:val="0"/>
        </w:rPr>
      </w:pP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1270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5002"/>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só assumem dois valores, o que dispensa a correlação de posição; a comparação adequada é outra: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As duas primeiras colunas repartem as 1.586 observações entre as escolas que têm o atributo e as que não têm; somadas, dão o total da rede.</w:t>
      </w:r>
    </w:p>
    <w:p w14:paraId="2B50F309">
      <w:pPr>
        <w:pStyle w:val="3"/>
        <w:ind w:firstLine="0"/>
        <w:rPr>
          <w:color w:val="2E75B5"/>
        </w:rPr>
      </w:pPr>
      <w:r>
        <w:rPr>
          <w:rFonts w:ascii="Arial" w:hAnsi="Arial" w:eastAsia="Arial" w:cs="Arial"/>
          <w:b w:val="0"/>
        </w:rPr>
        <w:t>As duas colunas seguintes são de outra natureza: cada uma traz a taxa média de abandono no ano seguinte dentro de um desses grupos. São duas médias do mesmo indicador, medidas em conjuntos diferentes de escolas, e não há razão para que somem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se distinguem do acaso e não devem ser lidas como efeito do atributo; é também por isso que essas características aparecem entre as de menor valor para a previsão. A Figura 10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26531"/>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É por isso que a região se mantém entre as características do sistema. O município, por outro lado, não entra: ele cumpre outro papel, o de agrupar as escolas na avaliação para que nenhuma cidade apareça ao mesmo tempo no treino e no teste. Usá-lo também como característica levaria o sistema a decorar o histórico de cada cidade em vez de aprender o padrão que vale para as demais. O Quadro 8 e a Figura 11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42"/>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Primeiro, a análise individual só enxerga a característica isolada, e uma característica sem relação isolada ainda pode ser útil em combinação com as demais. Segundo, o conjunto já é enxuto o bastante — 39 colunas para 1.586 observações — para que o custo de mantê-las seja pequeno diante do risco de descartar sinal por engano. Na prática, o próprio sistema lhes atribui pouco peso. A Figura 12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Depois vem o perfil dos alunos, com a defasagem idade-série e o nível socioeconômico. Por último, o contexto: localização diferenciada, zona rural e região do estado. A infraestrutura tem efeito real, porém modesto. Já o porte da escola, isoladamente, não guarda relação detectável com o abandono. Essa hierarquia antecipa o que o modelo fará com os dados e serve de verificação: se as características que o sistema mais usar forem outras, é sinal de que algo está errado no caminho entre os dados e o modelo.</w:t>
      </w:r>
    </w:p>
    <w:p w14:paraId="1648CD21">
      <w:pPr>
        <w:pStyle w:val="3"/>
        <w:ind w:firstLine="0"/>
        <w:rPr>
          <w:color w:val="2E75B5"/>
        </w:rPr>
      </w:pPr>
      <w:r>
        <w:rPr>
          <w:rFonts w:ascii="Arial" w:hAnsi="Arial" w:eastAsia="Arial" w:cs="Arial"/>
          <w:b w:val="0"/>
        </w:rPr>
        <w:t>Dois indicadores adicionais do INEP, o esforço docente e a complexidade de gestão, passaram pelo mesmo critério e não entraram no sistema. O esforço docente tem relação fraca com o abandono. A complexidade de gestão repete a informação já trazida pela defasagem idade-série. Os dois foram submetidos a uma comparação controlada, com e sem eles, sob o mesmo protocolo de validação. O acerto da ordenação passou de 0,453 para 0,455 e o acerto da lista prioritária, de 0,519 para 0,525. As duas diferenças são muito menores que a variação entre repetições do próprio experimento, de cerca de 0,068, e o erro médio ficou praticamente igual: 2,858 contra 2,861 pontos percentuais.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Duas constatações o determinam: a maior parte das escolas não registra abandono algum, e o pouco que existe está concentrado em um grupo pequeno. O que se exige do sistema, portanto, é colocar no topo da lista as escolas que de fato terão abandono alto. Por isso a avaliação a seguir julga sobretudo a ordem prevista, e não o valor exato da taxa.</w:t>
      </w:r>
    </w:p>
    <w:p w14:paraId="3F71063F">
      <w:pPr>
        <w:pStyle w:val="4"/>
        <w:numPr>
          <w:ilvl w:val="1"/>
          <w:numId w:val="1"/>
        </w:numPr>
      </w:pPr>
      <w:bookmarkStart w:id="49" w:name="_Toc26166"/>
      <w:r>
        <w:rPr>
          <w:rFonts w:ascii="Arial" w:hAnsi="Arial" w:eastAsia="Arial" w:cs="Arial"/>
          <w:b w:val="0"/>
        </w:rPr>
        <w:t>Desempenho do Sistema</w:t>
      </w:r>
      <w:bookmarkEnd w:id="49"/>
    </w:p>
    <w:p w14:paraId="4805032B">
      <w:pPr>
        <w:pStyle w:val="5"/>
        <w:numPr>
          <w:ilvl w:val="2"/>
          <w:numId w:val="1"/>
        </w:numPr>
      </w:pPr>
      <w:bookmarkStart w:id="50" w:name="_Toc20785"/>
      <w:r>
        <w:rPr>
          <w:rFonts w:ascii="Arial" w:hAnsi="Arial" w:eastAsia="Arial" w:cs="Arial"/>
          <w:b w:val="0"/>
        </w:rPr>
        <w:t>Como o Desempenho Foi Medido</w:t>
      </w:r>
      <w:bookmarkEnd w:id="50"/>
    </w:p>
    <w:p w14:paraId="6A85240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o que esta seção responde, primeiro em números agregados e, na subseção final, caso a caso, com escolas reais.</w:t>
      </w:r>
    </w:p>
    <w:p w14:paraId="22E30C10">
      <w:pPr>
        <w:pStyle w:val="3"/>
        <w:ind w:firstLine="0"/>
        <w:rPr>
          <w:color w:val="2E75B5"/>
        </w:rPr>
      </w:pPr>
      <w:r>
        <w:rPr>
          <w:rFonts w:ascii="Arial" w:hAnsi="Arial" w:eastAsia="Arial" w:cs="Arial"/>
          <w:b w:val="0"/>
        </w:rPr>
        <w:t>O desempenho foi medido de duas formas complementares. A primeira repete vinte vezes uma divisão em que 20% dos municípios ficam de fora do treino, e serve para saber quanto o resultado varia conforme a amostra. O agrupamento por município tem razão de ser: escolas da mesma cidade partilham gestão, público e contexto econômico. Deixá-las dos dois lados da divisão faria o sistema reencontrar no teste um contexto que já viu no treino, produzindo um desempenho otimista que não se repetiria em uso. Repetir a divisão vinte vezes, com sorteios diferentes, substitui um número solitário por uma faixa de confiança e revela quanto do resultado depende de quais municípios caíram no teste.</w:t>
      </w:r>
    </w:p>
    <w:p w14:paraId="24B20330">
      <w:pPr>
        <w:pStyle w:val="3"/>
        <w:ind w:firstLine="0"/>
        <w:rPr>
          <w:color w:val="2E75B5"/>
        </w:rPr>
      </w:pPr>
      <w:r>
        <w:rPr>
          <w:rFonts w:ascii="Arial" w:hAnsi="Arial" w:eastAsia="Arial" w:cs="Arial"/>
          <w:b w:val="0"/>
        </w:rPr>
        <w:t>A segunda forma é mais exigente e simula o uso real: o sistema aprende com o par 2022–2023 e é avaliado no par 2023–2024, um ano que nunca viu. Ela reproduz a situação real do gestor: pedir a lista de um ano que ainda não aconteceu. Sempre que os dois protocolos divergirem, é dela que vem a estimativa honesta de desempenho. As duas seguem a recomendação de que dados com estrutura espacial ou temporal exigem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O acerto na lista prioritária (Precision@K) diz, entre as 10% de escolas apontadas como mais críticas, quantas realmente estavam entre as 10% de maior abandono.</w:t>
      </w:r>
    </w:p>
    <w:p w14:paraId="49BBD122">
      <w:pPr>
        <w:pStyle w:val="3"/>
        <w:ind w:firstLine="0"/>
        <w:rPr>
          <w:color w:val="2E75B5"/>
        </w:rPr>
      </w:pPr>
      <w:r>
        <w:rPr>
          <w:rFonts w:ascii="Arial" w:hAnsi="Arial" w:eastAsia="Arial" w:cs="Arial"/>
          <w:b w:val="0"/>
        </w:rPr>
        <w:t>As duas últimas são as que importam para o propósito do sistema: a Secretaria não pergunta quanto cada escola abandonará, e sim quais escolas atender primeiro. O tamanho da lista foi fixado em 10% da rede, cerca de 79 escolas no ano de teste, por duas razões. É a ordem de grandeza de um programa de intervenção com equipes limitadas, e coincide com o décimo mais alto de abandono, faixa que concentrou 76% dos alunos que deixaram a escola em 2024. O erro de magnitude continua sendo reportado, embora não seja o critério, porque delimita o que o sistema não autoriza: ler a taxa prevista como estimativa do número de alunos que sairão de uma escola.</w:t>
      </w:r>
    </w:p>
    <w:p w14:paraId="242E4030">
      <w:pPr>
        <w:pStyle w:val="5"/>
        <w:numPr>
          <w:ilvl w:val="2"/>
          <w:numId w:val="1"/>
        </w:numPr>
      </w:pPr>
      <w:bookmarkStart w:id="51" w:name="_Toc29911"/>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sob a primeira forma de medição, com a faixa de confiança obtida nas 20 repetições. O piso trivial responde sempre a média da rede e mede o que se consegue sem sistema algum; os dois modelos de referência, um linear e um em árvores, medem o que se consegue com soluções mais simples que a adotada; a última linha é o modelo adotado. Sem as três primeiras, o resultado da quarta não teria como ser julgado.</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 2,597 pontos percentuais no modelo adotado, contra 3,154 do palpite pela média da rede. Ou seja, o sistema continua errando o valor exato da taxa, e o ganho nessa dimensão é modesto.</w:t>
      </w:r>
    </w:p>
    <w:p w14:paraId="7E814748">
      <w:pPr>
        <w:pStyle w:val="3"/>
        <w:ind w:firstLine="0"/>
        <w:rPr>
          <w:color w:val="2E75B5"/>
        </w:rPr>
      </w:pPr>
      <w:r>
        <w:rPr>
          <w:rFonts w:ascii="Arial" w:hAnsi="Arial" w:eastAsia="Arial" w:cs="Arial"/>
          <w:b w:val="0"/>
        </w:rPr>
        <w:t>Já a ordenação e o acerto da lista prioritária melhoram muito em relação à média da rede. Das escolas que o modelo adotado aponta como prioritárias, cerca de metade estava de fato entre as mais críticas (0,504), contra 7 em cada 100 na escolha ao acaso (0,068), sete vezes mais. Entre os três modelos, porém, não há vencedor. Na ordenação o modelo adotado fica ligeiramente atrás dos dois de referência (0,416 contra 0,428 e 0,431); no acerto da lista fica no meio (0,504 contra 0,513 e 0,501). Os intervalos de confiança se sobrepõem em todas as medidas. O empate é um resultado, não uma imprecisão, e pesa na justificativa da escolha do modelo. A Figura 13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042160"/>
            <wp:effectExtent l="0" t="0" r="381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577840" cy="204244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29394"/>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a segunda forma de medição, em que o modelo aprende com os pares de 2022 e 2023 e é avaliado num ano que nunca viu. Acrescenta-se aqui uma quarta medida, a separação entre escolas críticas e não críticas, para permitir a comparação com a literatura da área, que costuma tratar evasão como problema de classificação.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 ele é desfavorável ao sistema na medida de magnitude. Nenhum modelo superou o piso trivial no erro de magnitude: o modelo adotado erra a taxa de cada escola em 2,874 pontos percentuais, em média, contra 2,540 de quem simplesmente repete a média da rede para todas as escolas. O coeficiente de determinação do modelo adotado é negativo (−0,33), o que diz a mesma coisa em outra escala: para acertar o valor, responder a média da rede seria melhor.</w:t>
      </w:r>
    </w:p>
    <w:p w14:paraId="58AD83E2">
      <w:pPr>
        <w:pStyle w:val="3"/>
        <w:ind w:firstLine="0"/>
        <w:rPr>
          <w:color w:val="2E75B5"/>
        </w:rPr>
      </w:pPr>
      <w:r>
        <w:rPr>
          <w:rFonts w:ascii="Arial" w:hAnsi="Arial" w:eastAsia="Arial" w:cs="Arial"/>
          <w:b w:val="0"/>
        </w:rPr>
        <w:t>As medidas de ordenação, porém, permanecem muito acima do piso. É nelas que está a utilidade do sistema. O modelo adotado ordena as escolas com acerto de 0,348 e monta uma lista prioritária com 0,418 de acerto. Em números absolutos: das 79 escolas que ele coloca no topo da lista (10% da rede do ano de teste), 33 estavam de fato entre as de maior abandono; a escolha ao acaso acertaria 7 — um ganho de quase cinco vezes. A Figura 14 põe as duas leituras lado a lado.</w:t>
      </w:r>
    </w:p>
    <w:p w14:paraId="5712464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Erro do valor e acerto da ordem no teste do ano nunca visto</w:t>
      </w:r>
    </w:p>
    <w:p w14:paraId="40E9B4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172970"/>
            <wp:effectExtent l="0" t="0" r="381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77840" cy="2173323"/>
                    </a:xfrm>
                    <a:prstGeom prst="rect">
                      <a:avLst/>
                    </a:prstGeom>
                  </pic:spPr>
                </pic:pic>
              </a:graphicData>
            </a:graphic>
          </wp:inline>
        </w:drawing>
      </w:r>
    </w:p>
    <w:p w14:paraId="1B0BC48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A causa da descalibração é conhecida. Entre um ciclo e outro o abandono médio da coorte caiu de 1,36% para 0,88%, e o modelo, treinado no patamar anterior, prevê um nível que a rede deixou de ter: ele acerta quem está acima da média, e erra onde a média está. Com apenas dois pares de anos, não há como o sistema aprender que o patamar se move — a limitação vem da janela curta de dados e está registrada entre as limitações do estudo. Para priorizar intervenções, no entanto, é a ordem que importa, e ela se mantém.</w:t>
      </w:r>
    </w:p>
    <w:p w14:paraId="068320C4">
      <w:pPr>
        <w:pStyle w:val="3"/>
        <w:ind w:firstLine="0"/>
        <w:rPr>
          <w:color w:val="2E75B5"/>
        </w:rPr>
      </w:pPr>
      <w:r>
        <w:rPr>
          <w:rFonts w:ascii="Arial" w:hAnsi="Arial" w:eastAsia="Arial" w:cs="Arial"/>
          <w:b w:val="0"/>
        </w:rPr>
        <w:t>A última coluna traduz o mesmo resultado numa medida comparável à da literatura. São tratadas como críticas as escolas do décimo mais alto de abandono observado, e a taxa prevista serve de escore de risco. A capacidade de separar as críticas das demais chega a 0,798 no modelo adotado, numa escala em que 0,5 é o acaso — dentro da faixa típica dos estudos da área.</w:t>
      </w:r>
    </w:p>
    <w:p w14:paraId="6F1254E4">
      <w:pPr>
        <w:pStyle w:val="3"/>
        <w:ind w:firstLine="0"/>
        <w:rPr>
          <w:color w:val="2E75B5"/>
        </w:rPr>
      </w:pPr>
      <w:r>
        <w:t>Entre modelos tão próximos, o XGBoost foi mantido como modelo adotado por três razões. A escolha não é imposta pelos números: os intervalos de confiança se sobrepõem, e o modelo de referência em árvores empata ou supera o adotado em vários pontos, inclusive no erro de magnitude nos dois protocolos e na ordenação da validação repetida.</w:t>
      </w:r>
    </w:p>
    <w:p w14:paraId="230538C3">
      <w:pPr>
        <w:pStyle w:val="3"/>
        <w:ind w:firstLine="0"/>
        <w:rPr>
          <w:color w:val="2E75B5"/>
        </w:rPr>
      </w:pPr>
      <w:r>
        <w:rPr>
          <w:rFonts w:ascii="Arial" w:hAnsi="Arial" w:eastAsia="Arial" w:cs="Arial"/>
          <w:b w:val="0"/>
        </w:rPr>
        <w:t>A primeira razão tem a ver com o propósito do sistema. Como o objetivo é priorizar, isto é, ordenar as escolas por risco, as medidas que respondem a esse objetivo são a ordenação e o acerto da lista prioritária. O protocolo que reproduz o uso real é o teste do ano nunca visto. Nesse cruzamento — as medidas que importam, no cenário que importa — o modelo adotado é o primeiro colocado, com 0,348 e 0,418. A vantagem do modelo de referência em árvores está no erro de magnitude (2,751 contra 2,874) e na separação entre críticas e não críticas (0,829 contra 0,798), dimensões menos centrais para a decisão de onde intervir primeiro.</w:t>
      </w:r>
    </w:p>
    <w:p w14:paraId="4D2072A9">
      <w:pPr>
        <w:pStyle w:val="3"/>
        <w:ind w:firstLine="0"/>
        <w:rPr>
          <w:color w:val="2E75B5"/>
        </w:rPr>
      </w:pPr>
      <w:r>
        <w:rPr>
          <w:rFonts w:ascii="Arial" w:hAnsi="Arial" w:eastAsia="Arial" w:cs="Arial"/>
          <w:b w:val="0"/>
        </w:rPr>
        <w:t>A segunda razão é de engenharia. Toda a camada de explicação apresentada na seção seguinte foi construída e validada sobre o modelo adotado: o peso das características, a direção dos efeitos, a justificativa individual de cada escola e a ressalva de equidade exibida no painel, com a consistência da decomposição travada por teste automatizado. Trocá-lo exigiria refazer e revalidar essa camada inteira em troca de um ganho que os intervalos de confiança não confirmam. A terceira razão é o próprio empate: como as diferenças ficam dentro da margem de incerteza, manter o modelo adotado não representa perda de desempenho relevante em nenhuma medida. Se o objetivo fosse estimar quantos alunos cada escola perderá, e não em que ordem atendê-las, a escolha seria o modelo de referência em árvores — e mesmo ele não superaria o piso trivial.</w:t>
      </w:r>
    </w:p>
    <w:p w14:paraId="24977E46">
      <w:pPr>
        <w:pStyle w:val="5"/>
        <w:numPr>
          <w:ilvl w:val="2"/>
          <w:numId w:val="1"/>
        </w:numPr>
      </w:pPr>
      <w:bookmarkStart w:id="53" w:name="_Toc14856"/>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Um sistema que funcionasse bem em um par de anos e mal no seguinte não serviria como ferramenta anual, e os dois protocolos anteriores agregam as duas transições disponíveis em um número só. 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Para julgar esses números é preciso uma régua dupla, porque as duas medidas de ordenação têm pisos diferentes. Uma escolha ao acaso acertaria cerca de 10% da lista prioritária; repetir a média da rede não ordenaria escola alguma e ficaria sem valor de ordenação. É contra esses pisos, e não contra o zero, que os valores do quadro devem ser lidos.</w:t>
      </w:r>
    </w:p>
    <w:p w14:paraId="153CB717">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Isso reduz o erro absoluto, como mostra a linha do erro médio, e ao mesmo tempo comprime o sinal que permite ordená-las. A consequência prática é que o desempenho da lista precisa ser reavaliado a cada edição dos dados, e não presumido constante.</w:t>
      </w:r>
    </w:p>
    <w:p w14:paraId="02697E83">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Mesmo no cenário mais difícil, a capacidade de separar as escolas de alto risco das demais permanece alta: 0,81 numa escala em que 0,5 é o acaso. Os dois cenários cercam os valores do Quadro 9, que avalia as duas transições agregadas, sinal de que a decomposição é coerente com o desempenho global e de que o resultado agregado não esconde um ano ruim. A Figura 15 apresenta os dois cenários lado a lado.</w:t>
      </w:r>
    </w:p>
    <w:p w14:paraId="06ABB063">
      <w:pPr>
        <w:pStyle w:val="3"/>
        <w:ind w:firstLine="0"/>
        <w:rPr>
          <w:color w:val="2E75B5"/>
        </w:rPr>
      </w:pPr>
      <w:r>
        <w:rPr>
          <w:rFonts w:ascii="Arial" w:hAnsi="Arial"/>
          <w:sz w:val="22"/>
        </w:rPr>
        <w:t>Figura 15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o que aproxima o erro do sistema da unidade em que o gestor pensa. Basta multiplicar a taxa de abandono de cada escola pela matrícula do Ensino Médio no ano em que o abandono é medido. O resíduo passa então a exprimir quantos alunos o sistema errou, para mais ou para menos, em cada escola. A Figura 16 apresenta esse resíduo, escola a escola, nas duas transições. Em ambas, a maioria das escolas se concentra em torno de zero, sem tendência sistemática de superestimar ou subestimar. O erro médio é de cerca de três alunos por escola: 3,3 na transição de 2022 para 2023 e 3,0 na de 2023 para 2024. Os maiores desvios estão nas poucas escolas de maior porte, com dezenas de evasões.</w:t>
      </w:r>
    </w:p>
    <w:p w14:paraId="23069A4F">
      <w:pPr>
        <w:pStyle w:val="3"/>
        <w:ind w:firstLine="0"/>
        <w:rPr>
          <w:color w:val="2E75B5"/>
        </w:rPr>
      </w:pPr>
      <w:r>
        <w:rPr>
          <w:rFonts w:ascii="Arial" w:hAnsi="Arial"/>
          <w:sz w:val="22"/>
        </w:rPr>
        <w:t>Figura 16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483EDCBC">
      <w:pPr>
        <w:pStyle w:val="5"/>
        <w:numPr>
          <w:ilvl w:val="2"/>
          <w:numId w:val="1"/>
        </w:numPr>
        <w:rPr>
          <w:color w:val="000000" w:themeColor="text1"/>
          <w:highlight w:val="none"/>
          <w14:textFill>
            <w14:solidFill>
              <w14:schemeClr w14:val="tx1"/>
            </w14:solidFill>
          </w14:textFill>
        </w:rPr>
      </w:pPr>
      <w:bookmarkStart w:id="54" w:name="_Toc27943"/>
      <w:r>
        <w:rPr>
          <w:rFonts w:ascii="Arial" w:hAnsi="Arial"/>
          <w:color w:val="000000" w:themeColor="text1"/>
          <w:highlight w:val="none"/>
          <w14:textFill>
            <w14:solidFill>
              <w14:schemeClr w14:val="tx1"/>
            </w14:solidFill>
          </w14:textFill>
        </w:rPr>
        <w:t>O Que Esses Números Significam em Seis Escolas</w:t>
      </w:r>
      <w:bookmarkEnd w:id="54"/>
    </w:p>
    <w:p w14:paraId="1D1F6293">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Os quadros anteriores resumem centenas de escolas em poucos números; este mostra o que eles significam caso a caso. O Quadro 12 traz seis escolas reais do teste do ano nunca visto — o modelo treinado com os pares de 2022 e 2023, prevendo 2024 sem conhecê-lo. Para cada uma aparecem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14:paraId="309EC1CC">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4078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2A096A5">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Escola (município)</w:t>
            </w:r>
          </w:p>
        </w:tc>
        <w:tc>
          <w:tcPr>
            <w:tcW w:w="1900" w:type="dxa"/>
          </w:tcPr>
          <w:p w14:paraId="75307C4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Abandono observado em 2024</w:t>
            </w:r>
          </w:p>
        </w:tc>
        <w:tc>
          <w:tcPr>
            <w:tcW w:w="1800" w:type="dxa"/>
          </w:tcPr>
          <w:p w14:paraId="175829D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Previsto pelo modelo</w:t>
            </w:r>
          </w:p>
        </w:tc>
        <w:tc>
          <w:tcPr>
            <w:tcW w:w="1760" w:type="dxa"/>
          </w:tcPr>
          <w:p w14:paraId="0155F431">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Posição na lista</w:t>
            </w:r>
          </w:p>
        </w:tc>
      </w:tr>
      <w:tr w14:paraId="4C7E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7243B0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Sagrada Família (Carnaubeira da Penha)</w:t>
            </w:r>
          </w:p>
        </w:tc>
        <w:tc>
          <w:tcPr>
            <w:tcW w:w="1900" w:type="dxa"/>
          </w:tcPr>
          <w:p w14:paraId="5657FC2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16,7%</w:t>
            </w:r>
          </w:p>
        </w:tc>
        <w:tc>
          <w:tcPr>
            <w:tcW w:w="1800" w:type="dxa"/>
          </w:tcPr>
          <w:p w14:paraId="5D0FE19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16,4%</w:t>
            </w:r>
          </w:p>
        </w:tc>
        <w:tc>
          <w:tcPr>
            <w:tcW w:w="1760" w:type="dxa"/>
          </w:tcPr>
          <w:p w14:paraId="723C90E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9ª</w:t>
            </w:r>
          </w:p>
        </w:tc>
      </w:tr>
      <w:tr w14:paraId="501C6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37E95F8">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Ororuba (Pesqueira)</w:t>
            </w:r>
          </w:p>
        </w:tc>
        <w:tc>
          <w:tcPr>
            <w:tcW w:w="1900" w:type="dxa"/>
          </w:tcPr>
          <w:p w14:paraId="1D0C1E9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28,1%</w:t>
            </w:r>
          </w:p>
        </w:tc>
        <w:tc>
          <w:tcPr>
            <w:tcW w:w="1800" w:type="dxa"/>
          </w:tcPr>
          <w:p w14:paraId="1407DB9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19,9%</w:t>
            </w:r>
          </w:p>
        </w:tc>
        <w:tc>
          <w:tcPr>
            <w:tcW w:w="1760" w:type="dxa"/>
          </w:tcPr>
          <w:p w14:paraId="4B14B5D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3ª</w:t>
            </w:r>
          </w:p>
        </w:tc>
      </w:tr>
      <w:tr w14:paraId="5D9C8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45B7C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EREM Santos Dumont (Recife)</w:t>
            </w:r>
          </w:p>
        </w:tc>
        <w:tc>
          <w:tcPr>
            <w:tcW w:w="1900" w:type="dxa"/>
          </w:tcPr>
          <w:p w14:paraId="76A55FF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436C90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0,2%</w:t>
            </w:r>
          </w:p>
        </w:tc>
        <w:tc>
          <w:tcPr>
            <w:tcW w:w="1760" w:type="dxa"/>
          </w:tcPr>
          <w:p w14:paraId="622CFAE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579ª</w:t>
            </w:r>
          </w:p>
        </w:tc>
      </w:tr>
      <w:tr w14:paraId="7DCA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978295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Antônio Vieira de Barros (Salgueiro)</w:t>
            </w:r>
          </w:p>
        </w:tc>
        <w:tc>
          <w:tcPr>
            <w:tcW w:w="1900" w:type="dxa"/>
          </w:tcPr>
          <w:p w14:paraId="65BFDF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0CC1DB8D">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1,3%</w:t>
            </w:r>
          </w:p>
        </w:tc>
        <w:tc>
          <w:tcPr>
            <w:tcW w:w="1760" w:type="dxa"/>
          </w:tcPr>
          <w:p w14:paraId="79186A6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101ª</w:t>
            </w:r>
          </w:p>
        </w:tc>
      </w:tr>
      <w:tr w14:paraId="3040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52EFD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Indígena José Luciano (Jatobá)</w:t>
            </w:r>
          </w:p>
        </w:tc>
        <w:tc>
          <w:tcPr>
            <w:tcW w:w="1900" w:type="dxa"/>
          </w:tcPr>
          <w:p w14:paraId="0D279A7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6B8FAB6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19,0%</w:t>
            </w:r>
          </w:p>
        </w:tc>
        <w:tc>
          <w:tcPr>
            <w:tcW w:w="1760" w:type="dxa"/>
          </w:tcPr>
          <w:p w14:paraId="399CBFD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6ª</w:t>
            </w:r>
          </w:p>
        </w:tc>
      </w:tr>
      <w:tr w14:paraId="67CA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C55102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EREF Coronel Othon (Recife)</w:t>
            </w:r>
          </w:p>
        </w:tc>
        <w:tc>
          <w:tcPr>
            <w:tcW w:w="1900" w:type="dxa"/>
          </w:tcPr>
          <w:p w14:paraId="5F087552">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23,7%</w:t>
            </w:r>
          </w:p>
        </w:tc>
        <w:tc>
          <w:tcPr>
            <w:tcW w:w="1800" w:type="dxa"/>
          </w:tcPr>
          <w:p w14:paraId="5E2B9966">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760" w:type="dxa"/>
          </w:tcPr>
          <w:p w14:paraId="7E00031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789ª (última)</w:t>
            </w:r>
          </w:p>
        </w:tc>
      </w:tr>
    </w:tbl>
    <w:p w14:paraId="49325597">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Fonte: elaborado pelo autor.</w:t>
      </w:r>
    </w:p>
    <w:p w14:paraId="1146BF5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14:paraId="61E8A1DB">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quadro exibe os três comportamentos que os números agregados resumem.</w:t>
      </w:r>
    </w:p>
    <w:p w14:paraId="627854B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primeiro é o caso típico, que o modelo acerta com folga. Dois terços da rede, 531 escolas, não registraram abandono em 2024, e para 92% delas a previsão ficou abaixo de 1%. A Santos Dumont e a Antônio Vieira de Barros são exemplos dos dois lados dessa margem.</w:t>
      </w:r>
    </w:p>
    <w:p w14:paraId="7EB3669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segundo é a escola com histórico de abandono alto, em que estão os maiores acertos. Na Sagrada Família o modelo previu 16,4% para um abandono que foi de 16,7%. Na Ororuba ele errou o valor, previu 19,9% para 28,1%, mas a colocou na 3ª posição da lista — o mesmo descompasso entre valor e ordem que o Quadro 10 mede, visto em uma escola só.</w:t>
      </w:r>
    </w:p>
    <w:p w14:paraId="7A085956">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terceiro são os dois padrões de erro, ambos com causa conhecida. Nas escolas indígenas e quilombolas sem abandono o modelo prevê risco alto: a José Luciano recebeu previsão de 19,0% e não perdeu aluno algum, o viés de −6,12 pontos percentuais tratado em Erros do Modelo e Equidade. A escola que rompe com o próprio histórico fica invisível: a Coronel Othon não tinha registro de abandono, saltou para 23,7% em 2024 e o modelo a deixou na última posição da lista. Fora do quadro, o mesmo padrão produziu a maior perda da rede em número de alunos: na Maria Lúcia Alves, em Santa Cruz do Capibaribe, cerca de 154 estudantes saíram, contra uma previsão de 0,7%.</w:t>
      </w:r>
    </w:p>
    <w:p w14:paraId="5C5A25B5">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modelo lê o passado registrado de cada escola. A ruptura que não deixou sinal prévio nos dados ele não tem como antecipar — é um limite dos dados disponíveis, não do algoritmo escolhido. É por isso que a lista é apresentada como apoio à decisão, e não como substituto da visita à escola.</w:t>
      </w:r>
    </w:p>
    <w:p w14:paraId="2277BBB5">
      <w:pPr>
        <w:pStyle w:val="4"/>
        <w:numPr>
          <w:ilvl w:val="1"/>
          <w:numId w:val="1"/>
        </w:numPr>
      </w:pPr>
      <w:bookmarkStart w:id="55" w:name="_Toc5369"/>
      <w:r>
        <w:rPr>
          <w:rFonts w:ascii="Arial" w:hAnsi="Arial" w:eastAsia="Arial" w:cs="Arial"/>
          <w:b w:val="0"/>
        </w:rPr>
        <w:t>Capacidade de Priorização</w:t>
      </w:r>
      <w:bookmarkEnd w:id="55"/>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quantas das escolas realmente críticas a lista alcança? A resposta se obtém variando o tamanho da lista, sem reconstruir o sistema. Como a saída é um número contínuo, o ponto de corte pode ser escolhido depois, conforme o orçamento disponível, e revisto a cada ano sem tocar no modelo.</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17 compara o alcance da lista do sistema com o da escolha ao acaso, e a Figura 18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198056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577840" cy="1980615"/>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72FE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Não existe tamanho ótimo de lista: ampliá-la aumenta o alcance e reduz o acerto, como mostra a Figura 18. Entre as 50 primeiras escolas, 44% são de fato críticas; entre as 150 primeiras, 31%, embora o alcance suba de 28% para 57%. Quem arbitra esse equilíbrio é o gestor, à luz da capacidade de atendimento do ano.</w:t>
      </w:r>
    </w:p>
    <w:p w14:paraId="494EEC5B">
      <w:pPr>
        <w:pStyle w:val="4"/>
        <w:numPr>
          <w:ilvl w:val="1"/>
          <w:numId w:val="1"/>
        </w:numPr>
      </w:pPr>
      <w:bookmarkStart w:id="56" w:name="_Toc1956"/>
      <w:r>
        <w:rPr>
          <w:rFonts w:ascii="Arial" w:hAnsi="Arial" w:eastAsia="Arial" w:cs="Arial"/>
          <w:b w:val="0"/>
        </w:rPr>
        <w:t>Explicação das Indicações</w:t>
      </w:r>
      <w:bookmarkEnd w:id="56"/>
    </w:p>
    <w:p w14:paraId="4564E80B">
      <w:pPr>
        <w:pStyle w:val="5"/>
        <w:numPr>
          <w:ilvl w:val="2"/>
          <w:numId w:val="1"/>
        </w:numPr>
      </w:pPr>
      <w:bookmarkStart w:id="57" w:name="_Toc10286"/>
      <w:r>
        <w:rPr>
          <w:rFonts w:ascii="Arial" w:hAnsi="Arial" w:eastAsia="Arial" w:cs="Arial"/>
          <w:b w:val="0"/>
        </w:rPr>
        <w:t>Visão Geral</w:t>
      </w:r>
      <w:bookmarkEnd w:id="57"/>
    </w:p>
    <w:p w14:paraId="5B8734FD">
      <w:pPr>
        <w:pStyle w:val="3"/>
        <w:ind w:firstLine="0"/>
        <w:rPr>
          <w:color w:val="2E75B5"/>
        </w:rPr>
      </w:pPr>
      <w:r>
        <w:rPr>
          <w:rFonts w:ascii="Arial" w:hAnsi="Arial" w:eastAsia="Arial" w:cs="Arial"/>
          <w:b w:val="0"/>
        </w:rPr>
        <w:t>Saber que uma escola está no topo da lista não basta; é preciso saber por quê. A explicabilidade é requisito não funcional do sistema, fixado no Capítulo 4, e a técnica adotada para atendê-lo é o SHAP (LUNDBERG; LEE, 2017), que decompõe cada previsão na contribuição de cada característica. A escolha tem duas razões. A primeira é que a decomposição é aditiva: a soma das contribuições reproduz exatamente a previsão exibida, propriedade travada por teste automatizado, de modo que a justificativa apresentada ao gestor descreve a previsão que ele está vendo, e não uma aproximação dela. A segunda é que a mesma decomposição serve às duas leituras necessárias — a visão geral, de quais características o sistema usa, e a justificativa individual de cada escola da lista. A alternativa mais simples, a importância interna do próprio modelo, ordenaria as características, mas não diria a direção do efeito nem explicaria escola por escola.</w:t>
      </w:r>
    </w:p>
    <w:p w14:paraId="5DF12910">
      <w:pPr>
        <w:pStyle w:val="3"/>
        <w:ind w:firstLine="0"/>
        <w:rPr>
          <w:color w:val="2E75B5"/>
        </w:rPr>
      </w:pPr>
      <w:r>
        <w:rPr>
          <w:rFonts w:ascii="Arial" w:hAnsi="Arial" w:eastAsia="Arial" w:cs="Arial"/>
          <w:b w:val="0"/>
        </w:rPr>
        <w:t>Aplicada a todo o conjunto, a decomposição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Somados, o abandono e a reprovação do ano anterior respondem por cerca de metade do peso total. Esse resultado confirma um princípio conhecido: o melhor previsor do tempo de amanhã costuma ser o tempo de hoje. A Figura 19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As características que mais pesam nas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3263265"/>
            <wp:effectExtent l="0" t="0" r="381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577840" cy="3263412"/>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8" w:name="_Toc30746"/>
      <w:r>
        <w:rPr>
          <w:rFonts w:ascii="Arial" w:hAnsi="Arial" w:eastAsia="Arial" w:cs="Arial"/>
          <w:b w:val="0"/>
        </w:rPr>
        <w:t>Direção dos Efeitos</w:t>
      </w:r>
      <w:bookmarkEnd w:id="58"/>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A coerência entre essas direções e o que a caracterização da rede havia mostrado é um argumento de confiança: o sistema não está apenas acertando, está acertando pelas razões certas. Uma inversão de direção, em uma reexecução futura, deve ser tratada como sintoma de erro no caminho dos dados. A Figura 20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9" w:name="_Toc25132"/>
      <w:r>
        <w:rPr>
          <w:rFonts w:ascii="Arial" w:hAnsi="Arial" w:eastAsia="Arial" w:cs="Arial"/>
          <w:b w:val="0"/>
        </w:rPr>
        <w:t>Explicação de Uma Escola</w:t>
      </w:r>
      <w:bookmarkEnd w:id="59"/>
    </w:p>
    <w:p w14:paraId="2C975AF9">
      <w:pPr>
        <w:pStyle w:val="3"/>
        <w:ind w:firstLine="0"/>
        <w:rPr>
          <w:rFonts w:ascii="Arial" w:hAnsi="Arial" w:eastAsia="Arial" w:cs="Arial"/>
          <w:b w:val="0"/>
        </w:rPr>
      </w:pPr>
      <w:r>
        <w:t>A decomposição também vale caso a caso, e é essa aplicação que o painel usa. Para qualquer escola é possível mostrar como cada característica afastou sua previsão da média da rede. Na escola de maior risco previsto, uma estadual indígena no município de Jatobá, as maiores contribuições positivas vêm da defasagem idade-série, do histórico de abandono e do abandono na 2ª série, como mostra a Figura 21. É essa explicação que o painel apresenta ao gestor para justificar cada indicação, e é ela que permite discordar com argumento, em vez de aceitar ou rejeitar a lista em bloco.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bookmarkStart w:id="68" w:name="_GoBack"/>
      <w:bookmarkEnd w:id="68"/>
      <w:r>
        <w:rPr>
          <w:rFonts w:ascii="Arial" w:hAnsi="Arial" w:eastAsia="Arial" w:cs="Arial"/>
          <w:b w:val="0"/>
          <w:sz w:val="20"/>
        </w:rPr>
        <w:t>Figura 21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60" w:name="_Toc2853"/>
      <w:r>
        <w:rPr>
          <w:rFonts w:ascii="Arial" w:hAnsi="Arial" w:eastAsia="Arial" w:cs="Arial"/>
          <w:b w:val="0"/>
        </w:rPr>
        <w:t>Erros do Modelo e Equidade</w:t>
      </w:r>
      <w:bookmarkEnd w:id="60"/>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Uma média única de erro esconde o tipo de falha que mais importa numa ferramenta de alocação de recursos: errar sempre na mesma direção para um grupo específico de escolas. No teste do ano nunca visto, é o que acontece. O sistema erra para mais nas 41 escolas de localização diferenciada, prevendo risco alto para escolas indígenas e quilombolas cujo abandono observado é próximo de zero. O erro médio nesse grupo é de −6,12 pontos percentuais, contra +0,07 nas urbanas e +0,38 nas rurais, que ficam calibradas.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captam. O perfil dessas escolas — rural, de baixo nível socioeconômico e com alta defasagem idade-série —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Duas saídas foram consideradas e nenhuma foi adotada nesta versão. Retirar do sistema a característica de localização diferenciada não resolveria, porque o erro não vem dela: o modelo reencontraria o mesmo perfil pelas demais características, como zona rural, nível socioeconômico e defasagem. Calibrar o grupo separadamente exigiria entender antes quais fatores de proteção explicam o baixo abandono observado, e ajustar o resultado sem esse entendimento apenas esconderia o problema. Optou-se, então, por medir, declarar e registrar: a ressalva acompanha cada indicação exibida no painel e a correção é o primeiro item dos trabalhos futuros. A Figura 22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22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1" w:name="_Toc15515"/>
      <w:r>
        <w:rPr>
          <w:rFonts w:ascii="Arial" w:hAnsi="Arial" w:eastAsia="Arial" w:cs="Arial"/>
          <w:b w:val="0"/>
        </w:rPr>
        <w:t>O Painel de Priorização ao Gestor</w:t>
      </w:r>
      <w:bookmarkEnd w:id="61"/>
    </w:p>
    <w:p w14:paraId="60AF4A93">
      <w:pPr>
        <w:pStyle w:val="3"/>
        <w:ind w:firstLine="0"/>
        <w:rPr>
          <w:color w:val="2E75B5"/>
        </w:rPr>
      </w:pPr>
      <w:r>
        <w:rPr>
          <w:rFonts w:ascii="Arial" w:hAnsi="Arial" w:eastAsia="Arial" w:cs="Arial"/>
          <w:b w:val="0"/>
        </w:rPr>
        <w:t>O sistema culmina em um painel interativo que coloca o modelo nas mãos do gestor e atende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A terceira é o diagnóstico. Ele separa as escolas com abandono acima do previsto, que merecem alerta, das escolas com abandono abaixo, que merecem estudo.</w:t>
      </w:r>
    </w:p>
    <w:p w14:paraId="58A9A1DB">
      <w:pPr>
        <w:pStyle w:val="3"/>
        <w:ind w:firstLine="0"/>
        <w:rPr>
          <w:color w:val="2E75B5"/>
        </w:rPr>
      </w:pPr>
      <w:r>
        <w:rPr>
          <w:rFonts w:ascii="Arial" w:hAnsi="Arial" w:eastAsia="Arial" w:cs="Arial"/>
          <w:b w:val="0"/>
        </w:rPr>
        <w:t>Duas ressalvas ficam explícitas na própria tela, e não em documentação à parte. A primeira é sobre o desempenho: as previsões exibidas foram calculadas sobre dados que o modelo conhece, e a estimativa honesta é a do teste do ano nunca visto. A segunda é a limitação de equidade nas escolas de localização diferenciada, tratada na seção anterior.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2" w:name="_Toc15688"/>
      <w:r>
        <w:rPr>
          <w:rFonts w:ascii="Arial" w:hAnsi="Arial" w:eastAsia="Arial" w:cs="Arial"/>
          <w:b w:val="0"/>
        </w:rPr>
        <w:t>Síntese dos Resultados</w:t>
      </w:r>
      <w:bookmarkEnd w:id="62"/>
    </w:p>
    <w:p w14:paraId="3A43783E">
      <w:pPr>
        <w:pStyle w:val="3"/>
        <w:ind w:firstLine="0"/>
        <w:rPr>
          <w:color w:val="2E75B5"/>
        </w:rPr>
      </w:pPr>
      <w:r>
        <w:rPr>
          <w:rFonts w:ascii="Arial" w:hAnsi="Arial" w:eastAsia="Arial" w:cs="Arial"/>
          <w:b w:val="0"/>
        </w:rPr>
        <w:t>Cinco resultados resumem o capítulo. O primeiro é que o sistema é confiável no que se propõe a fazer. Uma suíte de 138 testes cobre os erros que passariam despercebidos por não interromperem a execução, e todos os números aqui apresentados podem ser refeitos a partir dos dados originais.</w:t>
      </w:r>
    </w:p>
    <w:p w14:paraId="7B06D878">
      <w:pPr>
        <w:pStyle w:val="3"/>
        <w:ind w:firstLine="0"/>
        <w:rPr>
          <w:color w:val="2E75B5"/>
        </w:rPr>
      </w:pPr>
      <w:r>
        <w:rPr>
          <w:rFonts w:ascii="Arial" w:hAnsi="Arial" w:eastAsia="Arial" w:cs="Arial"/>
          <w:b w:val="0"/>
        </w:rPr>
        <w:t>O segundo é que o conjunto de características é enxuto e justificado: 39 colunas escolhidas entre mais de 400, cada uma submetida a análise estatística individual. Das 38 numéricas, 30 mostram relação comprovada com o abandono do ano seguinte; as demais foram mantidas por decisão explícita e de baixo custo.</w:t>
      </w:r>
    </w:p>
    <w:p w14:paraId="0DD60FA7">
      <w:pPr>
        <w:pStyle w:val="3"/>
        <w:ind w:firstLine="0"/>
        <w:rPr>
          <w:color w:val="2E75B5"/>
        </w:rPr>
      </w:pPr>
      <w:r>
        <w:rPr>
          <w:rFonts w:ascii="Arial" w:hAnsi="Arial" w:eastAsia="Arial" w:cs="Arial"/>
          <w:b w:val="0"/>
        </w:rPr>
        <w:t>O terceiro é o achado central, e ele tem duas faces. O sistema acerta a ordem e erra a magnitude. No teste do ano nunca visto, o erro médio da taxa (2,874 pontos percentuais) é pior que o de responder a média da rede (2,540), enquanto a lista prioritária acerta 0,418 contra 0,089 do acaso. Como a decisão do gestor exige a ordem das escolas, e não o valor da taxa, o sistema é útil onde precisa ser — desde que a taxa prevista nunca seja lida como estimativa do número de alunos.</w:t>
      </w:r>
    </w:p>
    <w:p w14:paraId="792A7F03">
      <w:pPr>
        <w:pStyle w:val="3"/>
        <w:ind w:firstLine="0"/>
        <w:rPr>
          <w:color w:val="2E75B5"/>
        </w:rPr>
      </w:pPr>
      <w:r>
        <w:rPr>
          <w:rFonts w:ascii="Arial" w:hAnsi="Arial" w:eastAsia="Arial" w:cs="Arial"/>
          <w:b w:val="0"/>
        </w:rPr>
        <w:t>O quarto é que o ganho prático é mensurável e ajustável ao orçamento. Das escolas apontadas como prioritárias, cerca de metade estava de fato entre as mais críticas na validação repetida, contra 7 em cada 100 na escolha ao acaso. Uma lista de 150 escolas alcança 57% das escolas críticas da rede, contra 19% de uma escolha ao acaso do mesmo tamanho.</w:t>
      </w:r>
    </w:p>
    <w:p w14:paraId="693241E1">
      <w:pPr>
        <w:pStyle w:val="3"/>
        <w:ind w:firstLine="0"/>
        <w:rPr>
          <w:color w:val="2E75B5"/>
        </w:rPr>
      </w:pPr>
      <w:r>
        <w:rPr>
          <w:rFonts w:ascii="Arial" w:hAnsi="Arial" w:eastAsia="Arial" w:cs="Arial"/>
          <w:b w:val="0"/>
        </w:rPr>
        <w:t>O quinto é que cada indicação é explicável, com a contribuição de cada característica somando exatamente a previsão exibida. Isso permite ao gestor concordar ou discordar com argumento. Foi também o que expôs, de forma transparente, a limitação de equidade nas escolas de localização diferenciada: o mesmo mecanismo que justifica as indicações é o que revela onde elas não devem ser seguidas.</w:t>
      </w:r>
    </w:p>
    <w:p w14:paraId="78BAA92B">
      <w:pPr>
        <w:pStyle w:val="2"/>
        <w:numPr>
          <w:ilvl w:val="0"/>
          <w:numId w:val="1"/>
        </w:numPr>
        <w:rPr>
          <w:color w:val="000000"/>
        </w:rPr>
      </w:pPr>
      <w:bookmarkStart w:id="63" w:name="_Toc28038"/>
      <w:r>
        <w:rPr>
          <w:rFonts w:ascii="Arial" w:hAnsi="Arial" w:eastAsia="Arial" w:cs="Arial"/>
          <w:b w:val="0"/>
        </w:rPr>
        <w:t>Conclusões e Trabalhos Futuros</w:t>
      </w:r>
      <w:bookmarkEnd w:id="63"/>
    </w:p>
    <w:p w14:paraId="2B49EC9B">
      <w:pPr>
        <w:pStyle w:val="4"/>
        <w:numPr>
          <w:ilvl w:val="1"/>
          <w:numId w:val="1"/>
        </w:numPr>
      </w:pPr>
      <w:bookmarkStart w:id="64" w:name="_Toc12711"/>
      <w:r>
        <w:rPr>
          <w:rFonts w:ascii="Arial" w:hAnsi="Arial" w:eastAsia="Arial" w:cs="Arial"/>
          <w:b w:val="0"/>
        </w:rPr>
        <w:t>Conclusões</w:t>
      </w:r>
      <w:bookmarkEnd w:id="64"/>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a expectativa do perfil de cada escola identificou os dois extremos, registrados para inspeção: as vinte escolas mais acima do esperado e as vinte mais abaixo, com desvios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5" w:name="_Toc25511"/>
      <w:r>
        <w:rPr>
          <w:rFonts w:ascii="Arial" w:hAnsi="Arial" w:eastAsia="Arial" w:cs="Arial"/>
          <w:b w:val="0"/>
        </w:rPr>
        <w:t>Trabalhos Futuros</w:t>
      </w:r>
      <w:bookmarkEnd w:id="65"/>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6" w:name="_Toc7093"/>
      <w:r>
        <w:rPr>
          <w:rFonts w:ascii="Arial" w:hAnsi="Arial" w:eastAsia="Arial" w:cs="Arial"/>
          <w:b w:val="0"/>
        </w:rPr>
        <w:t>Referências</w:t>
      </w:r>
      <w:bookmarkEnd w:id="66"/>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7" w:name="_Toc28111"/>
      <w:r>
        <w:rPr>
          <w:rFonts w:ascii="Arial" w:hAnsi="Arial" w:eastAsia="Arial" w:cs="Arial"/>
          <w:b w:val="0"/>
        </w:rPr>
        <w:t>Apêndice A – Relação das 39 características usadas pelo sistema</w:t>
      </w:r>
      <w:bookmarkEnd w:id="67"/>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F44B9F9-D240-4CAB-9DC4-AC265A29FCBC}"/>
  </w:font>
  <w:font w:name="Arial">
    <w:panose1 w:val="020B0604020202020204"/>
    <w:charset w:val="00"/>
    <w:family w:val="swiss"/>
    <w:pitch w:val="default"/>
    <w:sig w:usb0="E0002EFF" w:usb1="C000785B" w:usb2="00000009" w:usb3="00000000" w:csb0="400001FF" w:csb1="FFFF0000"/>
    <w:embedRegular r:id="rId2" w:fontKey="{98496134-06EF-4707-B2E9-364BE06634FB}"/>
  </w:font>
  <w:font w:name="Courier New">
    <w:panose1 w:val="02070309020205020404"/>
    <w:charset w:val="00"/>
    <w:family w:val="modern"/>
    <w:pitch w:val="default"/>
    <w:sig w:usb0="E0002EFF" w:usb1="C0007843" w:usb2="00000009" w:usb3="00000000" w:csb0="400001FF" w:csb1="FFFF0000"/>
    <w:embedRegular r:id="rId3" w:fontKey="{F0466762-F266-490C-8212-1957342B770F}"/>
  </w:font>
  <w:font w:name="Symbol">
    <w:panose1 w:val="05050102010706020507"/>
    <w:charset w:val="02"/>
    <w:family w:val="roman"/>
    <w:pitch w:val="default"/>
    <w:sig w:usb0="00000000" w:usb1="00000000" w:usb2="00000000" w:usb3="00000000" w:csb0="80000000" w:csb1="00000000"/>
    <w:embedRegular r:id="rId4" w:fontKey="{AF3504C9-4D98-41BE-A563-F6A1D88502FC}"/>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AE9268BB-F9B9-4AB6-99EA-9575817A819C}"/>
  </w:font>
  <w:font w:name="Georgia">
    <w:panose1 w:val="02040502050405020303"/>
    <w:charset w:val="00"/>
    <w:family w:val="roman"/>
    <w:pitch w:val="default"/>
    <w:sig w:usb0="00000287" w:usb1="00000000" w:usb2="00000000" w:usb3="00000000" w:csb0="2000009F" w:csb1="00000000"/>
    <w:embedRegular r:id="rId6" w:fontKey="{CCF4E349-9F9C-4475-9DEE-CFCBBE8C5579}"/>
  </w:font>
  <w:font w:name="Liberation Sans">
    <w:panose1 w:val="020B0604020202020204"/>
    <w:charset w:val="00"/>
    <w:family w:val="swiss"/>
    <w:pitch w:val="default"/>
    <w:sig w:usb0="E0000AFF" w:usb1="500078FF" w:usb2="00000021" w:usb3="00000000" w:csb0="600001BF" w:csb1="DFF70000"/>
    <w:embedRegular r:id="rId7" w:fontKey="{E0DA5E8B-435F-493B-82ED-9ED6742A2A6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2F02139"/>
    <w:rsid w:val="154F2ABF"/>
    <w:rsid w:val="1B1E5FE7"/>
    <w:rsid w:val="200E54CB"/>
    <w:rsid w:val="22484D4A"/>
    <w:rsid w:val="22AB6FED"/>
    <w:rsid w:val="244216D4"/>
    <w:rsid w:val="25754CB1"/>
    <w:rsid w:val="2C1B3E3D"/>
    <w:rsid w:val="311C20B6"/>
    <w:rsid w:val="341E170A"/>
    <w:rsid w:val="353476BB"/>
    <w:rsid w:val="361F7A70"/>
    <w:rsid w:val="37816D17"/>
    <w:rsid w:val="400E487F"/>
    <w:rsid w:val="46E010FE"/>
    <w:rsid w:val="4FB122AA"/>
    <w:rsid w:val="52D4626A"/>
    <w:rsid w:val="54BC7DEB"/>
    <w:rsid w:val="55540C4E"/>
    <w:rsid w:val="57B92E7A"/>
    <w:rsid w:val="59E678F3"/>
    <w:rsid w:val="5B7708DE"/>
    <w:rsid w:val="5DFA0956"/>
    <w:rsid w:val="64D75322"/>
    <w:rsid w:val="654C03D3"/>
    <w:rsid w:val="68744B97"/>
    <w:rsid w:val="6DDA1DD3"/>
    <w:rsid w:val="7195085D"/>
    <w:rsid w:val="781466F3"/>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71</Pages>
  <Words>1843</Words>
  <Characters>9536</Characters>
  <Paragraphs>463</Paragraphs>
  <TotalTime>2</TotalTime>
  <ScaleCrop>false</ScaleCrop>
  <LinksUpToDate>false</LinksUpToDate>
  <CharactersWithSpaces>11216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2026-08-20T22:38:44Z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eyJoZGlkIjoiYTY0MjU0NWM3ZWZiZTM1YjY0YmI0NWE5OTRiMDIwYjAiLCJ1c2VySWQiOiIxNjY2NTk4MDEzMDg0In0=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