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1A237E"/>
          <w:sz w:val="32"/>
        </w:rPr>
        <w:t>Relatório de Análise Exploratória — Fase 1</w:t>
      </w:r>
    </w:p>
    <w:p>
      <w:pPr>
        <w:spacing w:before="200" w:after="80"/>
      </w:pPr>
      <w:r>
        <w:rPr>
          <w:b/>
          <w:color w:val="283A93"/>
          <w:sz w:val="26"/>
        </w:rPr>
        <w:t>Predição de Evasão Escolar em Pernambuco</w:t>
      </w:r>
    </w:p>
    <w:p>
      <w:pPr>
        <w:spacing w:before="40" w:after="80"/>
      </w:pPr>
      <w:r>
        <w:rPr>
          <w:b/>
        </w:rPr>
        <w:t>Versão:</w:t>
      </w:r>
      <w:r>
        <w:t xml:space="preserve"> 1.0 </w:t>
      </w:r>
      <w:r>
        <w:rPr>
          <w:b/>
        </w:rPr>
        <w:t>Data:</w:t>
      </w:r>
      <w:r>
        <w:t xml:space="preserve"> 2026-05-27 </w:t>
      </w:r>
      <w:r>
        <w:rPr>
          <w:b/>
        </w:rPr>
        <w:t>Escopo:</w:t>
      </w:r>
      <w:r>
        <w:t xml:space="preserve"> ETL inicial + Análises descritivas do painel escola × ano (Censo 2022–2024) </w:t>
      </w:r>
      <w:r>
        <w:rPr>
          <w:b/>
        </w:rPr>
        <w:t>Base de dados:</w:t>
      </w:r>
      <w:r>
        <w:t xml:space="preserve"> </w:t>
      </w:r>
      <w:r>
        <w:rPr>
          <w:rFonts w:ascii="Courier New" w:hAnsi="Courier New"/>
          <w:color w:val="C7254E"/>
          <w:sz w:val="18"/>
        </w:rPr>
        <w:t>data/interim/painel_escola_ano_pe_estadual_em.parquet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1. O que foi feito até aqui</w:t>
      </w:r>
    </w:p>
    <w:p>
      <w:pPr>
        <w:spacing w:before="120" w:after="80"/>
      </w:pPr>
      <w:r>
        <w:rPr>
          <w:b/>
          <w:color w:val="3747AA"/>
          <w:sz w:val="22"/>
        </w:rPr>
        <w:t>1.1 Pipeline ETL implementado</w:t>
      </w:r>
    </w:p>
    <w:p>
      <w:pPr>
        <w:spacing w:before="40" w:after="80"/>
      </w:pPr>
      <w:r>
        <w:t xml:space="preserve">O ETL cobre exclusivamente os </w:t>
      </w:r>
      <w:r>
        <w:rPr>
          <w:b/>
        </w:rPr>
        <w:t>Microdados do Censo Escolar</w:t>
      </w:r>
      <w:r>
        <w:t xml:space="preserve"> (INEP), nos anos 2022, 2023 e 2024. A cadeia de processamento é composta por quatro módulos: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Configuração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src/data/config.py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Centraliza caminhos, constantes e filtros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Carga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src/data/load.py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Lê os CSVs do INEP com encoding latin-1, separador </w:t>
            </w:r>
            <w:r>
              <w:rPr>
                <w:rFonts w:ascii="Courier New" w:hAnsi="Courier New"/>
                <w:color w:val="C7254E"/>
                <w:sz w:val="19"/>
              </w:rPr>
              <w:t>;</w:t>
            </w:r>
            <w:r>
              <w:rPr>
                <w:sz w:val="19"/>
              </w:rPr>
              <w:t>, tipagem explícita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Filtragem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src/data/filter_pe_estadual_em.py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Aplica os 4 filtros do universo de análise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Painel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src/data/build_school_panel.py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Concatena os 3 anos e valida a chave primária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Target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src/data/build_target.py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Pronto para integrar as Taxas de Rendimento quando disponíveis</w:t>
            </w:r>
          </w:p>
        </w:tc>
      </w:tr>
    </w:tbl>
    <w:p/>
    <w:p>
      <w:pPr>
        <w:spacing w:before="40" w:after="80"/>
      </w:pPr>
      <w:r>
        <w:rPr>
          <w:b/>
        </w:rPr>
        <w:t>Filtros aplicados em sequência:</w:t>
      </w:r>
    </w:p>
    <w:p>
      <w:pPr>
        <w:spacing w:before="40" w:after="80"/>
      </w:pPr>
      <w:r>
        <w:t xml:space="preserve">1. </w:t>
      </w:r>
      <w:r>
        <w:rPr>
          <w:rFonts w:ascii="Courier New" w:hAnsi="Courier New"/>
          <w:color w:val="C7254E"/>
          <w:sz w:val="18"/>
        </w:rPr>
        <w:t>SG_UF == "PE"</w:t>
      </w:r>
      <w:r>
        <w:t xml:space="preserve"> — restringe a Pernambuco 2. </w:t>
      </w:r>
      <w:r>
        <w:rPr>
          <w:rFonts w:ascii="Courier New" w:hAnsi="Courier New"/>
          <w:color w:val="C7254E"/>
          <w:sz w:val="18"/>
        </w:rPr>
        <w:t>TP_DEPENDENCIA == 2</w:t>
      </w:r>
      <w:r>
        <w:t xml:space="preserve"> — apenas rede estadual 3. </w:t>
      </w:r>
      <w:r>
        <w:rPr>
          <w:rFonts w:ascii="Courier New" w:hAnsi="Courier New"/>
          <w:color w:val="C7254E"/>
          <w:sz w:val="18"/>
        </w:rPr>
        <w:t>TP_SITUACAO_FUNCIONAMENTO == 1</w:t>
      </w:r>
      <w:r>
        <w:t xml:space="preserve"> — apenas escolas em atividade 4. </w:t>
      </w:r>
      <w:r>
        <w:rPr>
          <w:rFonts w:ascii="Courier New" w:hAnsi="Courier New"/>
          <w:color w:val="C7254E"/>
          <w:sz w:val="18"/>
        </w:rPr>
        <w:t>QT_MAT_MED &gt; 0</w:t>
      </w:r>
      <w:r>
        <w:t xml:space="preserve"> — apenas escolas que ofertam Ensino Médio</w:t>
      </w:r>
    </w:p>
    <w:p>
      <w:pPr>
        <w:spacing w:before="40" w:after="80"/>
      </w:pPr>
      <w:r>
        <w:t>A aplicação sequencial dos filtros é registrada em um relatório de contagem (</w:t>
      </w:r>
      <w:r>
        <w:rPr>
          <w:rFonts w:ascii="Courier New" w:hAnsi="Courier New"/>
          <w:color w:val="C7254E"/>
          <w:sz w:val="18"/>
        </w:rPr>
        <w:t>RelatorioRecorte</w:t>
      </w:r>
      <w:r>
        <w:t>) que documenta quantas escolas foram removidas em cada etapa — rastreabilidade essencial para a monografia.</w:t>
      </w:r>
    </w:p>
    <w:p>
      <w:pPr>
        <w:spacing w:before="120" w:after="80"/>
      </w:pPr>
      <w:r>
        <w:rPr>
          <w:b/>
          <w:color w:val="3747AA"/>
          <w:sz w:val="22"/>
        </w:rPr>
        <w:t>1.2 Análises descritivas realizadas</w:t>
      </w:r>
    </w:p>
    <w:p>
      <w:pPr>
        <w:spacing w:before="40" w:after="80"/>
      </w:pPr>
      <w:r>
        <w:t xml:space="preserve">Implementadas em </w:t>
      </w:r>
      <w:r>
        <w:rPr>
          <w:rFonts w:ascii="Courier New" w:hAnsi="Courier New"/>
          <w:color w:val="C7254E"/>
          <w:sz w:val="18"/>
        </w:rPr>
        <w:t>notebooks/02_analises_descritivas.py</w:t>
      </w:r>
      <w:r>
        <w:t>, cobrindo 10 dimensões: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Análise</w:t>
            </w:r>
          </w:p>
        </w:tc>
        <w:tc>
          <w:tcPr>
            <w:tcW w:type="dxa" w:w="4394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A1 — Perfil do universo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 de escolas por ano, municípios, estabilidade longitudinal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A2 — Distribuição geográfica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Localização urbana/rural, mesorregiões, top municípios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A3 — Matrículas e porte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Distribuição, categorias de porte, razões operacionais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A4 — Infraestrutura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Prevalência de 13 itens, índice composto, comparação urbana/rural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A5 — Tecnologia e conectividade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Internet, banda larga, desktops e tablets por aluno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A6 — Tendências temporais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Evolução das variáveis operacionais entre 2022 e 2024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A7 — Correlações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Matriz de Spearman entre features quantitativas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A8 — Tempo integral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Distribuição e expansão do ensino em tempo integral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A9 — Qualidade dos dados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Missing values, inconsistências, colunas problemáticas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A10 — Ranking de municípios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Municípios por matrículas, infraestrutura e perfil rural</w:t>
            </w:r>
          </w:p>
        </w:tc>
      </w:tr>
    </w:tbl>
    <w:p/>
    <w:p>
      <w:pPr>
        <w:spacing w:before="40" w:after="80"/>
      </w:pPr>
      <w:r>
        <w:rPr>
          <w:b/>
        </w:rPr>
        <w:t>Saídas geradas:</w:t>
      </w:r>
      <w:r>
        <w:t xml:space="preserve"> 10 figuras PNG em </w:t>
      </w:r>
      <w:r>
        <w:rPr>
          <w:rFonts w:ascii="Courier New" w:hAnsi="Courier New"/>
          <w:color w:val="C7254E"/>
          <w:sz w:val="18"/>
        </w:rPr>
        <w:t>reports/figuras/</w:t>
      </w:r>
      <w:r>
        <w:t>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2. Campos do painel: inventário e tratamentos</w:t>
      </w:r>
    </w:p>
    <w:p>
      <w:pPr>
        <w:spacing w:before="120" w:after="80"/>
      </w:pPr>
      <w:r>
        <w:rPr>
          <w:b/>
          <w:color w:val="3747AA"/>
          <w:sz w:val="22"/>
        </w:rPr>
        <w:t>2.1 Campos de identificação — sem tratamento necessário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CO_ENTIDADE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Chave primária da escola — convertido de float para Int64 explicitamente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NU_ANO_CENSO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Injetado manualmente quando ausente no CSV; usado para identificar o ano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NO_ENTIDADE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str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Nome da escola; usado apenas para exibição</w:t>
            </w:r>
          </w:p>
        </w:tc>
      </w:tr>
    </w:tbl>
    <w:p/>
    <w:p>
      <w:pPr>
        <w:spacing w:before="120" w:after="80"/>
      </w:pPr>
      <w:r>
        <w:rPr>
          <w:b/>
          <w:color w:val="3747AA"/>
          <w:sz w:val="22"/>
        </w:rPr>
        <w:t>2.2 Campos geográficos — sem tratamento necessário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SG_UF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str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Normalizado para maiúsculas no filtro (aceita "pe" e "PE")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CO_UF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Fallback quando </w:t>
            </w:r>
            <w:r>
              <w:rPr>
                <w:rFonts w:ascii="Courier New" w:hAnsi="Courier New"/>
                <w:color w:val="C7254E"/>
                <w:sz w:val="19"/>
              </w:rPr>
              <w:t>SG_UF</w:t>
            </w:r>
            <w:r>
              <w:rPr>
                <w:sz w:val="19"/>
              </w:rPr>
              <w:t xml:space="preserve"> ausente; código IBGE 26 = PE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CO_MUNICIPIO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Convertido para Int64 para evitar casas decimais em joins futuros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NO_MUNICIPIO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str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Usado para rankear municípios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CO_MESORREGIAO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Codificado como int nativo; labels adicionados na análise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CO_MICRORREGIAO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Presente mas não usado nas análises atuais</w:t>
            </w:r>
          </w:p>
        </w:tc>
      </w:tr>
    </w:tbl>
    <w:p/>
    <w:p>
      <w:pPr>
        <w:spacing w:before="120" w:after="80"/>
      </w:pPr>
      <w:r>
        <w:rPr>
          <w:b/>
          <w:color w:val="3747AA"/>
          <w:sz w:val="22"/>
        </w:rPr>
        <w:t>2.3 Campos de caracterização da escola — sem tratamento necessário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TP_DEPENDENCIA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Filtro: apenas valor 2 (estadual)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TP_LOCALIZACAO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1=Urbana, 2=Rural; usado extensivamente nas análises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TP_LOCALIZACAO_DIFERENCIADA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float64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Indica localização em área indígena, quilombola, etc.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TP_SITUACAO_FUNCIONAMENTO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int64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Filtro: apenas valor 1 (em atividade)</w:t>
            </w:r>
          </w:p>
        </w:tc>
      </w:tr>
    </w:tbl>
    <w:p/>
    <w:p>
      <w:pPr>
        <w:spacing w:before="120" w:after="80"/>
      </w:pPr>
      <w:r>
        <w:rPr>
          <w:b/>
          <w:color w:val="3747AA"/>
          <w:sz w:val="22"/>
        </w:rPr>
        <w:t>2.4 Campos de infraestrutura (flags binárias 0/1)</w:t>
      </w:r>
    </w:p>
    <w:p>
      <w:pPr>
        <w:spacing w:before="40" w:after="80"/>
      </w:pPr>
      <w:r>
        <w:t xml:space="preserve">Todos representam a </w:t>
      </w:r>
      <w:r>
        <w:rPr>
          <w:b/>
        </w:rPr>
        <w:t>presença (1) ou ausência (0)</w:t>
      </w:r>
      <w:r>
        <w:t xml:space="preserve"> de determinado item. O INEP os publica como indicadores binários. Abaixo a tabela com a prevalência em 2024 e o comportamento por ano: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2022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2023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2024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Δ pp</w:t>
            </w:r>
          </w:p>
        </w:tc>
        <w:tc>
          <w:tcPr>
            <w:tcW w:type="dxa" w:w="1255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Tratamento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IN_ENERGIA_REDE_PUBLICA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Energia elétrica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0,0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Constante</w:t>
            </w:r>
            <w:r>
              <w:rPr>
                <w:sz w:val="19"/>
              </w:rPr>
              <w:t xml:space="preserve"> — ver seção 3.1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IN_AGUA_POTAVEL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Água potável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95,0%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95,4%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95,7%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+0,7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IN_ESGOTO_REDE_PUBLICA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Esgoto rede pública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60,0%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60,2%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60,4%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+0,4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IN_BIBLIOTECA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89,9%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91,5%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92,7%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+2,8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IN_LABORATORIO_INFORMATICA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Lab. Informática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76,4%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78,3%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77,5%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+1,1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IN_LABORATORIO_CIENCIAS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Lab. Ciências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42,2%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46,2%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42,6%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+0,4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IN_QUADRA_ESPORTES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Quadra de esportes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68,4%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73,3%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78,4%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+10,0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IN_REFEITORIO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Refeitório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29,1%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35,2%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31,6%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+2,5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IN_SALA_LEITURA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Sala de leitura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14,6%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16,0%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13,1%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−1,5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 — ver seção 3.4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IN_AUDITORIO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Auditório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26,1%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28,8%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27,3%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+1,2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IN_INTERNET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Internet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99,1%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99,4%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99,1%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0,0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IN_INTERNET_ALUNOS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Internet p/ alunos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70,8%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76,5%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77,6%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+6,8</w:t>
            </w:r>
          </w:p>
        </w:tc>
        <w:tc>
          <w:tcPr>
            <w:tcW w:type="dxa" w:w="125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Nenhum</w:t>
            </w:r>
          </w:p>
        </w:tc>
      </w:tr>
      <w:tr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IN_BANDA_LARGA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Banda larga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87,5%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88,1%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88,9%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+1,4</w:t>
            </w:r>
          </w:p>
        </w:tc>
        <w:tc>
          <w:tcPr>
            <w:tcW w:type="dxa" w:w="1255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Missing 0,8%</w:t>
            </w:r>
            <w:r>
              <w:rPr>
                <w:sz w:val="19"/>
              </w:rPr>
              <w:t xml:space="preserve"> — ver seção 3.2</w:t>
            </w:r>
          </w:p>
        </w:tc>
      </w:tr>
    </w:tbl>
    <w:p/>
    <w:p>
      <w:pPr>
        <w:spacing w:before="40" w:after="80"/>
      </w:pPr>
      <w:r>
        <w:rPr>
          <w:b/>
        </w:rPr>
        <w:t>Enriquecimento derivado:</w:t>
      </w:r>
      <w:r>
        <w:t xml:space="preserve"> foi criado o </w:t>
      </w:r>
      <w:r>
        <w:rPr>
          <w:rFonts w:ascii="Courier New" w:hAnsi="Courier New"/>
          <w:color w:val="C7254E"/>
          <w:sz w:val="18"/>
        </w:rPr>
        <w:t>indice_infra</w:t>
      </w:r>
      <w:r>
        <w:t xml:space="preserve"> como média simples das 13 flags acima, gerando um índice contínuo [0, 1] que resume a dotação de infraestrutura de cada escola.</w:t>
      </w:r>
    </w:p>
    <w:p>
      <w:pPr>
        <w:spacing w:before="120" w:after="80"/>
      </w:pPr>
      <w:r>
        <w:rPr>
          <w:b/>
          <w:color w:val="3747AA"/>
          <w:sz w:val="22"/>
        </w:rPr>
        <w:t>2.5 Campos quantitativos de matrículas e estrutura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Matrículas totais de EM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Base do filtro e da análise de porte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QT_MAT_MED_INT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Matrículas em tempo integral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Base do indicador derivado </w:t>
            </w:r>
            <w:r>
              <w:rPr>
                <w:rFonts w:ascii="Courier New" w:hAnsi="Courier New"/>
                <w:color w:val="C7254E"/>
                <w:sz w:val="19"/>
              </w:rPr>
              <w:t>pct_integral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QT_MAT_MED_NM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Matrículas em normal/magistério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33,4%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Depreciada</w:t>
            </w:r>
            <w:r>
              <w:rPr>
                <w:sz w:val="19"/>
              </w:rPr>
              <w:t xml:space="preserve"> — ver seção 3.3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QT_TUR_MED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Turmas de EM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Base do indicador </w:t>
            </w:r>
            <w:r>
              <w:rPr>
                <w:rFonts w:ascii="Courier New" w:hAnsi="Courier New"/>
                <w:color w:val="C7254E"/>
                <w:sz w:val="19"/>
              </w:rPr>
              <w:t>alunos_por_turma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QT_DOC_MED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Docentes de EM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Base do indicador </w:t>
            </w:r>
            <w:r>
              <w:rPr>
                <w:rFonts w:ascii="Courier New" w:hAnsi="Courier New"/>
                <w:color w:val="C7254E"/>
                <w:sz w:val="19"/>
              </w:rPr>
              <w:t>alunos_por_docente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QT_SALAS_UTILIZADAS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Salas em uso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Não usado nas análises atuais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QT_DESKTOP_ALUNO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Desktops disponíveis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Analisado como proxy de tecnologia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QT_TABLET_ALUNO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Tablets disponíveis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Analisado como proxy de tecnologia</w:t>
            </w:r>
          </w:p>
        </w:tc>
      </w:tr>
    </w:tbl>
    <w:p/>
    <w:p>
      <w:pPr>
        <w:spacing w:before="120" w:after="80"/>
      </w:pPr>
      <w:r>
        <w:rPr>
          <w:b/>
          <w:color w:val="3747AA"/>
          <w:sz w:val="22"/>
        </w:rPr>
        <w:t>2.6 Campos derivados (enriquecimentos criados)</w:t>
      </w:r>
    </w:p>
    <w:p>
      <w:pPr>
        <w:spacing w:before="40" w:after="80"/>
      </w:pPr>
      <w:r>
        <w:t>Quatro indicadores foram construídos durante as análises. Eles não estão no parquet interim mas são recriados no notebook e serão incorporados ao feature engineering: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alunos_por_turma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 / QT_TUR_MED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Proxy de superlotação; candidato a feature do modelo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alunos_por_docente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 / QT_DOC_MED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Proxy de carga do professor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pct_integral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QT_MAT_MED_INT / QT_MAT_MED × 100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Intensidade do programa integral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indice_infra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Média das 13 flags </w:t>
            </w:r>
            <w:r>
              <w:rPr>
                <w:rFonts w:ascii="Courier New" w:hAnsi="Courier New"/>
                <w:color w:val="C7254E"/>
                <w:sz w:val="19"/>
              </w:rPr>
              <w:t>IN_*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Score agregado de infraestrutura</w:t>
            </w:r>
          </w:p>
        </w:tc>
      </w:tr>
    </w:tbl>
    <w:p/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3. Problemas encontrados</w:t>
      </w:r>
    </w:p>
    <w:p>
      <w:pPr>
        <w:spacing w:before="120" w:after="80"/>
      </w:pPr>
      <w:r>
        <w:rPr>
          <w:b/>
          <w:color w:val="3747AA"/>
          <w:sz w:val="22"/>
        </w:rPr>
        <w:t>3.1 `IN_ENERGIA_REDE_PUBLICA` — coluna constante, sem variância</w:t>
      </w:r>
    </w:p>
    <w:p>
      <w:pPr>
        <w:spacing w:before="40" w:after="80"/>
      </w:pPr>
      <w:r>
        <w:rPr>
          <w:b/>
        </w:rPr>
        <w:t>O que é:</w:t>
      </w:r>
      <w:r>
        <w:t xml:space="preserve"> flag binária indicando se a escola possui energia elétrica fornecida pela rede pública. </w:t>
      </w:r>
      <w:r>
        <w:rPr>
          <w:b/>
        </w:rPr>
        <w:t>Problema:</w:t>
      </w:r>
      <w:r>
        <w:t xml:space="preserve"> o valor é </w:t>
      </w:r>
      <w:r>
        <w:rPr>
          <w:rFonts w:ascii="Courier New" w:hAnsi="Courier New"/>
          <w:color w:val="C7254E"/>
          <w:sz w:val="18"/>
        </w:rPr>
        <w:t>1.0</w:t>
      </w:r>
      <w:r>
        <w:t xml:space="preserve"> para </w:t>
      </w:r>
      <w:r>
        <w:rPr>
          <w:b/>
        </w:rPr>
        <w:t>100%</w:t>
      </w:r>
      <w:r>
        <w:t xml:space="preserve"> das escolas nos três anos (800 em 2022, 801 em 2023, 791 em 2024). Sem nenhuma variação, a variável é </w:t>
      </w:r>
      <w:r>
        <w:rPr>
          <w:b/>
        </w:rPr>
        <w:t>informativamente inútil</w:t>
      </w:r>
      <w:r>
        <w:t xml:space="preserve"> para o modelo — uma variável constante não contribui para diferenciar escolas de risco alto versus baixo. </w:t>
      </w:r>
      <w:r>
        <w:rPr>
          <w:b/>
        </w:rPr>
        <w:t>Decisão:</w:t>
      </w:r>
      <w:r>
        <w:t xml:space="preserve"> mantida no painel interim para integridade da carga, mas </w:t>
      </w:r>
      <w:r>
        <w:rPr>
          <w:b/>
        </w:rPr>
        <w:t>será excluída do feature engineering</w:t>
      </w:r>
      <w:r>
        <w:t>. O fato de toda escola estadual de EM em PE ter energia elétrica é, em si, um achado contextual relevante para a monografia (indica universalização deste insumo básico).</w:t>
      </w:r>
    </w:p>
    <w:p>
      <w:pPr>
        <w:spacing w:before="120" w:after="80"/>
      </w:pPr>
      <w:r>
        <w:rPr>
          <w:b/>
          <w:color w:val="3747AA"/>
          <w:sz w:val="22"/>
        </w:rPr>
        <w:t>3.2 `IN_BANDA_LARGA` — missing em 0,8% do painel</w:t>
      </w:r>
    </w:p>
    <w:p>
      <w:pPr>
        <w:spacing w:before="40" w:after="80"/>
      </w:pPr>
      <w:r>
        <w:rPr>
          <w:b/>
        </w:rPr>
        <w:t>O que é:</w:t>
      </w:r>
      <w:r>
        <w:t xml:space="preserve"> flag indicando acesso à banda larga. </w:t>
      </w:r>
      <w:r>
        <w:rPr>
          <w:b/>
        </w:rPr>
        <w:t>Problema:</w:t>
      </w:r>
      <w:r>
        <w:t xml:space="preserve"> 19 observações (0,8% do painel) com valor ausente. A distribuição por ano sugere que é um problema de não-resposta pontual na coleta, não uma mudança estrutural no Censo. </w:t>
      </w:r>
      <w:r>
        <w:rPr>
          <w:b/>
        </w:rPr>
        <w:t>Decisão:</w:t>
      </w:r>
      <w:r>
        <w:t xml:space="preserve"> missing ignorado nas análises atuais. Para o modelo, será imputado pela </w:t>
      </w:r>
      <w:r>
        <w:rPr>
          <w:b/>
        </w:rPr>
        <w:t>mediana da escola no ano com dado disponível</w:t>
      </w:r>
      <w:r>
        <w:t xml:space="preserve"> ou pelo valor modal da mesorregião no mesmo ano. Não representa risco significativo dado o volume.</w:t>
      </w:r>
    </w:p>
    <w:p>
      <w:pPr>
        <w:spacing w:before="120" w:after="80"/>
      </w:pPr>
      <w:r>
        <w:rPr>
          <w:b/>
          <w:color w:val="3747AA"/>
          <w:sz w:val="22"/>
        </w:rPr>
        <w:t>3.3 `QT_MAT_MED_NM` — coluna quebrada no Censo 2022</w:t>
      </w:r>
    </w:p>
    <w:p>
      <w:pPr>
        <w:spacing w:before="40" w:after="80"/>
      </w:pPr>
      <w:r>
        <w:rPr>
          <w:b/>
        </w:rPr>
        <w:t>O que é:</w:t>
      </w:r>
      <w:r>
        <w:t xml:space="preserve"> quantidade de matrículas em cursos de magistério (Normal/Magistério) no Ensino Médio — modalidade residual que pouquíssimas escolas ainda ofertam. </w:t>
      </w:r>
      <w:r>
        <w:rPr>
          <w:b/>
        </w:rPr>
        <w:t>Problema grave:</w:t>
      </w:r>
      <w:r>
        <w:t xml:space="preserve"> a coluna está com </w:t>
      </w:r>
      <w:r>
        <w:rPr>
          <w:b/>
        </w:rPr>
        <w:t>100% de missing no ano 2022</w:t>
      </w:r>
      <w:r>
        <w:t xml:space="preserve"> (todos os 800 registros são NaN). Nos anos 2023 e 2024 os valores estão presentes, mas são quase todos zero (magistério está em extinção).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Valor &gt; 0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2022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800/800 (100%)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2023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0/801 (0%)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~5 escolas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2024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0/791 (0%)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~4 escolas</w:t>
            </w:r>
          </w:p>
        </w:tc>
      </w:tr>
    </w:tbl>
    <w:p/>
    <w:p>
      <w:pPr>
        <w:spacing w:before="40" w:after="80"/>
      </w:pPr>
      <w:r>
        <w:rPr>
          <w:b/>
        </w:rPr>
        <w:t>Causa provável:</w:t>
      </w:r>
      <w:r>
        <w:t xml:space="preserve"> o INEP parece ter mudado o nome ou a estrutura desta coluna entre 2022 e 2023. A leitura tolerante de colunas (</w:t>
      </w:r>
      <w:r>
        <w:rPr>
          <w:rFonts w:ascii="Courier New" w:hAnsi="Courier New"/>
          <w:color w:val="C7254E"/>
          <w:sz w:val="18"/>
        </w:rPr>
        <w:t>_carregar_com_colunas_tolerantes</w:t>
      </w:r>
      <w:r>
        <w:t xml:space="preserve">) não encontrou correspondente no CSV de 2022 e preencheu com NaN. </w:t>
      </w:r>
      <w:r>
        <w:rPr>
          <w:b/>
        </w:rPr>
        <w:t>Decisão:</w:t>
      </w:r>
      <w:r>
        <w:t xml:space="preserve"> </w:t>
      </w:r>
      <w:r>
        <w:rPr>
          <w:b/>
        </w:rPr>
        <w:t>campo descartado</w:t>
      </w:r>
      <w:r>
        <w:t xml:space="preserve"> do projeto. Mesmo que o missing de 2022 fosse corrigido, o conteúdo é irrelevante para o modelo (quase nenhuma escola tem magistério e o campo não tem relação direta com evasão do EM regular).</w:t>
      </w:r>
    </w:p>
    <w:p>
      <w:pPr>
        <w:spacing w:before="120" w:after="80"/>
      </w:pPr>
      <w:r>
        <w:rPr>
          <w:b/>
          <w:color w:val="3747AA"/>
          <w:sz w:val="22"/>
        </w:rPr>
        <w:t>3.4 `IN_SALA_LEITURA` — queda entre 2022 e 2024</w:t>
      </w:r>
    </w:p>
    <w:p>
      <w:pPr>
        <w:spacing w:before="40" w:after="80"/>
      </w:pPr>
      <w:r>
        <w:rPr>
          <w:b/>
        </w:rPr>
        <w:t>O que é:</w:t>
      </w:r>
      <w:r>
        <w:t xml:space="preserve"> flag indicando existência de sala de leitura. </w:t>
      </w:r>
      <w:r>
        <w:rPr>
          <w:b/>
        </w:rPr>
        <w:t>Problema:</w:t>
      </w:r>
      <w:r>
        <w:t xml:space="preserve"> o índice caiu de 14,6% (2022) para 13,1% (2024) — movimento contrário à tendência de melhoria observada em todos os outros itens de infraestrutura. Isso pode indicar:</w:t>
      </w:r>
    </w:p>
    <w:p>
      <w:pPr>
        <w:pStyle w:val="ListBullet"/>
        <w:spacing w:before="20" w:after="20"/>
        <w:ind w:left="283"/>
      </w:pPr>
      <w:r>
        <w:t>Mudança na definição ou critério de declaração do item no Censo;</w:t>
      </w:r>
    </w:p>
    <w:p>
      <w:pPr>
        <w:pStyle w:val="ListBullet"/>
        <w:spacing w:before="20" w:after="20"/>
        <w:ind w:left="283"/>
      </w:pPr>
      <w:r>
        <w:t>Conversão de salas de leitura em outros espaços (refeitório, lab) em algumas escolas;</w:t>
      </w:r>
    </w:p>
    <w:p>
      <w:pPr>
        <w:pStyle w:val="ListBullet"/>
        <w:spacing w:before="20" w:after="20"/>
        <w:ind w:left="283"/>
      </w:pPr>
      <w:r>
        <w:t>Variação aleatória dado o baixo valor base (~116 escolas).</w:t>
      </w:r>
    </w:p>
    <w:p>
      <w:pPr>
        <w:spacing w:before="40" w:after="80"/>
      </w:pPr>
      <w:r>
        <w:rPr>
          <w:b/>
        </w:rPr>
        <w:t>Decisão:</w:t>
      </w:r>
      <w:r>
        <w:t xml:space="preserve"> campo mantido, mas sua interpretação exige cautela na monografia. Não foi descartado porque a variância entre escolas ainda pode ter poder explicativo.</w:t>
      </w:r>
    </w:p>
    <w:p>
      <w:pPr>
        <w:spacing w:before="120" w:after="80"/>
      </w:pPr>
      <w:r>
        <w:rPr>
          <w:b/>
          <w:color w:val="3747AA"/>
          <w:sz w:val="22"/>
        </w:rPr>
        <w:t>3.5 `QT_COMPUTADOR_ALUNO` e `IN_EXAME_SELECAO_INGRESSO` — ausentes nos CSVs</w:t>
      </w:r>
    </w:p>
    <w:p>
      <w:pPr>
        <w:spacing w:before="40" w:after="80"/>
      </w:pPr>
      <w:r>
        <w:rPr>
          <w:b/>
        </w:rPr>
        <w:t>O que são:</w:t>
      </w:r>
      <w:r>
        <w:t xml:space="preserve"> </w:t>
      </w:r>
      <w:r>
        <w:rPr>
          <w:rFonts w:ascii="Courier New" w:hAnsi="Courier New"/>
          <w:color w:val="C7254E"/>
          <w:sz w:val="18"/>
        </w:rPr>
        <w:t>QT_COMPUTADOR_ALUNO</w:t>
      </w:r>
      <w:r>
        <w:t xml:space="preserve"> era a contagem geral de computadores; </w:t>
      </w:r>
      <w:r>
        <w:rPr>
          <w:rFonts w:ascii="Courier New" w:hAnsi="Courier New"/>
          <w:color w:val="C7254E"/>
          <w:sz w:val="18"/>
        </w:rPr>
        <w:t>IN_EXAME_SELECAO_INGRESSO</w:t>
      </w:r>
      <w:r>
        <w:t xml:space="preserve"> indica se a escola faz seleção de ingresso. </w:t>
      </w:r>
      <w:r>
        <w:rPr>
          <w:b/>
        </w:rPr>
        <w:t>Problema:</w:t>
      </w:r>
      <w:r>
        <w:t xml:space="preserve"> ambas estavam na lista de colunas desejadas em </w:t>
      </w:r>
      <w:r>
        <w:rPr>
          <w:rFonts w:ascii="Courier New" w:hAnsi="Courier New"/>
          <w:color w:val="C7254E"/>
          <w:sz w:val="18"/>
        </w:rPr>
        <w:t>build_school_panel.py</w:t>
      </w:r>
      <w:r>
        <w:t xml:space="preserve"> (herdada do inventário de variáveis), mas </w:t>
      </w:r>
      <w:r>
        <w:rPr>
          <w:b/>
        </w:rPr>
        <w:t>não existem nos CSVs do Censo 2022–2024</w:t>
      </w:r>
      <w:r>
        <w:t xml:space="preserve">. A função </w:t>
      </w:r>
      <w:r>
        <w:rPr>
          <w:rFonts w:ascii="Courier New" w:hAnsi="Courier New"/>
          <w:color w:val="C7254E"/>
          <w:sz w:val="18"/>
        </w:rPr>
        <w:t>_carregar_com_colunas_tolerantes</w:t>
      </w:r>
      <w:r>
        <w:t xml:space="preserve"> descartou silenciosamente essas colunas com aviso de log. </w:t>
      </w:r>
      <w:r>
        <w:rPr>
          <w:b/>
        </w:rPr>
        <w:t>Causa provável:</w:t>
      </w:r>
      <w:r>
        <w:t xml:space="preserve"> o INEP renomeou ou removeu essas variáveis entre edições do Censo. </w:t>
      </w:r>
      <w:r>
        <w:rPr>
          <w:rFonts w:ascii="Courier New" w:hAnsi="Courier New"/>
          <w:color w:val="C7254E"/>
          <w:sz w:val="18"/>
        </w:rPr>
        <w:t>QT_COMPUTADOR_ALUNO</w:t>
      </w:r>
      <w:r>
        <w:t xml:space="preserve"> provavelmente foi fragmentado em </w:t>
      </w:r>
      <w:r>
        <w:rPr>
          <w:rFonts w:ascii="Courier New" w:hAnsi="Courier New"/>
          <w:color w:val="C7254E"/>
          <w:sz w:val="18"/>
        </w:rPr>
        <w:t>QT_DESKTOP_ALUNO</w:t>
      </w:r>
      <w:r>
        <w:t xml:space="preserve"> e </w:t>
      </w:r>
      <w:r>
        <w:rPr>
          <w:rFonts w:ascii="Courier New" w:hAnsi="Courier New"/>
          <w:color w:val="C7254E"/>
          <w:sz w:val="18"/>
        </w:rPr>
        <w:t>QT_TABLET_ALUNO</w:t>
      </w:r>
      <w:r>
        <w:t xml:space="preserve"> (presentes). </w:t>
      </w:r>
      <w:r>
        <w:rPr>
          <w:rFonts w:ascii="Courier New" w:hAnsi="Courier New"/>
          <w:color w:val="C7254E"/>
          <w:sz w:val="18"/>
        </w:rPr>
        <w:t>IN_EXAME_SELECAO_INGRESSO</w:t>
      </w:r>
      <w:r>
        <w:t xml:space="preserve"> pode ter sido descontinuado. </w:t>
      </w:r>
      <w:r>
        <w:rPr>
          <w:b/>
        </w:rPr>
        <w:t>Decisão:</w:t>
      </w:r>
      <w:r>
        <w:t xml:space="preserve"> </w:t>
      </w:r>
      <w:r>
        <w:rPr>
          <w:rFonts w:ascii="Courier New" w:hAnsi="Courier New"/>
          <w:color w:val="C7254E"/>
          <w:sz w:val="18"/>
        </w:rPr>
        <w:t>QT_COMPUTADOR_ALUNO</w:t>
      </w:r>
      <w:r>
        <w:t xml:space="preserve"> substituído pela soma de </w:t>
      </w:r>
      <w:r>
        <w:rPr>
          <w:rFonts w:ascii="Courier New" w:hAnsi="Courier New"/>
          <w:color w:val="C7254E"/>
          <w:sz w:val="18"/>
        </w:rPr>
        <w:t>QT_DESKTOP_ALUNO + QT_TABLET_ALUNO</w:t>
      </w:r>
      <w:r>
        <w:t xml:space="preserve"> no feature engineering futuro. </w:t>
      </w:r>
      <w:r>
        <w:rPr>
          <w:rFonts w:ascii="Courier New" w:hAnsi="Courier New"/>
          <w:color w:val="C7254E"/>
          <w:sz w:val="18"/>
        </w:rPr>
        <w:t>IN_EXAME_SELECAO_INGRESSO</w:t>
      </w:r>
      <w:r>
        <w:t xml:space="preserve"> descartado.</w:t>
      </w:r>
    </w:p>
    <w:p>
      <w:pPr>
        <w:spacing w:before="120" w:after="80"/>
      </w:pPr>
      <w:r>
        <w:rPr>
          <w:b/>
          <w:color w:val="3747AA"/>
          <w:sz w:val="22"/>
        </w:rPr>
        <w:t>3.6 Outliers em `QT_MAT_MED`</w:t>
      </w:r>
    </w:p>
    <w:p>
      <w:pPr>
        <w:spacing w:before="40" w:after="80"/>
      </w:pPr>
      <w:r>
        <w:rPr>
          <w:b/>
        </w:rPr>
        <w:t>Problema:</w:t>
      </w:r>
      <w:r>
        <w:t xml:space="preserve"> 20 escolas (2,5% do painel de 2024) com matrículas acima do fence superior do IQR (872 alunos). A escola maior tem 1.435 matrículas — quase 4× a mediana. No extremo oposto, 70 escolas (8,8%) têm menos de 100 matrículas, sendo algumas com valores muito baixos (mínimo: 7 alunos em 2023). </w:t>
      </w:r>
      <w:r>
        <w:rPr>
          <w:b/>
        </w:rPr>
        <w:t>Decisão:</w:t>
      </w:r>
      <w:r>
        <w:t xml:space="preserve"> </w:t>
      </w:r>
      <w:r>
        <w:rPr>
          <w:b/>
        </w:rPr>
        <w:t>não serão removidos</w:t>
      </w:r>
      <w:r>
        <w:t xml:space="preserve"> — esses valores são reais (grandes centros urbanos têm escolas maiores; municípios pequenos têm escolas menores). O modelo deve aprender com esta variabilidade. Para o feature engineering, será avaliada a transformação logarítmica de </w:t>
      </w:r>
      <w:r>
        <w:rPr>
          <w:rFonts w:ascii="Courier New" w:hAnsi="Courier New"/>
          <w:color w:val="C7254E"/>
          <w:sz w:val="18"/>
        </w:rPr>
        <w:t>QT_MAT_MED</w:t>
      </w:r>
      <w:r>
        <w:t xml:space="preserve"> para reduzir a assimetria da distribuição.</w:t>
      </w:r>
    </w:p>
    <w:p>
      <w:pPr>
        <w:spacing w:before="120" w:after="80"/>
      </w:pPr>
      <w:r>
        <w:rPr>
          <w:b/>
          <w:color w:val="3747AA"/>
          <w:sz w:val="22"/>
        </w:rPr>
        <w:t>3.7 Valores extremos em `alunos_por_turma`</w:t>
      </w:r>
    </w:p>
    <w:p>
      <w:pPr>
        <w:spacing w:before="40" w:after="80"/>
      </w:pPr>
      <w:r>
        <w:rPr>
          <w:b/>
        </w:rPr>
        <w:t>Problema:</w:t>
      </w:r>
      <w:r>
        <w:t xml:space="preserve"> 3 escolas com mais de 45 alunos por turma e 2 com menos de 5. Os valores extremamente baixos (&lt; 5) sugerem turmas em fase de encerramento ou dados de declaração incorretos. </w:t>
      </w:r>
      <w:r>
        <w:rPr>
          <w:b/>
        </w:rPr>
        <w:t>Decisão:</w:t>
      </w:r>
      <w:r>
        <w:t xml:space="preserve"> monitorar durante o feature engineering. O cap em [5, 50] será avaliado antes de entrar no modelo.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4. Análises descartadas ou limitadas</w:t>
      </w:r>
    </w:p>
    <w:p>
      <w:pPr>
        <w:spacing w:before="120" w:after="80"/>
      </w:pPr>
      <w:r>
        <w:rPr>
          <w:b/>
          <w:color w:val="3747AA"/>
          <w:sz w:val="22"/>
        </w:rPr>
        <w:t>4.1 Análise por modalidade magistério (`QT_MAT_MED_NM`)</w:t>
      </w:r>
    </w:p>
    <w:p>
      <w:pPr>
        <w:spacing w:before="40" w:after="80"/>
      </w:pPr>
      <w:r>
        <w:rPr>
          <w:b/>
        </w:rPr>
        <w:t>Planejada:</w:t>
      </w:r>
      <w:r>
        <w:t xml:space="preserve"> comparar escolas com e sem oferta de magistério. </w:t>
      </w:r>
      <w:r>
        <w:rPr>
          <w:b/>
        </w:rPr>
        <w:t>Por que foi descartada:</w:t>
      </w:r>
      <w:r>
        <w:t xml:space="preserve"> 100% de missing em 2022 inviabiliza qualquer análise longitudinal. Nos anos disponíveis, o N de escolas com magistério é irrisório (&lt; 5).</w:t>
      </w:r>
    </w:p>
    <w:p>
      <w:pPr>
        <w:spacing w:before="120" w:after="80"/>
      </w:pPr>
      <w:r>
        <w:rPr>
          <w:b/>
          <w:color w:val="3747AA"/>
          <w:sz w:val="22"/>
        </w:rPr>
        <w:t>4.2 Análise de variação intra-escola de infraestrutura</w:t>
      </w:r>
    </w:p>
    <w:p>
      <w:pPr>
        <w:spacing w:before="40" w:after="80"/>
      </w:pPr>
      <w:r>
        <w:rPr>
          <w:b/>
        </w:rPr>
        <w:t>Planejada:</w:t>
      </w:r>
      <w:r>
        <w:t xml:space="preserve"> verificar se a mesma escola melhora ou piora sua infraestrutura ao longo dos anos. </w:t>
      </w:r>
      <w:r>
        <w:rPr>
          <w:b/>
        </w:rPr>
        <w:t>Limitação:</w:t>
      </w:r>
      <w:r>
        <w:t xml:space="preserve"> como o painel só cobre 3 anos e a maioria dos itens de infra são estáveis (escola raramente perde biblioteca de um ano para o outro), a variação intra-escola é mínima e estatisticamente pouco expressiva. Esta análise será relevante apenas quando o target (taxa de abandono) estiver disponível, para verificar se melhorias de infraestrutura precedem quedas na evasão.</w:t>
      </w:r>
    </w:p>
    <w:p>
      <w:pPr>
        <w:spacing w:before="120" w:after="80"/>
      </w:pPr>
      <w:r>
        <w:rPr>
          <w:b/>
          <w:color w:val="3747AA"/>
          <w:sz w:val="22"/>
        </w:rPr>
        <w:t>4.3 Análise de `QT_SALAS_UTILIZADAS`</w:t>
      </w:r>
    </w:p>
    <w:p>
      <w:pPr>
        <w:spacing w:before="40" w:after="80"/>
      </w:pPr>
      <w:r>
        <w:rPr>
          <w:b/>
        </w:rPr>
        <w:t>Planejada:</w:t>
      </w:r>
      <w:r>
        <w:t xml:space="preserve"> relacionar número de salas com porte e índice de infraestrutura. </w:t>
      </w:r>
      <w:r>
        <w:rPr>
          <w:b/>
        </w:rPr>
        <w:t>Decisão de adiamento:</w:t>
      </w:r>
      <w:r>
        <w:t xml:space="preserve"> a variável está presente e sem missing, mas sua interpretação requer cruzamento com o número de turmas para fazer sentido (salas/turma). Foi deixada para o feature engineering (Notebook 03) quando será criado o indicador de ocupação.</w:t>
      </w:r>
    </w:p>
    <w:p>
      <w:pPr>
        <w:spacing w:before="120" w:after="80"/>
      </w:pPr>
      <w:r>
        <w:rPr>
          <w:b/>
          <w:color w:val="3747AA"/>
          <w:sz w:val="22"/>
        </w:rPr>
        <w:t>4.4 Análise de `CO_MICRORREGIAO`</w:t>
      </w:r>
    </w:p>
    <w:p>
      <w:pPr>
        <w:spacing w:before="40" w:after="80"/>
      </w:pPr>
      <w:r>
        <w:rPr>
          <w:b/>
        </w:rPr>
        <w:t>Planejada:</w:t>
      </w:r>
      <w:r>
        <w:t xml:space="preserve"> desagregação em nível de microrregião (granularidade maior que mesorregião). </w:t>
      </w:r>
      <w:r>
        <w:rPr>
          <w:b/>
        </w:rPr>
        <w:t>Decisão de adiamento:</w:t>
      </w:r>
      <w:r>
        <w:t xml:space="preserve"> PE tem 19 microrregiões. Com ~800 escolas, a média é ~42 escolas por microrregião — granularidade viável. Porém, os dados de localidade do Censo não incluem os nomes das microrregiões diretamente, exigindo join com tabela auxiliar do IBGE. Adiado para o Notebook 03.</w:t>
      </w:r>
    </w:p>
    <w:p>
      <w:pPr>
        <w:spacing w:before="120" w:after="80"/>
      </w:pPr>
      <w:r>
        <w:rPr>
          <w:b/>
          <w:color w:val="3747AA"/>
          <w:sz w:val="22"/>
        </w:rPr>
        <w:t>4.5 Análise de `TP_LOCALIZACAO_DIFERENCIADA`</w:t>
      </w:r>
    </w:p>
    <w:p>
      <w:pPr>
        <w:spacing w:before="40" w:after="80"/>
      </w:pPr>
      <w:r>
        <w:rPr>
          <w:b/>
        </w:rPr>
        <w:t>Planejada:</w:t>
      </w:r>
      <w:r>
        <w:t xml:space="preserve"> identificar escolas em territórios diferenciados (indígenas, quilombolas, assentamentos). </w:t>
      </w:r>
      <w:r>
        <w:rPr>
          <w:b/>
        </w:rPr>
        <w:t>Decisão de adiamento:</w:t>
      </w:r>
      <w:r>
        <w:t xml:space="preserve"> a coluna está presente e sem missing. Porém, o N de escolas nesses territórios em PE é pequeno. A análise será integrada ao Notebook 03 em conjunto com os indicadores socioeconômicos (INSE), que ainda não foram baixados.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5. Resultados das análises descritivas</w:t>
      </w:r>
    </w:p>
    <w:p>
      <w:pPr>
        <w:spacing w:before="120" w:after="80"/>
      </w:pPr>
      <w:r>
        <w:rPr>
          <w:b/>
          <w:color w:val="3747AA"/>
          <w:sz w:val="22"/>
        </w:rPr>
        <w:t>5.1 Perfil do universo (A1)</w:t>
      </w:r>
    </w:p>
    <w:p>
      <w:pPr>
        <w:spacing w:before="40" w:after="80"/>
      </w:pPr>
      <w:r>
        <w:t xml:space="preserve">O painel contém </w:t>
      </w:r>
      <w:r>
        <w:rPr>
          <w:b/>
        </w:rPr>
        <w:t>806 escolas únicas</w:t>
      </w:r>
      <w:r>
        <w:t xml:space="preserve"> distribuídas em 3 anos, totalizando </w:t>
      </w:r>
      <w:r>
        <w:rPr>
          <w:b/>
        </w:rPr>
        <w:t>2.392 observações</w:t>
      </w:r>
      <w:r>
        <w:t xml:space="preserve"> (escola × ano). A estabilidade longitudinal é alta: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Escolas que aparecem em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 anos (2022, 2023 e 2024)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785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97,4%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 anos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2,0%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 ano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0,6%</w:t>
            </w:r>
          </w:p>
        </w:tc>
      </w:tr>
    </w:tbl>
    <w:p/>
    <w:p>
      <w:pPr>
        <w:spacing w:before="40" w:after="80"/>
      </w:pPr>
      <w:r>
        <w:t>As 15 escolas que saíram do painel entre 2022 e 2024 provavelmente foram extintas ou paralisadas ao longo do período. As 6 que entraram podem ter iniciado a oferta de EM ou terem sido estadualizadas. A alta estabilidade (97,4%) confirma que o painel é adequado para modelagem longitudinal.</w:t>
      </w:r>
    </w:p>
    <w:p>
      <w:pPr>
        <w:spacing w:before="40" w:after="80"/>
      </w:pPr>
      <w:r>
        <w:rPr>
          <w:b/>
        </w:rPr>
        <w:t>Movimento anual: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Transição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Saíram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Entraram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2022 → 2023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2023 → 2024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</w:tr>
    </w:tbl>
    <w:p/>
    <w:p>
      <w:pPr>
        <w:spacing w:before="40" w:after="80"/>
      </w:pPr>
      <w:r>
        <w:t>A queda de 801 para 791 escolas em 2024 merece atenção — 12 escolas saíram em um único ano, valor maior que o histórico. Isso pode refletir extinções, reorganizações ou mudanças de dependência administrativa. Nenhuma hipótese foi confirmada ainda; será investigado ao integrar o target.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5.2 Distribuição geográfica (A2)</w:t>
      </w:r>
    </w:p>
    <w:p>
      <w:pPr>
        <w:spacing w:before="40" w:after="80"/>
      </w:pPr>
      <w:r>
        <w:rPr>
          <w:b/>
        </w:rPr>
        <w:t>Localização urbana/rural (2024):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Localização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Urbana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680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86,0%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Rural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111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14,0%</w:t>
            </w:r>
          </w:p>
        </w:tc>
      </w:tr>
    </w:tbl>
    <w:p/>
    <w:p>
      <w:pPr>
        <w:spacing w:before="40" w:after="80"/>
      </w:pPr>
      <w:r>
        <w:t>O perfil é predominantemente urbano, consistente com a concentração da rede estadual nas sedes municipais.</w:t>
      </w:r>
    </w:p>
    <w:p>
      <w:pPr>
        <w:spacing w:before="40" w:after="80"/>
      </w:pPr>
      <w:r>
        <w:rPr>
          <w:b/>
        </w:rPr>
        <w:t>Escolas por mesorregião (2024):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Mesorregião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Total Matrículas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Média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Metropolitana de Recife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2605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258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103.932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403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Agreste Pernambucano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2603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183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76.605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419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Sertão Pernambucano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2601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118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39.390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334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Mata Pernambucana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2604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116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43.364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374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São Francisco Pernambucano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2602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116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27.209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235</w:t>
            </w:r>
          </w:p>
        </w:tc>
      </w:tr>
    </w:tbl>
    <w:p/>
    <w:p>
      <w:pPr>
        <w:spacing w:before="40" w:after="80"/>
      </w:pPr>
      <w:r>
        <w:t xml:space="preserve">A mesorregião Metropolitana de Recife concentra </w:t>
      </w:r>
      <w:r>
        <w:rPr>
          <w:b/>
        </w:rPr>
        <w:t>33% das escolas e 35% das matrículas</w:t>
      </w:r>
      <w:r>
        <w:t>. A mesorregião do São Francisco se destaca pelo menor porte médio (235 matrículas/escola vs. 419 no Agreste), o que pode indicar maior vulnerabilidade a variações bruscas na evasão.</w:t>
      </w:r>
    </w:p>
    <w:p>
      <w:pPr>
        <w:spacing w:before="40" w:after="80"/>
      </w:pPr>
      <w:r>
        <w:rPr>
          <w:b/>
        </w:rPr>
        <w:t>Concentração municipal:</w:t>
      </w:r>
      <w:r>
        <w:t xml:space="preserve"> Recife sozinha tem 100 escolas e 40.407 matrículas — 13% de todo o universo. As 5 maiores cidades (Recife, Jaboatão, Petrolina, Caruaru, Olinda) respondem por 31% das escolas.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5.3 Matrículas e porte das escolas (A3)</w:t>
      </w:r>
    </w:p>
    <w:p>
      <w:pPr>
        <w:spacing w:before="40" w:after="80"/>
      </w:pPr>
      <w:r>
        <w:rPr>
          <w:b/>
        </w:rPr>
        <w:t>Estatísticas descritivas de `QT_MAT_MED` por ano: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Estatística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2022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2023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2024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373,3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365,5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367,3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Mediana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351,5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347,0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355,0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Desvio-padrão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211,8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209,6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210,2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Mínimo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Máximo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1.346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1.375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1.435</w:t>
            </w:r>
          </w:p>
        </w:tc>
      </w:tr>
    </w:tbl>
    <w:p/>
    <w:p>
      <w:pPr>
        <w:spacing w:before="40" w:after="80"/>
      </w:pPr>
      <w:r>
        <w:t>A distribuição é estável entre os anos — o teste Kruskal-Wallis não detectou diferença significativa entre os três anos (H=0,76, p=0,68). A assimetria positiva é marcante (média &gt; mediana), puxada pelas escolas grandes de Recife e Jaboatão.</w:t>
      </w:r>
    </w:p>
    <w:p>
      <w:pPr>
        <w:spacing w:before="40" w:after="80"/>
      </w:pPr>
      <w:r>
        <w:rPr>
          <w:b/>
        </w:rPr>
        <w:t>Categorias de porte (2024):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Porte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Micro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&lt; 100 alunos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8,8%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Pequena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100–249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173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21,9%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250–499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379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47,9%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Grande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500–749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134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16,9%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Muito grande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750+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35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4,4%</w:t>
            </w:r>
          </w:p>
        </w:tc>
      </w:tr>
    </w:tbl>
    <w:p/>
    <w:p>
      <w:pPr>
        <w:spacing w:before="40" w:after="80"/>
      </w:pPr>
      <w:r>
        <w:t>Quase metade das escolas é de porte médio. As micros (8,8%) merecem monitoramento especial, pois a taxa de abandono em escolas muito pequenas pode ser extremamente volátil — a saída de poucos alunos muda drasticamente o indicador percentual.</w:t>
      </w:r>
    </w:p>
    <w:p>
      <w:pPr>
        <w:spacing w:before="40" w:after="80"/>
      </w:pPr>
      <w:r>
        <w:rPr>
          <w:b/>
        </w:rPr>
        <w:t>Razões operacionais (2024):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Média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Mín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Máx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Alunos por turma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32,9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34,2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2,3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51,1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Alunos por docente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17,7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18,4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1,0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36,5</w:t>
            </w:r>
          </w:p>
        </w:tc>
      </w:tr>
    </w:tbl>
    <w:p/>
    <w:p>
      <w:pPr>
        <w:spacing w:before="40" w:after="80"/>
      </w:pPr>
      <w:r>
        <w:rPr>
          <w:b/>
        </w:rPr>
        <w:t>Escolas rurais têm significativamente menos matrículas que urbanas</w:t>
      </w:r>
      <w:r>
        <w:t xml:space="preserve"> (teste Mann-Whitney: p &lt; 0,0001). A diferença de porte entre os perfis é estrutural e consistente nos 3 anos.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5.4 Infraestrutura física e tecnológica (A4)</w:t>
      </w:r>
    </w:p>
    <w:p>
      <w:pPr>
        <w:spacing w:before="40" w:after="80"/>
      </w:pPr>
      <w:r>
        <w:rPr>
          <w:b/>
        </w:rPr>
        <w:t>Índice de infraestrutura (média das 13 flags IN_*):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Estatística</w:t>
            </w:r>
          </w:p>
        </w:tc>
        <w:tc>
          <w:tcPr>
            <w:tcW w:type="dxa" w:w="4394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2024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0,680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Mediana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0,692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Desvio-padrão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0,154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Mínimo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0,167</w:t>
            </w:r>
          </w:p>
        </w:tc>
      </w:tr>
      <w:tr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Máximo</w:t>
            </w:r>
          </w:p>
        </w:tc>
        <w:tc>
          <w:tcPr>
            <w:tcW w:type="dxa" w:w="4394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1,000</w:t>
            </w:r>
          </w:p>
        </w:tc>
      </w:tr>
    </w:tbl>
    <w:p/>
    <w:p>
      <w:pPr>
        <w:spacing w:before="40" w:after="80"/>
      </w:pPr>
      <w:r>
        <w:rPr>
          <w:b/>
        </w:rPr>
        <w:t>Diferença urbana vs. rural é estatisticamente expressiva: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Média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DP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Urbana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680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0,707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0,138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Rural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0,517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0,143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Diferença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−0,190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/>
    <w:p>
      <w:pPr>
        <w:spacing w:before="40" w:after="80"/>
      </w:pPr>
      <w:r>
        <w:t>Teste t de Welch: t=13,09, p &lt; 0,000001. A diferença de 19 pontos percentuais no índice entre escolas urbanas e rurais é uma das maiores disparidades observadas no painel. Isso sugere que a localização geográfica deve ser uma feature relevante no modelo preditivo.</w:t>
      </w:r>
    </w:p>
    <w:p>
      <w:pPr>
        <w:spacing w:before="40" w:after="80"/>
      </w:pPr>
      <w:r>
        <w:rPr>
          <w:b/>
        </w:rPr>
        <w:t>Por mesorregião (2024 — ranqueado do menor para o maior índice):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Mesorregião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Índice médio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DP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São Francisco PE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0,589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0,179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Mata PE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0,661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0,143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Sertão PE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0,689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0,133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Agreste PE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0,704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0,137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Metropolitana de Recife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0,709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0,150</w:t>
            </w:r>
          </w:p>
        </w:tc>
      </w:tr>
    </w:tbl>
    <w:p/>
    <w:p>
      <w:pPr>
        <w:spacing w:before="40" w:after="80"/>
      </w:pPr>
      <w:r>
        <w:t>A mesorregião do São Francisco apresenta o menor índice (0,589) e o maior desvio-padrão (0,179), indicando heterogeneidade interna elevada — convivem escolas com dotação muito baixa e algumas bem equipadas. Esta mesorregião também tem o menor porte médio das escolas, sugerindo acumulação de fatores de risco.</w:t>
      </w:r>
    </w:p>
    <w:p>
      <w:pPr>
        <w:spacing w:before="40" w:after="80"/>
      </w:pPr>
      <w:r>
        <w:rPr>
          <w:b/>
        </w:rPr>
        <w:t>Itens que mais cresceram entre 2022 e 2024:</w:t>
      </w:r>
    </w:p>
    <w:p>
      <w:pPr>
        <w:pStyle w:val="ListBullet"/>
        <w:spacing w:before="20" w:after="20"/>
        <w:ind w:left="283"/>
      </w:pPr>
      <w:r>
        <w:t>Quadra de esportes: +10,0 pp (68,4% → 78,4%)</w:t>
      </w:r>
    </w:p>
    <w:p>
      <w:pPr>
        <w:pStyle w:val="ListBullet"/>
        <w:spacing w:before="20" w:after="20"/>
        <w:ind w:left="283"/>
      </w:pPr>
      <w:r>
        <w:t>Internet para alunos: +6,8 pp (70,8% → 77,6%)</w:t>
      </w:r>
    </w:p>
    <w:p>
      <w:pPr>
        <w:pStyle w:val="ListBullet"/>
        <w:spacing w:before="20" w:after="20"/>
        <w:ind w:left="283"/>
      </w:pPr>
      <w:r>
        <w:t>Biblioteca: +2,8 pp (89,9% → 92,7%)</w:t>
      </w:r>
    </w:p>
    <w:p>
      <w:pPr>
        <w:spacing w:before="40" w:after="80"/>
      </w:pPr>
      <w:r>
        <w:rPr>
          <w:b/>
        </w:rPr>
        <w:t>Item que regrediu:</w:t>
      </w:r>
    </w:p>
    <w:p>
      <w:pPr>
        <w:pStyle w:val="ListBullet"/>
        <w:spacing w:before="20" w:after="20"/>
        <w:ind w:left="283"/>
      </w:pPr>
      <w:r>
        <w:t>Sala de leitura: −1,5 pp (14,6% → 13,1%) — provável mudança de critério de declaração, não desaparecimento físico (ver seção 3.4).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5.5 Tecnologia e conectividade (A5)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2022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2023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2024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Internet (qualquer)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99,1%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99,4%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99,1%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Internet para alunos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70,8%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76,5%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77,6%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Banda larga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87,5%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88,1%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88,9%</w:t>
            </w:r>
          </w:p>
        </w:tc>
      </w:tr>
    </w:tbl>
    <w:p/>
    <w:p>
      <w:pPr>
        <w:spacing w:before="40" w:after="80"/>
      </w:pPr>
      <w:r>
        <w:t>A cobertura de internet é praticamente universal. No entanto, há uma diferença importante: enquanto 99% das escolas têm internet, apenas 78% a disponibilizam para os alunos. Esta diferença é ainda mais acentuada no rural (65,8%) vs. urbano (79,6%).</w:t>
      </w:r>
    </w:p>
    <w:p>
      <w:pPr>
        <w:spacing w:before="40" w:after="80"/>
      </w:pPr>
      <w:r>
        <w:rPr>
          <w:b/>
        </w:rPr>
        <w:t>Desktops (2024):</w:t>
      </w:r>
      <w:r>
        <w:t xml:space="preserve"> média de 12 desktops por escola; 22,3% das escolas não possuem nenhum. </w:t>
      </w:r>
      <w:r>
        <w:rPr>
          <w:b/>
        </w:rPr>
        <w:t>Tablets:</w:t>
      </w:r>
      <w:r>
        <w:t xml:space="preserve"> distribuição muito assimétrica — mediana = 0, indicando que a maioria das escolas não possui tablets, com alguns outliers que receberam doações ou programas governamentais.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5.6 Tendências temporais 2022–2024 (A6)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2022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2023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2024</w:t>
            </w:r>
          </w:p>
        </w:tc>
        <w:tc>
          <w:tcPr>
            <w:tcW w:type="dxa" w:w="1758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Variação %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Matrículas médias (QT_MAT_MED)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373,3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365,5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367,3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−1,6%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Turmas médias (QT_TUR_MED)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10,78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10,67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10,72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−0,6%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Docentes médios (QT_DOC_MED)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19,34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19,40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19,67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+1,7%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Alunos por turma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33,28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32,79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32,85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−1,3%</w:t>
            </w:r>
          </w:p>
        </w:tc>
      </w:tr>
      <w:tr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Alunos por docente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18,49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17,89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17,70</w:t>
            </w:r>
          </w:p>
        </w:tc>
        <w:tc>
          <w:tcPr>
            <w:tcW w:type="dxa" w:w="1758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−4,3%</w:t>
            </w:r>
          </w:p>
        </w:tc>
      </w:tr>
      <w:tr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% Integral (média)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56,7%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61,6%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64,9%</w:t>
            </w:r>
          </w:p>
        </w:tc>
        <w:tc>
          <w:tcPr>
            <w:tcW w:type="dxa" w:w="175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+14,6%</w:t>
            </w:r>
          </w:p>
        </w:tc>
      </w:tr>
    </w:tbl>
    <w:p/>
    <w:p>
      <w:pPr>
        <w:spacing w:before="40" w:after="80"/>
      </w:pPr>
      <w:r>
        <w:rPr>
          <w:b/>
        </w:rPr>
        <w:t>Achados principais:</w:t>
      </w:r>
    </w:p>
    <w:p>
      <w:pPr>
        <w:pStyle w:val="ListBullet"/>
        <w:spacing w:before="20" w:after="20"/>
        <w:ind w:left="283"/>
      </w:pPr>
      <w:r>
        <w:t>As matrículas totais estabilizaram (queda não-significativa de −1,6%). Isso é esperado em um estado sem forte crescimento demográfico no segmento de EM.</w:t>
      </w:r>
    </w:p>
    <w:p>
      <w:pPr>
        <w:pStyle w:val="ListBullet"/>
        <w:spacing w:before="20" w:after="20"/>
        <w:ind w:left="283"/>
      </w:pPr>
      <w:r>
        <w:t>O número de docentes cresceu enquanto as matrículas caíram levemente — a relação alunos/docente melhorou 4,3%, o que pode indicar uma política de reforço do quadro.</w:t>
      </w:r>
    </w:p>
    <w:p>
      <w:pPr>
        <w:pStyle w:val="ListBullet"/>
        <w:spacing w:before="20" w:after="20"/>
        <w:ind w:left="283"/>
      </w:pPr>
      <w:r>
        <w:t>O crescimento do tempo integral é a tendência mais marcante: +14,6% em 3 anos, refletindo a expansão nacional do programa.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5.7 Correlações entre features (A7)</w:t>
      </w:r>
    </w:p>
    <w:p>
      <w:pPr>
        <w:spacing w:before="40" w:after="80"/>
      </w:pPr>
      <w:r>
        <w:t>Matriz de correlação de Spearman (2024) — principais relações: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 de Spearman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Significância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QT_MAT_MED × QT_TUR_MED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+0,957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QT_MAT_MED × QT_DOC_MED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+0,861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alunos_por_turma × QT_MAT_MED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+0,661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% Integral × índice_infra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+0,441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Localização × índice_infra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−0,407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QT_MAT_MED × índice_infra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+0,307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</w:tr>
    </w:tbl>
    <w:p/>
    <w:p>
      <w:pPr>
        <w:spacing w:before="40" w:after="80"/>
      </w:pPr>
      <w:r>
        <w:rPr>
          <w:b/>
        </w:rPr>
        <w:t>Interpretações:</w:t>
      </w:r>
    </w:p>
    <w:p>
      <w:pPr>
        <w:spacing w:before="40" w:after="80"/>
      </w:pPr>
      <w:r>
        <w:t xml:space="preserve">1. </w:t>
      </w:r>
      <w:r>
        <w:rPr>
          <w:b/>
        </w:rPr>
        <w:t>Matrículas × Turmas × Docentes</w:t>
      </w:r>
      <w:r>
        <w:t xml:space="preserve"> — as três variáveis medem basicamente o mesmo conceito (tamanho da escola). No modelo, usar as três seria introduzir multicolinearidade. Apenas uma deve entrar como feature (recomendado: </w:t>
      </w:r>
      <w:r>
        <w:rPr>
          <w:rFonts w:ascii="Courier New" w:hAnsi="Courier New"/>
          <w:color w:val="C7254E"/>
          <w:sz w:val="18"/>
        </w:rPr>
        <w:t>QT_MAT_MED</w:t>
      </w:r>
      <w:r>
        <w:t xml:space="preserve"> como medida de porte).</w:t>
      </w:r>
    </w:p>
    <w:p>
      <w:pPr>
        <w:spacing w:before="40" w:after="80"/>
      </w:pPr>
      <w:r>
        <w:t xml:space="preserve">2. </w:t>
      </w:r>
      <w:r>
        <w:rPr>
          <w:b/>
        </w:rPr>
        <w:t>% Integral × Infraestrutura (r=+0,44)</w:t>
      </w:r>
      <w:r>
        <w:t xml:space="preserve"> — escolas de tempo integral tendem a ter melhor infraestrutura. Isso pode refletir uma seleção: o programa integral tende a ser implementado primeiro nas escolas com melhor dotação física. Importante considerar possível confundimento ao usar ambas as features no modelo.</w:t>
      </w:r>
    </w:p>
    <w:p>
      <w:pPr>
        <w:spacing w:before="40" w:after="80"/>
      </w:pPr>
      <w:r>
        <w:t xml:space="preserve">3. </w:t>
      </w:r>
      <w:r>
        <w:rPr>
          <w:b/>
        </w:rPr>
        <w:t>Localização × Infraestrutura (r=−0,41)</w:t>
      </w:r>
      <w:r>
        <w:t xml:space="preserve"> — confirmação estatística do que já foi observado: escolas rurais (código 2) têm menor índice de infraestrutura. A correlação negativa é esperada (código 2 = rural = menor infra).</w:t>
      </w:r>
    </w:p>
    <w:p>
      <w:pPr>
        <w:spacing w:before="40" w:after="80"/>
      </w:pPr>
      <w:r>
        <w:t xml:space="preserve">4. </w:t>
      </w:r>
      <w:r>
        <w:rPr>
          <w:b/>
        </w:rPr>
        <w:t>Ausência de multicolinearidade extrema</w:t>
      </w:r>
      <w:r>
        <w:t xml:space="preserve"> entre infraestrutura e variáveis de tamanho (r ≈ 0,31) indica que porte e qualidade de infraestrutura são dimensões distintas — ambas podem entrar no modelo sem redundância.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5.8 Tempo integral (A8)</w:t>
      </w:r>
    </w:p>
    <w:p>
      <w:pPr>
        <w:spacing w:before="40" w:after="80"/>
      </w:pPr>
      <w:r>
        <w:t>O programa de educação em tempo integral é uma das mais marcantes transformações do ensino médio em PE nos últimos anos. Os dados revelam:</w:t>
      </w:r>
    </w:p>
    <w:p>
      <w:pPr>
        <w:spacing w:before="40" w:after="80"/>
      </w:pPr>
      <w:r>
        <w:rPr>
          <w:b/>
        </w:rPr>
        <w:t>Classificação das escolas em 2024: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100% integral (todas as matrículas)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395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49,9%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Híbrida (parte integral, parte regular)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265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33,5%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 integral (apenas turmas regulares)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131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16,6%</w:t>
            </w:r>
          </w:p>
        </w:tc>
      </w:tr>
    </w:tbl>
    <w:p/>
    <w:p>
      <w:pPr>
        <w:spacing w:before="40" w:after="80"/>
      </w:pPr>
      <w:r>
        <w:rPr>
          <w:b/>
        </w:rPr>
        <w:t>Em 2024, metade das escolas estaduais de EM em PE são 100% integrais.</w:t>
      </w:r>
      <w:r>
        <w:t xml:space="preserve"> Este é um dado extraordinário que tem implicações diretas para o modelo preditivo: a modalidade integral pode ser um fator de proteção contra evasão (alunos com mais atividades na escola tendem a ter menor abandono). Ou, ao contrário, pode ser um fator de risco para determinados perfis de alunos que precisam trabalhar.</w:t>
      </w:r>
    </w:p>
    <w:p>
      <w:pPr>
        <w:spacing w:before="40" w:after="80"/>
      </w:pPr>
      <w:r>
        <w:rPr>
          <w:b/>
        </w:rPr>
        <w:t>Por localização (2024):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Localização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 Integral médio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Mediana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Urbana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71,4%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Rural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25,1%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</w:tbl>
    <w:p/>
    <w:p>
      <w:pPr>
        <w:spacing w:before="40" w:after="80"/>
      </w:pPr>
      <w:r>
        <w:t>A diferença é drástica: na zona rural, a mediana é 0% — a maioria das escolas rurais não tem nenhuma matrícula integral. O programa integral é, até agora, predominantemente urbano.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5.9 Qualidade dos dados (A9)</w:t>
      </w:r>
    </w:p>
    <w:p>
      <w:pPr>
        <w:spacing w:before="40" w:after="80"/>
      </w:pPr>
      <w:r>
        <w:t>De 34 colunas no painel, apenas 2 apresentam missing: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Missing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QT_MAT_MED_NM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33,4% (todo o ano 2022)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Descartada do projeto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IN_BANDA_LARGA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0,8% (19 obs.)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Imputação simples resolve</w:t>
            </w:r>
          </w:p>
        </w:tc>
      </w:tr>
    </w:tbl>
    <w:p/>
    <w:p>
      <w:pPr>
        <w:spacing w:before="40" w:after="80"/>
      </w:pPr>
      <w:r>
        <w:rPr>
          <w:b/>
        </w:rPr>
        <w:t>O painel é de alta qualidade para as variáveis do Censo.</w:t>
      </w:r>
      <w:r>
        <w:t xml:space="preserve"> A ausência de missing nas features principais (infraestrutura, matrículas, localização) é um ponto favorável para o modelo.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120" w:after="80"/>
      </w:pPr>
      <w:r>
        <w:rPr>
          <w:b/>
          <w:color w:val="3747AA"/>
          <w:sz w:val="22"/>
        </w:rPr>
        <w:t>5.10 Ranking de municípios (A10)</w:t>
      </w:r>
    </w:p>
    <w:p>
      <w:pPr>
        <w:spacing w:before="40" w:after="80"/>
      </w:pPr>
      <w:r>
        <w:rPr>
          <w:b/>
        </w:rPr>
        <w:t>Municípios com menor infraestrutura média (mín. 3 escolas, 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Município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 escolas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Índice infra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 Rural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Carnaubeira da Penha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0,442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90,9%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Floresta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0,471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60,0%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Jatobá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0,508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60,0%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Tacaratu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0,510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75,0%</w:t>
            </w:r>
          </w:p>
        </w:tc>
      </w:tr>
    </w:tbl>
    <w:p/>
    <w:p>
      <w:pPr>
        <w:spacing w:before="40" w:after="80"/>
      </w:pPr>
      <w:r>
        <w:t>Esses municípios concentram características de vulnerabilidade: alta taxa de escolas rurais, baixo índice de infraestrutura, e localização no interior (São Francisco e Sertão). São candidatos a aparecer no topo do ranking de risco de evasão quando o target for integrado.</w:t>
      </w:r>
    </w:p>
    <w:p>
      <w:pPr>
        <w:spacing w:before="40" w:after="80"/>
      </w:pPr>
      <w:r>
        <w:rPr>
          <w:b/>
        </w:rPr>
        <w:t>Municípios com maior infraestrutura média (mín. 3 escolas, 2024):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Município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 escolas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Índice infra</w:t>
            </w:r>
          </w:p>
        </w:tc>
        <w:tc>
          <w:tcPr>
            <w:tcW w:type="dxa" w:w="2197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% Rural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Surubim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0,827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São Bento do Una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0,827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Recife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0,791</w:t>
            </w:r>
          </w:p>
        </w:tc>
        <w:tc>
          <w:tcPr>
            <w:tcW w:type="dxa" w:w="2197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Caruaru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0,773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</w:tbl>
    <w:p/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6. Limitações das análises atuais</w:t>
      </w:r>
    </w:p>
    <w:p>
      <w:pPr>
        <w:spacing w:before="40" w:after="80"/>
      </w:pPr>
      <w:r>
        <w:t xml:space="preserve">1. </w:t>
      </w:r>
      <w:r>
        <w:rPr>
          <w:b/>
        </w:rPr>
        <w:t>Ausência do target</w:t>
      </w:r>
      <w:r>
        <w:t xml:space="preserve"> — todas as análises são descritivas das features. Não é possível ainda afirmar qual feature se correlaciona com evasão, apenas caracterizar o perfil das escolas.</w:t>
      </w:r>
    </w:p>
    <w:p>
      <w:pPr>
        <w:spacing w:before="40" w:after="80"/>
      </w:pPr>
      <w:r>
        <w:t xml:space="preserve">2. </w:t>
      </w:r>
      <w:r>
        <w:rPr>
          <w:b/>
        </w:rPr>
        <w:t>Sem indicadores externos</w:t>
      </w:r>
      <w:r>
        <w:t xml:space="preserve"> — INSE, Distorção Idade-Série, Adequação Docente e Regularidade do Corpo Docente (fontes marcadas como "A baixar" no </w:t>
      </w:r>
      <w:r>
        <w:rPr>
          <w:rFonts w:ascii="Courier New" w:hAnsi="Courier New"/>
          <w:color w:val="C7254E"/>
          <w:sz w:val="18"/>
        </w:rPr>
        <w:t>decisoes_projeto.md</w:t>
      </w:r>
      <w:r>
        <w:t>) não foram incorporados. Estes indicadores têm potencial preditivo alto e sua ausência limita a análise exploratória.</w:t>
      </w:r>
    </w:p>
    <w:p>
      <w:pPr>
        <w:spacing w:before="40" w:after="80"/>
      </w:pPr>
      <w:r>
        <w:t xml:space="preserve">3. </w:t>
      </w:r>
      <w:r>
        <w:rPr>
          <w:b/>
        </w:rPr>
        <w:t>Painel curto</w:t>
      </w:r>
      <w:r>
        <w:t xml:space="preserve"> — 3 anos é suficiente para o modelo, mas insuficiente para análises de tendência de longo prazo (ex.: impacto da pandemia de 2020 na composição atual das escolas).</w:t>
      </w:r>
    </w:p>
    <w:p>
      <w:pPr>
        <w:spacing w:before="40" w:after="80"/>
      </w:pPr>
      <w:r>
        <w:t xml:space="preserve">4. </w:t>
      </w:r>
      <w:r>
        <w:rPr>
          <w:b/>
        </w:rPr>
        <w:t>Infraestrutura como proxy</w:t>
      </w:r>
      <w:r>
        <w:t xml:space="preserve"> — sem o target, o índice de infraestrutura é usado como proxy de qualidade. Com o target disponível, será possível verificar se escolas com menor infraestrutura têm de fato mais evasão — hipótese plausível mas não confirmada.</w:t>
      </w:r>
    </w:p>
    <w:p>
      <w:pPr>
        <w:spacing w:before="120" w:after="120"/>
        <w:pBdr>
          <w:bottom w:val="single" w:sz="6" w:space="1" w:color="283A93"/>
        </w:pBdr>
      </w:pPr>
    </w:p>
    <w:p>
      <w:pPr>
        <w:spacing w:before="200" w:after="80"/>
      </w:pPr>
      <w:r>
        <w:rPr>
          <w:b/>
          <w:color w:val="283A93"/>
          <w:sz w:val="26"/>
        </w:rPr>
        <w:t>7. Próximos passos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2929"/>
            <w:shd w:val="clear" w:color="auto" w:fill="1A237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Arquivo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CRÍTICA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Baixar Taxas de Rendimento Escolar (target)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data/raw/taxas_rendimento/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Baixar INSE, Distorção, Adequação e Regularidade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data/raw/outros_indicadores/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Executar </w:t>
            </w:r>
            <w:r>
              <w:rPr>
                <w:rFonts w:ascii="Courier New" w:hAnsi="Courier New"/>
                <w:color w:val="C7254E"/>
                <w:sz w:val="19"/>
              </w:rPr>
              <w:t>build_target.py</w:t>
            </w:r>
            <w:r>
              <w:rPr>
                <w:sz w:val="19"/>
              </w:rPr>
              <w:t xml:space="preserve"> para construir </w:t>
            </w:r>
            <w:r>
              <w:rPr>
                <w:rFonts w:ascii="Courier New" w:hAnsi="Courier New"/>
                <w:color w:val="C7254E"/>
                <w:sz w:val="19"/>
              </w:rPr>
              <w:t>taxa_abandono_t1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Notebook 02b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Feature engineering: criar </w:t>
            </w:r>
            <w:r>
              <w:rPr>
                <w:rFonts w:ascii="Courier New" w:hAnsi="Courier New"/>
                <w:color w:val="C7254E"/>
                <w:sz w:val="19"/>
              </w:rPr>
              <w:t>indice_infra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C7254E"/>
                <w:sz w:val="19"/>
              </w:rPr>
              <w:t>alunos_por_turma</w:t>
            </w:r>
            <w:r>
              <w:rPr>
                <w:sz w:val="19"/>
              </w:rPr>
              <w:t>, lags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Notebook 03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Excluir </w:t>
            </w:r>
            <w:r>
              <w:rPr>
                <w:rFonts w:ascii="Courier New" w:hAnsi="Courier New"/>
                <w:color w:val="C7254E"/>
                <w:sz w:val="19"/>
              </w:rPr>
              <w:t>IN_ENERGIA_REDE_PUBLICA</w:t>
            </w:r>
            <w:r>
              <w:rPr>
                <w:sz w:val="19"/>
              </w:rPr>
              <w:t xml:space="preserve"> (constante) do pipeline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feature_engineer.py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Planejar imputação de </w:t>
            </w:r>
            <w:r>
              <w:rPr>
                <w:rFonts w:ascii="Courier New" w:hAnsi="Courier New"/>
                <w:color w:val="C7254E"/>
                <w:sz w:val="19"/>
              </w:rPr>
              <w:t>IN_BANDA_LARGA</w:t>
            </w:r>
            <w:r>
              <w:rPr>
                <w:sz w:val="19"/>
              </w:rPr>
              <w:t xml:space="preserve"> (0,8% missing)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feature_engineer.py</w:t>
            </w:r>
          </w:p>
        </w:tc>
      </w:tr>
      <w:tr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BAIXA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Join com tabela de microrregiões IBGE para labels</w:t>
            </w:r>
          </w:p>
        </w:tc>
        <w:tc>
          <w:tcPr>
            <w:tcW w:type="dxa" w:w="2929"/>
            <w:shd w:val="clear" w:color="auto" w:fill="E8EAF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Notebook 03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BAIXA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 xml:space="preserve">Avaliar transformação log de </w:t>
            </w:r>
            <w:r>
              <w:rPr>
                <w:rFonts w:ascii="Courier New" w:hAnsi="Courier New"/>
                <w:color w:val="C7254E"/>
                <w:sz w:val="19"/>
              </w:rPr>
              <w:t>QT_MAT_MED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Notebook 03</w:t>
            </w:r>
          </w:p>
        </w:tc>
      </w:tr>
    </w:tbl>
    <w:p/>
    <w:p>
      <w:pPr>
        <w:spacing w:before="120" w:after="120"/>
        <w:pBdr>
          <w:bottom w:val="single" w:sz="6" w:space="1" w:color="283A93"/>
        </w:pBdr>
      </w:pPr>
    </w:p>
    <w:p>
      <w:pPr>
        <w:spacing w:before="40" w:after="80"/>
      </w:pPr>
      <w:r>
        <w:t xml:space="preserve">*Documento gerado com base nas análises do painel </w:t>
      </w:r>
      <w:r>
        <w:rPr>
          <w:rFonts w:ascii="Courier New" w:hAnsi="Courier New"/>
          <w:color w:val="C7254E"/>
          <w:sz w:val="18"/>
        </w:rPr>
        <w:t>painel_escola_ano_pe_estadual_em.parquet</w:t>
      </w:r>
      <w:r>
        <w:t xml:space="preserve"> (2.392 linhas, 34 colunas), usando os notebooks </w:t>
      </w:r>
      <w:r>
        <w:rPr>
          <w:rFonts w:ascii="Courier New" w:hAnsi="Courier New"/>
          <w:color w:val="C7254E"/>
          <w:sz w:val="18"/>
        </w:rPr>
        <w:t>01_exploracao_inicial.py</w:t>
      </w:r>
      <w:r>
        <w:t xml:space="preserve"> e </w:t>
      </w:r>
      <w:r>
        <w:rPr>
          <w:rFonts w:ascii="Courier New" w:hAnsi="Courier New"/>
          <w:color w:val="C7254E"/>
          <w:sz w:val="18"/>
        </w:rPr>
        <w:t>02_analises_descritivas.py</w:t>
      </w:r>
      <w:r>
        <w:t>.*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