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0"/>
          <w:iCs w:val="0"/>
          <w:caps w:val="0"/>
          <w:smallCaps w:val="0"/>
          <w:strike w:val="0"/>
          <w:dstrike w:val="0"/>
          <w:color w:val="000000"/>
          <w:position w:val="0"/>
          <w:sz w:val="24"/>
          <w:szCs w:val="24"/>
          <w:u w:val="none"/>
          <w:shd w:val="clear" w:fill="auto"/>
          <w:vertAlign w:val="baseline"/>
        </w:rPr>
        <w:t>nome do completo do(a) orientador(a)</w:t>
      </w:r>
      <w:r>
        <w:rPr>
          <w:rFonts w:eastAsia="Arial" w:cs="Arial"/>
          <w:b w:val="0"/>
          <w:bCs w:val="0"/>
          <w:i w:val="0"/>
          <w:iCs w:val="0"/>
          <w:caps w:val="0"/>
          <w:smallCaps w:val="0"/>
          <w:strike w:val="0"/>
          <w:dstrike w:val="0"/>
          <w:color w:val="000000"/>
          <w:position w:val="0"/>
          <w:sz w:val="24"/>
          <w:szCs w:val="24"/>
          <w:u w:val="none"/>
          <w:shd w:val="clear" w:fill="auto"/>
          <w:vertAlign w:val="baseline"/>
        </w:rPr>
        <w:t>).</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bookmarkStart w:id="66" w:name="_GoBack"/>
      <w:bookmarkEnd w:id="66"/>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mais da metade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38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almost two thirds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12CBFCCB">
      <w:pPr>
        <w:pStyle w:val="3"/>
        <w:ind w:firstLine="0"/>
        <w:rPr>
          <w:color w:val="2E75B5"/>
        </w:rPr>
      </w:pPr>
      <w:r>
        <w:rPr>
          <w:rFonts w:ascii="Arial" w:hAnsi="Arial"/>
          <w:color w:val="1F4E9B"/>
          <w:sz w:val="22"/>
          <w:highlight w:val="yellow"/>
        </w:rPr>
        <w:t>Figura 13 – Desempenho do modelo adotado em cada transição anual (2022→2023 e 2023→2024)</w:t>
      </w:r>
    </w:p>
    <w:p w14:paraId="3199E1D8">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0BCC53AB">
      <w:pPr>
        <w:pStyle w:val="3"/>
        <w:ind w:firstLine="0"/>
        <w:rPr>
          <w:color w:val="2E75B5"/>
        </w:rPr>
      </w:pPr>
      <w:r>
        <w:rPr>
          <w:rFonts w:ascii="Arial" w:hAnsi="Arial"/>
          <w:sz w:val="22"/>
        </w:rPr>
        <w:t>Figura 15 – Ganho prático da lista de prioridade em relação à escolha ao acaso</w:t>
      </w:r>
    </w:p>
    <w:p w14:paraId="243493A6">
      <w:pPr>
        <w:pStyle w:val="3"/>
        <w:ind w:firstLine="0"/>
        <w:rPr>
          <w:color w:val="2E75B5"/>
        </w:rPr>
      </w:pPr>
      <w:r>
        <w:rPr>
          <w:rFonts w:ascii="Arial" w:hAnsi="Arial"/>
          <w:sz w:val="22"/>
        </w:rPr>
        <w:t>Figura 16 – Acerto e alcance da lista para diferentes tamanhos de lista</w:t>
      </w:r>
    </w:p>
    <w:p w14:paraId="145FB100">
      <w:pPr>
        <w:pStyle w:val="3"/>
        <w:ind w:firstLine="0"/>
        <w:rPr>
          <w:color w:val="2E75B5"/>
        </w:rPr>
      </w:pPr>
      <w:r>
        <w:rPr>
          <w:rFonts w:ascii="Arial" w:hAnsi="Arial"/>
          <w:sz w:val="22"/>
        </w:rPr>
        <w:t>Figura 17 – Contribuição de cada característica para as previsões do sistema</w:t>
      </w:r>
    </w:p>
    <w:p w14:paraId="44E8BD78">
      <w:pPr>
        <w:pStyle w:val="3"/>
        <w:ind w:firstLine="0"/>
        <w:rPr>
          <w:color w:val="2E75B5"/>
        </w:rPr>
      </w:pPr>
      <w:r>
        <w:rPr>
          <w:rFonts w:ascii="Arial" w:hAnsi="Arial"/>
          <w:sz w:val="22"/>
        </w:rPr>
        <w:t>Figura 18 – Peso e direção de cada característica nas previsões do sistema</w:t>
      </w:r>
    </w:p>
    <w:p w14:paraId="4F99997E">
      <w:pPr>
        <w:pStyle w:val="3"/>
        <w:ind w:firstLine="0"/>
        <w:rPr>
          <w:color w:val="2E75B5"/>
        </w:rPr>
      </w:pPr>
      <w:r>
        <w:rPr>
          <w:rFonts w:ascii="Arial" w:hAnsi="Arial"/>
          <w:sz w:val="22"/>
        </w:rPr>
        <w:t>Figura 19 – Explicação individual da escola de maior risco previsto</w:t>
      </w:r>
    </w:p>
    <w:p w14:paraId="1A68FE01">
      <w:pPr>
        <w:pStyle w:val="3"/>
        <w:ind w:firstLine="0"/>
        <w:rPr>
          <w:color w:val="2E75B5"/>
        </w:rPr>
      </w:pPr>
      <w:r>
        <w:rPr>
          <w:rFonts w:ascii="Arial" w:hAnsi="Arial"/>
          <w:sz w:val="22"/>
        </w:rPr>
        <w:t>Figura 20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690CAEDE">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11370E5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_Toc13940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_Toc13940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C3A69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_Toc26261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_Toc26261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BB861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_Toc3380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_Toc3380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5697D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_Toc24453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_Toc24453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A9D6A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_Toc5243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_Toc5243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81FF5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_Toc13965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_Toc13965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6A691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_Toc32619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_Toc32619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315E6B">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_Toc451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_Toc451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03C2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_Toc25943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_Toc25943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F38B75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_Toc13945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_Toc13945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B325AB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_Toc23654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_Toc23654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2EB1F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_Toc14288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_Toc14288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965FF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_Toc12908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_Toc12908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91E43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_Toc32446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_Toc32446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A483849">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_Toc32074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_Toc32074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A4153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_Toc20309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_Toc20309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0EE4B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_Toc18326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_Toc18326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75E568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_Toc19801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_Toc19801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234BA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_Toc872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_Toc872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66883E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_Toc4707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_Toc4707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C3D80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_Toc31851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_Toc31851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14905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_Toc14873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_Toc14873 \h </w:instrText>
          </w:r>
          <w:r>
            <w:fldChar w:fldCharType="separate"/>
          </w:r>
          <w:r>
            <w:t>25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08B85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_Toc2988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_Toc2988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D3A29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_Toc15695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_Toc15695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74CBCA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_Toc8897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_Toc8897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F0D5F3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_Toc31499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_Toc31499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92A9E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_Toc12600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_Toc12600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EFCA52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_Toc1728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_Toc1728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01E6B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_Toc15985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_Toc15985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F06DE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_Toc19766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_Toc19766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CCD21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_Toc9036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_Toc9036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038B5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_Toc28166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_Toc28166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987BE3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_Toc27226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_Toc27226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75D4D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_Toc21897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_Toc21897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C6BAF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_Toc21097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_Toc21097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3C779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_Toc17325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_Toc17325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B33C3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_Toc3752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_Toc3752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1959A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_Toc3602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_Toc3602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D9E4F81">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_Toc30902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_Toc30902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17A5E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_Toc8274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_Toc8274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7CA11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_Toc19542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_Toc19542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67FA5E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_Toc4977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_Toc4977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BCA42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_Toc418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_Toc418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31E75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_Toc15798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_Toc15798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AC415A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_Toc16881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_Toc16881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8E7B1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_Toc26251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_Toc26251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36565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_Toc5323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_Toc5323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B1ABBE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_Toc26129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_Toc26129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8FE54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_Toc3487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_Toc3487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FF826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_Toc30339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_Toc30339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A2EED4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_Toc18463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_Toc18463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EDE204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_Toc28073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highlight w:val="yellow"/>
            </w:rPr>
            <w:t>Resultados em Cada Transição Anual</w:t>
          </w:r>
          <w:r>
            <w:tab/>
          </w:r>
          <w:r>
            <w:fldChar w:fldCharType="begin"/>
          </w:r>
          <w:r>
            <w:instrText xml:space="preserve"> PAGEREF _Toc28073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E2170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_Toc12385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_Toc12385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2013A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_Toc1766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_Toc1766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4674E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_Toc15680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_Toc15680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08F2C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_Toc27298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_Toc27298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7B361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_Toc13973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_Toc13973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03A96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_Toc17957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_Toc17957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2A957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_Toc11821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_Toc11821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0E34F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_Toc7960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_Toc7960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AA569E">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_Toc18879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_Toc18879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84810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_Toc10313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_Toc10313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125D0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_Toc11552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_Toc11552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5FFFF9">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_Toc18795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_Toc18795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A00C37">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_Toc3976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_Toc3976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13940"/>
      <w:r>
        <w:rPr>
          <w:rFonts w:ascii="Arial" w:hAnsi="Arial" w:eastAsia="Arial" w:cs="Arial"/>
          <w:b w:val="0"/>
        </w:rPr>
        <w:t>Introdução</w:t>
      </w:r>
      <w:bookmarkEnd w:id="1"/>
    </w:p>
    <w:p w14:paraId="71BF03DA">
      <w:pPr>
        <w:pStyle w:val="4"/>
        <w:numPr>
          <w:ilvl w:val="1"/>
          <w:numId w:val="1"/>
        </w:numPr>
      </w:pPr>
      <w:bookmarkStart w:id="2" w:name="_Toc26261"/>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profundas — sociais, econômicas, geográficas e institucionais.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vem caindo: 2,05% em 2022, 1,37% em 2023 e 0,96% em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3380"/>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24453"/>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5243"/>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13965"/>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32619"/>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451"/>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25943"/>
      <w:r>
        <w:rPr>
          <w:rFonts w:ascii="Arial" w:hAnsi="Arial" w:eastAsia="Arial" w:cs="Arial"/>
          <w:b w:val="0"/>
        </w:rPr>
        <w:t>Fundamentação Teórica</w:t>
      </w:r>
      <w:bookmarkEnd w:id="9"/>
    </w:p>
    <w:p w14:paraId="0ED2592D">
      <w:pPr>
        <w:pStyle w:val="5"/>
        <w:numPr>
          <w:ilvl w:val="2"/>
          <w:numId w:val="1"/>
        </w:numPr>
      </w:pPr>
      <w:bookmarkStart w:id="10" w:name="_Toc13945"/>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instituição de ensino. Tinto (1975), em um dos modelos teóricos mais influentes sobre o tema, descreve o abandono como resultado do baixo grau de integração acadêmica e social do estudante ao ambiente escolar, de modo que fatores individuais e institucionais se combinam ao longo do tempo até a decisão de sair. Rumberger (2011), ao revisar décadas de pesquisa sobre o ensino médio, reforça essa leitura processual e chama atenção para o caráter multinível do fenômeno: além das características do aluno — desempenho, defasagem idade-série e condição socioeconômica —, pesam atributos da própria escola e do território em que ela se insere.</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23654"/>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Romero e Ventura (2010) definem a área como o desenvolvimento de métodos para explorar os dados originados em contextos de ensino, com o objetivo de compreender melhor os estudantes e os ambientes de aprendizagem. Baker e Yacef (2009), ao revisarem o estado do campo, apontam a predição como uma de suas tarefas centrais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 a partir de variáveis escolares e socioeconômicas.</w:t>
      </w:r>
    </w:p>
    <w:p w14:paraId="73A69EFE">
      <w:pPr>
        <w:pStyle w:val="5"/>
        <w:numPr>
          <w:ilvl w:val="2"/>
          <w:numId w:val="1"/>
        </w:numPr>
      </w:pPr>
      <w:bookmarkStart w:id="12" w:name="_Toc14288"/>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12908"/>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boosting são frequentemente descritos como caixas-pretas, pois a relação entre suas entradas e saídas não é diretamente legível. Em decisões de interesse público, saber por que uma previsão foi feita é tão importante quanto a previsão em si. Duas técnicas tornaram-se referência para explicar previsões de qualquer modelo: o LIME, de Ribeiro, Singh e Guestrin (2016), que aproxima localmente o modelo por um substituto interpretável; e o SHAP, de Lundberg e Lee (2017), que atribui a cada atributo uma contribuição para a previsão com base na teoria dos valores de Shapley, oferecendo explicações consistentes tanto no nível individual quanto no global. Molnar (2022) sistematiza esse conjunto de métodos e argumenta que a interpretabilidade é condição para a confiança e a auditabilidade de sistemas preditivos. Este trabalho adota o SHAP para explicar o risco previsto de cada escola.</w:t>
      </w:r>
    </w:p>
    <w:p w14:paraId="23F01F44">
      <w:pPr>
        <w:pStyle w:val="4"/>
        <w:numPr>
          <w:ilvl w:val="1"/>
          <w:numId w:val="1"/>
        </w:numPr>
      </w:pPr>
      <w:bookmarkStart w:id="14" w:name="_Toc32446"/>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o volume e a orientação da produção nacional: Jesus e Gusmão (2024) analisaram 336 estudos, e Nascimento et al. (2024) revisaram a literatura sobre técnicas de mineração de dados aplicadas à evasão estudantil, ambos evidenciando o predomínio de abordagens de classificação e a concentração de trabalhos no ensino superior. Ainda no contexto brasileiro,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Bowers, Sprott e Taff (2013) revisaram 110 indicadores de risco de abandono em 36 estudos e mostraram, por meio de análise ROC, que muitos indicadores usuais têm alta precisão mas baixa acurácia, sendo os mais confiáveis aqueles baseados em desempenho e trajetória. Esse resultado justifica avaliar um sistema de priorização não apenas por seu erro médio, mas por sua capacidade de ordenar corretamente as escolas de maior risco — critério adotado neste trabalho. Cabe registrar, por fim, uma lacuna: a maior parte da literatura opera no nível do estudante e no ensino superior, ao passo que esta monografia toma a escola como unidade de análise na educação básica, combinando dados públicos, um modelo de boosting e explicações por SHAP para apoiar a priorização de intervenções pela gestão estadual.</w:t>
      </w:r>
    </w:p>
    <w:p w14:paraId="1319101A">
      <w:pPr>
        <w:pStyle w:val="2"/>
        <w:numPr>
          <w:ilvl w:val="0"/>
          <w:numId w:val="1"/>
        </w:numPr>
        <w:rPr>
          <w:color w:val="000000"/>
        </w:rPr>
      </w:pPr>
      <w:bookmarkStart w:id="15" w:name="_Toc32074"/>
      <w:r>
        <w:rPr>
          <w:rFonts w:ascii="Arial" w:hAnsi="Arial" w:eastAsia="Arial" w:cs="Arial"/>
          <w:b w:val="0"/>
        </w:rPr>
        <w:t>Método de Desenvolvimento</w:t>
      </w:r>
      <w:bookmarkEnd w:id="15"/>
    </w:p>
    <w:p w14:paraId="39EFBDEF">
      <w:pPr>
        <w:pStyle w:val="4"/>
        <w:numPr>
          <w:ilvl w:val="1"/>
          <w:numId w:val="1"/>
        </w:numPr>
      </w:pPr>
      <w:bookmarkStart w:id="16" w:name="_Toc20309"/>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7" w:name="_Toc18326"/>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19801"/>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872"/>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20" w:name="_Toc4707"/>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31851"/>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14873"/>
      <w:r>
        <w:rPr>
          <w:rFonts w:ascii="Arial" w:hAnsi="Arial" w:eastAsia="Arial" w:cs="Arial"/>
          <w:b w:val="0"/>
        </w:rPr>
        <w:t>Construção e Ajuste do Modelo de Previsão</w:t>
      </w:r>
      <w:bookmarkEnd w:id="22"/>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23" w:name="_Toc2988"/>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24" w:name="_Toc15695"/>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5" w:name="_Toc8897"/>
      <w:r>
        <w:rPr>
          <w:rFonts w:ascii="Arial" w:hAnsi="Arial" w:eastAsia="Arial" w:cs="Arial"/>
          <w:b w:val="0"/>
        </w:rPr>
        <w:t>Práticas de Engenharia de Software</w:t>
      </w:r>
      <w:bookmarkEnd w:id="25"/>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114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6" w:name="_Toc31499"/>
      <w:r>
        <w:rPr>
          <w:rFonts w:ascii="Arial" w:hAnsi="Arial" w:eastAsia="Arial" w:cs="Arial"/>
          <w:b w:val="0"/>
        </w:rPr>
        <w:t>Arquitetura do Software</w:t>
      </w:r>
      <w:bookmarkEnd w:id="26"/>
    </w:p>
    <w:p w14:paraId="527CA8A8">
      <w:pPr>
        <w:pStyle w:val="4"/>
        <w:numPr>
          <w:ilvl w:val="1"/>
          <w:numId w:val="1"/>
        </w:numPr>
      </w:pPr>
      <w:bookmarkStart w:id="27" w:name="_Toc12600"/>
      <w:r>
        <w:rPr>
          <w:rFonts w:ascii="Arial" w:hAnsi="Arial" w:eastAsia="Arial" w:cs="Arial"/>
          <w:b w:val="0"/>
        </w:rPr>
        <w:t>Aspectos Funcionais e Não-Funcionais</w:t>
      </w:r>
      <w:bookmarkEnd w:id="27"/>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8" w:name="_Toc1728"/>
      <w:r>
        <w:rPr>
          <w:rFonts w:ascii="Arial" w:hAnsi="Arial" w:eastAsia="Arial" w:cs="Arial"/>
          <w:b w:val="0"/>
        </w:rPr>
        <w:t>Visão Estrutural</w:t>
      </w:r>
      <w:bookmarkEnd w:id="28"/>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9" w:name="_Toc15985"/>
      <w:r>
        <w:rPr>
          <w:rFonts w:ascii="Arial" w:hAnsi="Arial" w:eastAsia="Arial" w:cs="Arial"/>
          <w:b w:val="0"/>
        </w:rPr>
        <w:t>Visão Comportamental</w:t>
      </w:r>
      <w:bookmarkEnd w:id="29"/>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0" w:name="_Toc19766"/>
      <w:r>
        <w:rPr>
          <w:rFonts w:ascii="Arial" w:hAnsi="Arial" w:eastAsia="Arial" w:cs="Arial"/>
          <w:b w:val="0"/>
        </w:rPr>
        <w:t>Visão de Implementação e Implantação</w:t>
      </w:r>
      <w:bookmarkEnd w:id="30"/>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1" w:name="_Toc9036"/>
      <w:r>
        <w:rPr>
          <w:rFonts w:ascii="Arial" w:hAnsi="Arial" w:eastAsia="Arial" w:cs="Arial"/>
          <w:b w:val="0"/>
        </w:rPr>
        <w:t>Tecnologias e Aspectos de Implementação</w:t>
      </w:r>
      <w:bookmarkEnd w:id="31"/>
    </w:p>
    <w:p w14:paraId="6E080A24">
      <w:pPr>
        <w:pStyle w:val="4"/>
        <w:numPr>
          <w:ilvl w:val="1"/>
          <w:numId w:val="1"/>
        </w:numPr>
      </w:pPr>
      <w:bookmarkStart w:id="32" w:name="_Toc28166"/>
      <w:r>
        <w:rPr>
          <w:rFonts w:ascii="Arial" w:hAnsi="Arial" w:eastAsia="Arial" w:cs="Arial"/>
          <w:b w:val="0"/>
        </w:rPr>
        <w:t>Soluções de Tecnologia</w:t>
      </w:r>
      <w:bookmarkEnd w:id="32"/>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3" w:name="_Toc27226"/>
      <w:r>
        <w:rPr>
          <w:rFonts w:ascii="Arial" w:hAnsi="Arial" w:eastAsia="Arial" w:cs="Arial"/>
          <w:b w:val="0"/>
        </w:rPr>
        <w:t>Aspectos de Implementação</w:t>
      </w:r>
      <w:bookmarkEnd w:id="33"/>
    </w:p>
    <w:p w14:paraId="1D664FD8">
      <w:pPr>
        <w:pStyle w:val="5"/>
        <w:numPr>
          <w:ilvl w:val="2"/>
          <w:numId w:val="1"/>
        </w:numPr>
      </w:pPr>
      <w:bookmarkStart w:id="34" w:name="_Toc21897"/>
      <w:r>
        <w:rPr>
          <w:rFonts w:ascii="Arial" w:hAnsi="Arial" w:eastAsia="Arial" w:cs="Arial"/>
          <w:b w:val="0"/>
        </w:rPr>
        <w:t>Estrutura do Código</w:t>
      </w:r>
      <w:bookmarkEnd w:id="34"/>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5" w:name="_Toc21097"/>
      <w:r>
        <w:rPr>
          <w:rFonts w:ascii="Arial" w:hAnsi="Arial" w:eastAsia="Arial" w:cs="Arial"/>
          <w:b w:val="0"/>
        </w:rPr>
        <w:t>Fluxo dos Dados</w:t>
      </w:r>
      <w:bookmarkEnd w:id="35"/>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6" w:name="_Toc17325"/>
      <w:r>
        <w:rPr>
          <w:rFonts w:ascii="Arial" w:hAnsi="Arial" w:eastAsia="Arial" w:cs="Arial"/>
          <w:b w:val="0"/>
        </w:rPr>
        <w:t>Painel Interativo</w:t>
      </w:r>
      <w:bookmarkEnd w:id="36"/>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7" w:name="_Toc3752"/>
      <w:r>
        <w:rPr>
          <w:rFonts w:ascii="Arial" w:hAnsi="Arial" w:eastAsia="Arial" w:cs="Arial"/>
          <w:b w:val="0"/>
        </w:rPr>
        <w:t>Testes Automatizados</w:t>
      </w:r>
      <w:bookmarkEnd w:id="37"/>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8" w:name="_Toc3602"/>
      <w:r>
        <w:rPr>
          <w:rFonts w:ascii="Arial" w:hAnsi="Arial" w:eastAsia="Arial" w:cs="Arial"/>
          <w:b w:val="0"/>
        </w:rPr>
        <w:t>Gerenciamento de Dependências</w:t>
      </w:r>
      <w:bookmarkEnd w:id="38"/>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9" w:name="_Toc30902"/>
      <w:r>
        <w:rPr>
          <w:rFonts w:ascii="Arial" w:hAnsi="Arial" w:eastAsia="Arial" w:cs="Arial"/>
          <w:b w:val="0"/>
        </w:rPr>
        <w:t>Testes e Análise dos Resultados</w:t>
      </w:r>
      <w:bookmarkEnd w:id="39"/>
    </w:p>
    <w:p w14:paraId="5264F51A">
      <w:pPr>
        <w:pStyle w:val="4"/>
        <w:numPr>
          <w:ilvl w:val="1"/>
          <w:numId w:val="1"/>
        </w:numPr>
      </w:pPr>
      <w:bookmarkStart w:id="40" w:name="_Toc8274"/>
      <w:r>
        <w:rPr>
          <w:rFonts w:ascii="Arial" w:hAnsi="Arial" w:eastAsia="Arial" w:cs="Arial"/>
          <w:b w:val="0"/>
        </w:rPr>
        <w:t>Testes de Software</w:t>
      </w:r>
      <w:bookmarkEnd w:id="40"/>
    </w:p>
    <w:p w14:paraId="6D115D9C">
      <w:pPr>
        <w:pStyle w:val="3"/>
        <w:ind w:firstLine="0"/>
        <w:rPr>
          <w:color w:val="2E75B5"/>
        </w:rPr>
      </w:pPr>
      <w:r>
        <w:rPr>
          <w:rFonts w:ascii="Arial" w:hAnsi="Arial" w:eastAsia="Arial" w:cs="Arial"/>
          <w:b w:val="0"/>
        </w:rPr>
        <w:t>A corretude do sistema é garantida por uma suíte de 114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41" w:name="_Toc19542"/>
      <w:r>
        <w:rPr>
          <w:rFonts w:ascii="Arial" w:hAnsi="Arial" w:eastAsia="Arial" w:cs="Arial"/>
          <w:b w:val="0"/>
        </w:rPr>
        <w:t>Caracterização dos Dados e Análise das Características Usadas</w:t>
      </w:r>
      <w:bookmarkEnd w:id="41"/>
    </w:p>
    <w:p w14:paraId="4D464269">
      <w:pPr>
        <w:pStyle w:val="5"/>
        <w:numPr>
          <w:ilvl w:val="2"/>
          <w:numId w:val="1"/>
        </w:numPr>
      </w:pPr>
      <w:bookmarkStart w:id="42" w:name="_Toc4977"/>
      <w:r>
        <w:rPr>
          <w:rFonts w:ascii="Arial" w:hAnsi="Arial" w:eastAsia="Arial" w:cs="Arial"/>
          <w:b w:val="0"/>
        </w:rPr>
        <w:t>Base Construída</w:t>
      </w:r>
      <w:bookmarkEnd w:id="42"/>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43" w:name="_Toc418"/>
      <w:r>
        <w:rPr>
          <w:rFonts w:ascii="Arial" w:hAnsi="Arial" w:eastAsia="Arial" w:cs="Arial"/>
          <w:b w:val="0"/>
        </w:rPr>
        <w:t>O Que o Sistema Prevê</w:t>
      </w:r>
      <w:bookmarkEnd w:id="43"/>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19559515">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79745" cy="1981291"/>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4" w:name="_Toc15798"/>
      <w:r>
        <w:rPr>
          <w:rFonts w:ascii="Arial" w:hAnsi="Arial" w:eastAsia="Arial" w:cs="Arial"/>
          <w:b w:val="0"/>
        </w:rPr>
        <w:t>Análise Estatística das Características Contínuas</w:t>
      </w:r>
      <w:bookmarkEnd w:id="44"/>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040"/>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59450" cy="6416568"/>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5" w:name="_Toc16881"/>
      <w:r>
        <w:rPr>
          <w:rFonts w:ascii="Arial" w:hAnsi="Arial" w:eastAsia="Arial" w:cs="Arial"/>
          <w:b w:val="0"/>
        </w:rPr>
        <w:t>Análise Estatística das Características de Sim ou Não</w:t>
      </w:r>
      <w:bookmarkEnd w:id="45"/>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6" w:name="_Toc26251"/>
      <w:r>
        <w:rPr>
          <w:rFonts w:ascii="Arial" w:hAnsi="Arial" w:eastAsia="Arial" w:cs="Arial"/>
          <w:b w:val="0"/>
        </w:rPr>
        <w:t>A Região do Estado</w:t>
      </w:r>
      <w:bookmarkEnd w:id="46"/>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79745" cy="1983969"/>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7" w:name="_Toc5323"/>
      <w:r>
        <w:rPr>
          <w:rFonts w:ascii="Arial" w:hAnsi="Arial" w:eastAsia="Arial" w:cs="Arial"/>
          <w:b w:val="0"/>
        </w:rPr>
        <w:t>Quais Características Têm Valor para a Previsão</w:t>
      </w:r>
      <w:bookmarkEnd w:id="47"/>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2565"/>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59655" cy="5282590"/>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Concluída a caracterização das escolas e de suas características, o critério que orienta o restante do capítulo já se delineia. Como o que se exige do sistema é colocar no topo da lista as escolas que de fato terão abandono alto, a avaliação a seguir julga sobretudo a ordem prevista, e não o valor exato da taxa — é essa ordem que a próxima seção mede.</w:t>
      </w:r>
    </w:p>
    <w:p w14:paraId="3F71063F">
      <w:pPr>
        <w:pStyle w:val="4"/>
        <w:numPr>
          <w:ilvl w:val="1"/>
          <w:numId w:val="1"/>
        </w:numPr>
      </w:pPr>
      <w:bookmarkStart w:id="48" w:name="_Toc26129"/>
      <w:r>
        <w:rPr>
          <w:rFonts w:ascii="Arial" w:hAnsi="Arial" w:eastAsia="Arial" w:cs="Arial"/>
          <w:b w:val="0"/>
        </w:rPr>
        <w:t>Desempenho do Sistema</w:t>
      </w:r>
      <w:bookmarkEnd w:id="48"/>
    </w:p>
    <w:p w14:paraId="4805032B">
      <w:pPr>
        <w:pStyle w:val="5"/>
        <w:numPr>
          <w:ilvl w:val="2"/>
          <w:numId w:val="1"/>
        </w:numPr>
      </w:pPr>
      <w:bookmarkStart w:id="49" w:name="_Toc3487"/>
      <w:r>
        <w:rPr>
          <w:rFonts w:ascii="Arial" w:hAnsi="Arial" w:eastAsia="Arial" w:cs="Arial"/>
          <w:b w:val="0"/>
        </w:rPr>
        <w:t>Como o Desempenho Foi Medido</w:t>
      </w:r>
      <w:bookmarkEnd w:id="49"/>
    </w:p>
    <w:p w14:paraId="22E30C10">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50" w:name="_Toc30339"/>
      <w:r>
        <w:rPr>
          <w:rFonts w:ascii="Arial" w:hAnsi="Arial" w:eastAsia="Arial" w:cs="Arial"/>
          <w:b w:val="0"/>
        </w:rPr>
        <w:t>Resultados em Validação Repetida</w:t>
      </w:r>
      <w:bookmarkEnd w:id="50"/>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em relação à média da rede. Os três modelos ficam praticamente empatados na ordenação — seus intervalos de confiança se sobrepõem, sem vencedor claro —, e o modelo adotado acompanha os demais: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79745" cy="1667682"/>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1" w:name="_Toc18463"/>
      <w:r>
        <w:rPr>
          <w:rFonts w:ascii="Arial" w:hAnsi="Arial" w:eastAsia="Arial" w:cs="Arial"/>
          <w:b w:val="0"/>
        </w:rPr>
        <w:t>Resultados no Teste do Ano Nunca Visto</w:t>
      </w:r>
      <w:bookmarkEnd w:id="51"/>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0,798 para o modelo adotado, na faixa típica dos estudos da área.</w:t>
      </w:r>
    </w:p>
    <w:p w14:paraId="6F1254E4">
      <w:pPr>
        <w:pStyle w:val="3"/>
        <w:ind w:firstLine="0"/>
        <w:rPr>
          <w:color w:val="2E75B5"/>
        </w:rPr>
      </w:pPr>
      <w:r>
        <w:rPr>
          <w:rFonts w:ascii="Arial" w:hAnsi="Arial" w:eastAsia="Arial" w:cs="Arial"/>
          <w:b w:val="0"/>
        </w:rPr>
        <w:t>Entre modelos tão próximos, o XGBoost foi mantido como modelo principal por duas razões, reconhecendo-se que a escolha não é imposta pelos números. A primeira diz respeito ao propósito do sistema: como o objetivo é priorizar — ordenar as escolas por risco —, as medidas que mais importam são a ordenação e o acerto da lista prioritária, e é nelas que o modelo adotado se sai melhor no teste do ano nunca visto, o cenário que reproduz o uso real, treinar com o passado e prever um ano ainda não observado; o modelo em árvores de referência leva vantagem no erro de magnitude e na separação binária entre escolas críticas e não críticas, dimensões menos centrais para a decisão de onde intervir primeiro. A segunda razão é que é sobre o modelo adotado que se constroem as explicações apresentadas na seção seguinte, que informam ao gestor o porquê de cada previsão. Como as diferenças entre os três modelos permanecem dentro da margem de incerteza, a escolha não representa perda de desempenho relevante.</w:t>
      </w:r>
    </w:p>
    <w:p w14:paraId="24977E46">
      <w:pPr>
        <w:pStyle w:val="5"/>
        <w:numPr>
          <w:ilvl w:val="2"/>
          <w:numId w:val="1"/>
        </w:numPr>
      </w:pPr>
      <w:bookmarkStart w:id="52" w:name="_Toc28073"/>
      <w:r>
        <w:rPr>
          <w:rFonts w:ascii="Arial" w:hAnsi="Arial" w:eastAsia="Arial" w:cs="Arial"/>
          <w:b w:val="0"/>
          <w:color w:val="1F4E9B"/>
          <w:highlight w:val="yellow"/>
        </w:rPr>
        <w:t>Resultados em Cada Transição Anual</w:t>
      </w:r>
      <w:bookmarkEnd w:id="52"/>
    </w:p>
    <w:p w14:paraId="68971E2A">
      <w:pPr>
        <w:pStyle w:val="3"/>
        <w:ind w:firstLine="0"/>
        <w:rPr>
          <w:color w:val="2E75B5"/>
        </w:rPr>
      </w:pPr>
      <w:r>
        <w:rPr>
          <w:rFonts w:ascii="Arial" w:hAnsi="Arial" w:eastAsia="Arial" w:cs="Arial"/>
          <w:b w:val="0"/>
          <w:color w:val="1F4E9B"/>
          <w:highlight w:val="yellow"/>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w:t>
      </w:r>
    </w:p>
    <w:p w14:paraId="07971620">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color w:val="1F4E9B"/>
                <w:sz w:val="18"/>
                <w:highlight w:val="yellow"/>
              </w:rPr>
              <w:t>Indicador de desempenho</w:t>
            </w:r>
          </w:p>
        </w:tc>
        <w:tc>
          <w:tcPr>
            <w:tcW w:w="2484" w:type="dxa"/>
          </w:tcPr>
          <w:p w14:paraId="434758FF">
            <w:r>
              <w:rPr>
                <w:rFonts w:ascii="Arial" w:hAnsi="Arial" w:eastAsia="Arial" w:cs="Arial"/>
                <w:b/>
                <w:color w:val="1F4E9B"/>
                <w:sz w:val="18"/>
                <w:highlight w:val="yellow"/>
              </w:rPr>
              <w:t>Cenário 2022 → 2023</w:t>
            </w:r>
          </w:p>
        </w:tc>
        <w:tc>
          <w:tcPr>
            <w:tcW w:w="2484" w:type="dxa"/>
          </w:tcPr>
          <w:p w14:paraId="7D368DAD">
            <w:r>
              <w:rPr>
                <w:rFonts w:ascii="Arial" w:hAnsi="Arial" w:eastAsia="Arial" w:cs="Arial"/>
                <w:b/>
                <w:color w:val="1F4E9B"/>
                <w:sz w:val="18"/>
                <w:highlight w:val="yellow"/>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color w:val="1F4E9B"/>
                <w:sz w:val="18"/>
                <w:highlight w:val="yellow"/>
              </w:rPr>
              <w:t>Erro médio da taxa, p.p. (RMSE) — menor é melhor</w:t>
            </w:r>
          </w:p>
        </w:tc>
        <w:tc>
          <w:tcPr>
            <w:tcW w:w="2484" w:type="dxa"/>
          </w:tcPr>
          <w:p w14:paraId="290B08DD">
            <w:r>
              <w:rPr>
                <w:rFonts w:ascii="Arial" w:hAnsi="Arial" w:eastAsia="Arial" w:cs="Arial"/>
                <w:b w:val="0"/>
                <w:color w:val="1F4E9B"/>
                <w:sz w:val="18"/>
                <w:highlight w:val="yellow"/>
              </w:rPr>
              <w:t>2,82 ± 0,34</w:t>
            </w:r>
          </w:p>
        </w:tc>
        <w:tc>
          <w:tcPr>
            <w:tcW w:w="2484" w:type="dxa"/>
          </w:tcPr>
          <w:p w14:paraId="4AFD25CB">
            <w:r>
              <w:rPr>
                <w:rFonts w:ascii="Arial" w:hAnsi="Arial" w:eastAsia="Arial" w:cs="Arial"/>
                <w:b w:val="0"/>
                <w:color w:val="1F4E9B"/>
                <w:sz w:val="18"/>
                <w:highlight w:val="yellow"/>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color w:val="1F4E9B"/>
                <w:sz w:val="18"/>
                <w:highlight w:val="yellow"/>
              </w:rPr>
              <w:t>Acerto da ordenação, de 0 a 1 (Spearman)</w:t>
            </w:r>
          </w:p>
        </w:tc>
        <w:tc>
          <w:tcPr>
            <w:tcW w:w="2484" w:type="dxa"/>
          </w:tcPr>
          <w:p w14:paraId="44C44AAA">
            <w:r>
              <w:rPr>
                <w:rFonts w:ascii="Arial" w:hAnsi="Arial" w:eastAsia="Arial" w:cs="Arial"/>
                <w:b w:val="0"/>
                <w:color w:val="1F4E9B"/>
                <w:sz w:val="18"/>
                <w:highlight w:val="yellow"/>
              </w:rPr>
              <w:t>0,469 ± 0,039</w:t>
            </w:r>
          </w:p>
        </w:tc>
        <w:tc>
          <w:tcPr>
            <w:tcW w:w="2484" w:type="dxa"/>
          </w:tcPr>
          <w:p w14:paraId="3904D936">
            <w:r>
              <w:rPr>
                <w:rFonts w:ascii="Arial" w:hAnsi="Arial" w:eastAsia="Arial" w:cs="Arial"/>
                <w:b w:val="0"/>
                <w:color w:val="1F4E9B"/>
                <w:sz w:val="18"/>
                <w:highlight w:val="yellow"/>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color w:val="1F4E9B"/>
                <w:sz w:val="18"/>
                <w:highlight w:val="yellow"/>
              </w:rPr>
              <w:t>Acerto na lista prioritária, top 10% (Precision@K)</w:t>
            </w:r>
          </w:p>
        </w:tc>
        <w:tc>
          <w:tcPr>
            <w:tcW w:w="2484" w:type="dxa"/>
          </w:tcPr>
          <w:p w14:paraId="05EBC5C6">
            <w:r>
              <w:rPr>
                <w:rFonts w:ascii="Arial" w:hAnsi="Arial" w:eastAsia="Arial" w:cs="Arial"/>
                <w:b w:val="0"/>
                <w:color w:val="1F4E9B"/>
                <w:sz w:val="18"/>
                <w:highlight w:val="yellow"/>
              </w:rPr>
              <w:t>0,627 ± 0,060</w:t>
            </w:r>
          </w:p>
        </w:tc>
        <w:tc>
          <w:tcPr>
            <w:tcW w:w="2484" w:type="dxa"/>
          </w:tcPr>
          <w:p w14:paraId="5ADDB3E1">
            <w:r>
              <w:rPr>
                <w:rFonts w:ascii="Arial" w:hAnsi="Arial" w:eastAsia="Arial" w:cs="Arial"/>
                <w:b w:val="0"/>
                <w:color w:val="1F4E9B"/>
                <w:sz w:val="18"/>
                <w:highlight w:val="yellow"/>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color w:val="1F4E9B"/>
                <w:sz w:val="18"/>
                <w:highlight w:val="yellow"/>
              </w:rPr>
              <w:t>Separação alto/baixo risco (ROC-AUC)</w:t>
            </w:r>
          </w:p>
        </w:tc>
        <w:tc>
          <w:tcPr>
            <w:tcW w:w="2484" w:type="dxa"/>
          </w:tcPr>
          <w:p w14:paraId="240799C6">
            <w:r>
              <w:rPr>
                <w:rFonts w:ascii="Arial" w:hAnsi="Arial" w:eastAsia="Arial" w:cs="Arial"/>
                <w:b w:val="0"/>
                <w:color w:val="1F4E9B"/>
                <w:sz w:val="18"/>
                <w:highlight w:val="yellow"/>
              </w:rPr>
              <w:t>0,901 ± 0,035</w:t>
            </w:r>
          </w:p>
        </w:tc>
        <w:tc>
          <w:tcPr>
            <w:tcW w:w="2484" w:type="dxa"/>
          </w:tcPr>
          <w:p w14:paraId="1B1D9CD6">
            <w:r>
              <w:rPr>
                <w:rFonts w:ascii="Arial" w:hAnsi="Arial" w:eastAsia="Arial" w:cs="Arial"/>
                <w:b w:val="0"/>
                <w:color w:val="1F4E9B"/>
                <w:sz w:val="18"/>
                <w:highlight w:val="yellow"/>
              </w:rPr>
              <w:t>0,813 ± 0,019</w:t>
            </w:r>
          </w:p>
        </w:tc>
      </w:tr>
    </w:tbl>
    <w:p w14:paraId="1C5D7AC1">
      <w:pPr>
        <w:pStyle w:val="3"/>
        <w:ind w:firstLine="0"/>
        <w:rPr>
          <w:color w:val="2E75B5"/>
        </w:rPr>
      </w:pPr>
      <w:r>
        <w:rPr>
          <w:rFonts w:ascii="Arial" w:hAnsi="Arial"/>
          <w:color w:val="1F4E9B"/>
          <w:sz w:val="22"/>
          <w:highlight w:val="yellow"/>
        </w:rPr>
        <w:t>Fonte: elaborado pelo autor.</w:t>
      </w:r>
    </w:p>
    <w:p w14:paraId="326796B6">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entre as escolas que ele coloca no topo da lista de prioridade, 63% estão de fato entre as de maior abandono; na de 2023 para 2024, esse acerto cai para 38% — ainda muito acima dos cerca de 10% de uma escolha ao acaso. A queda acompanha a própria mudança da rede: o abandono médio caiu de 1,36% para 0,88% e as escolas se aproximaram de zero, o que ao mesmo tempo reduz o erro absoluto e comprime o sinal que permite ordená-las. Mesmo no cenário mais difícil, a capacidade de separar as escolas de alto risco das demais permanece alta (0,81 numa escala em que 0,5 é o acaso). Tomados em conjunto, os dois cenários cercam os valores do Quadro 9, que avalia as duas transições agregadas — sinal de que a decomposição é coerente com o desempenho global, e não efeito de um ano específico.</w:t>
      </w:r>
    </w:p>
    <w:p w14:paraId="06ABB063">
      <w:pPr>
        <w:pStyle w:val="3"/>
        <w:ind w:firstLine="0"/>
        <w:rPr>
          <w:color w:val="2E75B5"/>
        </w:rPr>
      </w:pPr>
      <w:r>
        <w:rPr>
          <w:rFonts w:ascii="Arial" w:hAnsi="Arial"/>
          <w:color w:val="1F4E9B"/>
          <w:sz w:val="22"/>
          <w:highlight w:val="yellow"/>
        </w:rPr>
        <w:t>Figura 13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color w:val="1F4E9B"/>
          <w:sz w:val="22"/>
          <w:highlight w:val="yellow"/>
        </w:rPr>
        <w:t>Fonte: elaborado pelo autor.</w:t>
      </w:r>
    </w:p>
    <w:p w14:paraId="433FF695">
      <w:pPr>
        <w:pStyle w:val="3"/>
        <w:ind w:firstLine="0"/>
        <w:rPr>
          <w:color w:val="2E75B5"/>
        </w:rPr>
      </w:pPr>
      <w:r>
        <w:rPr>
          <w:rFonts w:ascii="Arial" w:hAnsi="Arial" w:eastAsia="Arial" w:cs="Arial"/>
          <w:b w:val="0"/>
          <w:color w:val="1F4E9B"/>
          <w:highlight w:val="yellow"/>
        </w:rPr>
        <w:t>A mesma comparação entre os dois anos pode ser lida em número de alunos, e não em taxa. Convertendo a taxa de abandono de cada escola em quantidade de estudantes — multiplicando-a pela matrícula do ensino médio no ano em que o abandono é medido —, o resíduo passa a exprimir quantos alunos o sistema errou, para mais ou para menos, em cada escola. A figura a seguir apresenta esse resíduo, escola a escola, nas duas transições. Em ambas, a maioria das escolas concentra-se em torno de zero e o erro médio é de cerca de três alunos por escola (3,3 na transição de 2022 para 2023 e 3,0 na de 2023 para 2024), sem tendência sistemática de superestimar ou subestimar; as poucas escolas de maior porte, com dezenas de evasões, concentram os maiores desvios.</w:t>
      </w:r>
    </w:p>
    <w:p w14:paraId="23069A4F">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color w:val="1F4E9B"/>
          <w:sz w:val="22"/>
          <w:highlight w:val="yellow"/>
        </w:rPr>
        <w:t>Fonte: elaborado pelo autor.</w:t>
      </w:r>
    </w:p>
    <w:p w14:paraId="2277BBB5">
      <w:pPr>
        <w:pStyle w:val="4"/>
        <w:numPr>
          <w:ilvl w:val="1"/>
          <w:numId w:val="1"/>
        </w:numPr>
      </w:pPr>
      <w:bookmarkStart w:id="53" w:name="_Toc12385"/>
      <w:r>
        <w:rPr>
          <w:rFonts w:ascii="Arial" w:hAnsi="Arial" w:eastAsia="Arial" w:cs="Arial"/>
          <w:b w:val="0"/>
        </w:rPr>
        <w:t>Capacidade de Priorização</w:t>
      </w:r>
      <w:bookmarkEnd w:id="53"/>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579745" cy="1981291"/>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579745" cy="2134959"/>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54" w:name="_Toc1766"/>
      <w:r>
        <w:rPr>
          <w:rFonts w:ascii="Arial" w:hAnsi="Arial" w:eastAsia="Arial" w:cs="Arial"/>
          <w:b w:val="0"/>
        </w:rPr>
        <w:t>Explicação das Indicações</w:t>
      </w:r>
      <w:bookmarkEnd w:id="54"/>
    </w:p>
    <w:p w14:paraId="4564E80B">
      <w:pPr>
        <w:pStyle w:val="5"/>
        <w:numPr>
          <w:ilvl w:val="2"/>
          <w:numId w:val="1"/>
        </w:numPr>
      </w:pPr>
      <w:bookmarkStart w:id="55" w:name="_Toc15680"/>
      <w:r>
        <w:rPr>
          <w:rFonts w:ascii="Arial" w:hAnsi="Arial" w:eastAsia="Arial" w:cs="Arial"/>
          <w:b w:val="0"/>
        </w:rPr>
        <w:t>Visão Geral</w:t>
      </w:r>
      <w:bookmarkEnd w:id="55"/>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6" w:name="_Toc27298"/>
      <w:r>
        <w:rPr>
          <w:rFonts w:ascii="Arial" w:hAnsi="Arial" w:eastAsia="Arial" w:cs="Arial"/>
          <w:b w:val="0"/>
        </w:rPr>
        <w:t>Direção dos Efeitos</w:t>
      </w:r>
      <w:bookmarkEnd w:id="56"/>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7" w:name="_Toc13973"/>
      <w:r>
        <w:rPr>
          <w:rFonts w:ascii="Arial" w:hAnsi="Arial" w:eastAsia="Arial" w:cs="Arial"/>
          <w:b w:val="0"/>
        </w:rPr>
        <w:t>Explicação de Uma Escola</w:t>
      </w:r>
      <w:bookmarkEnd w:id="57"/>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8" w:name="_Toc17957"/>
      <w:r>
        <w:rPr>
          <w:rFonts w:ascii="Arial" w:hAnsi="Arial" w:eastAsia="Arial" w:cs="Arial"/>
          <w:b w:val="0"/>
        </w:rPr>
        <w:t>Erros do Modelo e Equidade</w:t>
      </w:r>
      <w:bookmarkEnd w:id="58"/>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9" w:name="_Toc11821"/>
      <w:r>
        <w:rPr>
          <w:rFonts w:ascii="Arial" w:hAnsi="Arial" w:eastAsia="Arial" w:cs="Arial"/>
          <w:b w:val="0"/>
        </w:rPr>
        <w:t>O Painel de Priorização ao Gestor</w:t>
      </w:r>
      <w:bookmarkEnd w:id="59"/>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0" w:name="_Toc7960"/>
      <w:r>
        <w:rPr>
          <w:rFonts w:ascii="Arial" w:hAnsi="Arial" w:eastAsia="Arial" w:cs="Arial"/>
          <w:b w:val="0"/>
        </w:rPr>
        <w:t>Síntese dos Resultados</w:t>
      </w:r>
      <w:bookmarkEnd w:id="60"/>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114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61" w:name="_Toc18879"/>
      <w:r>
        <w:rPr>
          <w:rFonts w:ascii="Arial" w:hAnsi="Arial" w:eastAsia="Arial" w:cs="Arial"/>
          <w:b w:val="0"/>
        </w:rPr>
        <w:t>Conclusões e Trabalhos Futuros</w:t>
      </w:r>
      <w:bookmarkEnd w:id="61"/>
    </w:p>
    <w:p w14:paraId="2B49EC9B">
      <w:pPr>
        <w:pStyle w:val="4"/>
        <w:numPr>
          <w:ilvl w:val="1"/>
          <w:numId w:val="1"/>
        </w:numPr>
      </w:pPr>
      <w:bookmarkStart w:id="62" w:name="_Toc10313"/>
      <w:r>
        <w:rPr>
          <w:rFonts w:ascii="Arial" w:hAnsi="Arial" w:eastAsia="Arial" w:cs="Arial"/>
          <w:b w:val="0"/>
        </w:rPr>
        <w:t>Conclusões</w:t>
      </w:r>
      <w:bookmarkEnd w:id="62"/>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Resposta à pergunta de previsão (P2). 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114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63" w:name="_Toc11552"/>
      <w:r>
        <w:rPr>
          <w:rFonts w:ascii="Arial" w:hAnsi="Arial" w:eastAsia="Arial" w:cs="Arial"/>
          <w:b w:val="0"/>
        </w:rPr>
        <w:t>Trabalhos Futuros</w:t>
      </w:r>
      <w:bookmarkEnd w:id="63"/>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64" w:name="_Toc18795"/>
      <w:r>
        <w:rPr>
          <w:rFonts w:ascii="Arial" w:hAnsi="Arial" w:eastAsia="Arial" w:cs="Arial"/>
          <w:b w:val="0"/>
        </w:rPr>
        <w:t>Referências</w:t>
      </w:r>
      <w:bookmarkEnd w:id="64"/>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2FB4A314">
      <w:pPr>
        <w:pStyle w:val="3"/>
        <w:ind w:firstLine="0"/>
        <w:rPr>
          <w:color w:val="2E75B5"/>
        </w:rPr>
      </w:pPr>
      <w:r>
        <w:rPr>
          <w:rFonts w:ascii="Arial" w:hAnsi="Arial" w:eastAsia="Arial" w:cs="Arial"/>
          <w:b w:val="0"/>
        </w:rPr>
        <w:t>BREIMAN, L. Random forests. Machine Learning, v. 45, n. 1, p. 5–32, 2001.</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DE2185E">
      <w:pPr>
        <w:pStyle w:val="3"/>
        <w:ind w:firstLine="0"/>
        <w:rPr>
          <w:color w:val="2E75B5"/>
        </w:rPr>
      </w:pPr>
      <w:r>
        <w:rPr>
          <w:rFonts w:ascii="Arial" w:hAnsi="Arial" w:eastAsia="Arial" w:cs="Arial"/>
          <w:b w:val="0"/>
        </w:rPr>
        <w:t>MOLNAR, C. Interpretable machine learning: a guide for making black box models explainable. 2. ed. [S. l.: s. n.], 2022.</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1C353865">
      <w:pPr>
        <w:pStyle w:val="3"/>
        <w:ind w:firstLine="0"/>
        <w:rPr>
          <w:color w:val="2E75B5"/>
        </w:rPr>
      </w:pPr>
      <w:r>
        <w:rPr>
          <w:rFonts w:ascii="Arial" w:hAnsi="Arial" w:eastAsia="Arial" w:cs="Arial"/>
          <w:b w:val="0"/>
        </w:rPr>
        <w:t>ROMERO, C.; VENTURA, S. Educational data mining: a review of the state of the art. IEEE Transactions on Systems, Man, and Cybernetics, Part C: Applications and Reviews, v. 40, n. 6, p. 601–618, 2010.</w:t>
      </w:r>
    </w:p>
    <w:p w14:paraId="7162C159">
      <w:pPr>
        <w:pStyle w:val="3"/>
        <w:ind w:firstLine="0"/>
        <w:rPr>
          <w:color w:val="2E75B5"/>
        </w:rPr>
      </w:pPr>
      <w:r>
        <w:rPr>
          <w:rFonts w:ascii="Arial" w:hAnsi="Arial" w:eastAsia="Arial" w:cs="Arial"/>
          <w:b w:val="0"/>
        </w:rPr>
        <w:t>RUMBERGER, R. W. Dropping out: why students drop out of high school and what can be done about it. Cambridge: Harvard University Press, 2011.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2A8FD802">
      <w:pPr>
        <w:pStyle w:val="3"/>
        <w:ind w:firstLine="0"/>
        <w:rPr>
          <w:color w:val="2E75B5"/>
        </w:rPr>
      </w:pPr>
      <w:r>
        <w:rPr>
          <w:rFonts w:ascii="Arial" w:hAnsi="Arial" w:eastAsia="Arial" w:cs="Arial"/>
          <w:b w:val="0"/>
        </w:rPr>
        <w:t>TINTO, V. Dropout from higher education: a theoretical synthesis of recent research. Review of Educational Research, v. 45, n. 1, p. 89–125, 1975.</w:t>
      </w:r>
    </w:p>
    <w:p w14:paraId="6FD186B2">
      <w:pPr>
        <w:pStyle w:val="8"/>
        <w:rPr>
          <w:color w:val="000000"/>
        </w:rPr>
      </w:pPr>
      <w:bookmarkStart w:id="65" w:name="_Toc3976"/>
      <w:r>
        <w:rPr>
          <w:rFonts w:ascii="Arial" w:hAnsi="Arial" w:eastAsia="Arial" w:cs="Arial"/>
          <w:b w:val="0"/>
        </w:rPr>
        <w:t>Apêndice A – Relação das 39 características usadas pelo sistema</w:t>
      </w:r>
      <w:bookmarkEnd w:id="65"/>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63C05F05-87D2-4FDC-B10B-F4BEAE908046}"/>
  </w:font>
  <w:font w:name="Arial">
    <w:panose1 w:val="020B0604020202020204"/>
    <w:charset w:val="00"/>
    <w:family w:val="swiss"/>
    <w:pitch w:val="default"/>
    <w:sig w:usb0="E0002EFF" w:usb1="C000785B" w:usb2="00000009" w:usb3="00000000" w:csb0="400001FF" w:csb1="FFFF0000"/>
    <w:embedRegular r:id="rId2" w:fontKey="{4DD35BBD-9BF7-4C28-A0C6-7E4F58358BA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46E0F660-EEFB-4D18-AB0C-4B47F7968959}"/>
  </w:font>
  <w:font w:name="Wingdings">
    <w:panose1 w:val="05000000000000000000"/>
    <w:charset w:val="02"/>
    <w:family w:val="auto"/>
    <w:pitch w:val="default"/>
    <w:sig w:usb0="00000000" w:usb1="00000000" w:usb2="00000000" w:usb3="00000000" w:csb0="80000000" w:csb1="00000000"/>
    <w:embedRegular r:id="rId4" w:fontKey="{0EB7C391-EAFD-41B4-BB36-160E89302E9D}"/>
  </w:font>
  <w:font w:name="Calibri">
    <w:panose1 w:val="020F0502020204030204"/>
    <w:charset w:val="00"/>
    <w:family w:val="swiss"/>
    <w:pitch w:val="default"/>
    <w:sig w:usb0="E4002EFF" w:usb1="C200247B" w:usb2="00000009" w:usb3="00000000" w:csb0="200001FF" w:csb1="00000000"/>
    <w:embedRegular r:id="rId5" w:fontKey="{57937625-C113-43CB-8AA2-13491BDB09E4}"/>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6" w:fontKey="{635D6CEA-4768-440F-8EB8-3FADAC1F7F1A}"/>
  </w:font>
  <w:font w:name="Georgia">
    <w:panose1 w:val="02040502050405020303"/>
    <w:charset w:val="00"/>
    <w:family w:val="roman"/>
    <w:pitch w:val="default"/>
    <w:sig w:usb0="00000287" w:usb1="00000000" w:usb2="00000000" w:usb3="00000000" w:csb0="2000009F" w:csb1="00000000"/>
    <w:embedRegular r:id="rId7" w:fontKey="{6612B336-A7F2-474A-83F1-1A8A9EB5DFE0}"/>
  </w:font>
  <w:font w:name="Liberation Sans">
    <w:panose1 w:val="020B0604020202020204"/>
    <w:charset w:val="00"/>
    <w:family w:val="swiss"/>
    <w:pitch w:val="default"/>
    <w:sig w:usb0="E0000AFF" w:usb1="500078FF" w:usb2="00000021" w:usb3="00000000" w:csb0="600001BF" w:csb1="DFF70000"/>
    <w:embedRegular r:id="rId8" w:fontKey="{06633A21-32E5-4269-9CCD-9A649851F64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9" w:fontKey="{6355DEF6-C874-461C-B2E5-717CD1E3D26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3E75FC9"/>
    <w:rsid w:val="0E3A73C0"/>
    <w:rsid w:val="154F2ABF"/>
    <w:rsid w:val="1B1E5FE7"/>
    <w:rsid w:val="2C1B3E3D"/>
    <w:rsid w:val="37816D17"/>
    <w:rsid w:val="46E010FE"/>
    <w:rsid w:val="54BC7DEB"/>
    <w:rsid w:val="55540C4E"/>
    <w:rsid w:val="59E678F3"/>
    <w:rsid w:val="5DFA0956"/>
    <w:rsid w:val="79F53997"/>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66</Pages>
  <Words>9961</Words>
  <Characters>54488</Characters>
  <Paragraphs>463</Paragraphs>
  <TotalTime>70</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2026-07-25T17:21:05Z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