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8B377">
      <w:pPr>
        <w:ind w:firstLine="0"/>
        <w:jc w:val="center"/>
        <w:rPr>
          <w:rFonts w:cs="Arial"/>
          <w:bCs/>
          <w:color w:val="auto"/>
          <w:szCs w:val="24"/>
          <w:lang w:eastAsia="pt-BR"/>
        </w:rPr>
      </w:pPr>
      <w:bookmarkStart w:id="0" w:name="_Toc47640896"/>
      <w:r>
        <w:rPr>
          <w:rFonts w:cs="Arial"/>
          <w:bCs/>
          <w:color w:val="auto"/>
          <w:szCs w:val="24"/>
          <w:lang w:eastAsia="pt-BR"/>
        </w:rPr>
        <w:drawing>
          <wp:anchor distT="0" distB="0" distL="114300" distR="114300" simplePos="0" relativeHeight="251660288" behindDoc="1" locked="0" layoutInCell="1" allowOverlap="1">
            <wp:simplePos x="0" y="0"/>
            <wp:positionH relativeFrom="margin">
              <wp:posOffset>2350770</wp:posOffset>
            </wp:positionH>
            <wp:positionV relativeFrom="paragraph">
              <wp:posOffset>-633095</wp:posOffset>
            </wp:positionV>
            <wp:extent cx="613410" cy="979170"/>
            <wp:effectExtent l="0" t="0" r="0" b="0"/>
            <wp:wrapNone/>
            <wp:docPr id="4" name="Imagem 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anchor>
        </w:drawing>
      </w:r>
    </w:p>
    <w:p w14:paraId="2593ADCD">
      <w:pPr>
        <w:ind w:firstLine="0"/>
        <w:jc w:val="center"/>
        <w:rPr>
          <w:rFonts w:cs="Arial"/>
          <w:bCs/>
          <w:color w:val="auto"/>
          <w:szCs w:val="24"/>
          <w:lang w:eastAsia="pt-BR"/>
        </w:rPr>
      </w:pPr>
    </w:p>
    <w:p w14:paraId="26D1415A">
      <w:pPr>
        <w:ind w:firstLine="0"/>
        <w:jc w:val="center"/>
        <w:rPr>
          <w:rFonts w:cs="Arial"/>
          <w:b/>
          <w:color w:val="auto"/>
          <w:sz w:val="32"/>
          <w:szCs w:val="32"/>
          <w:lang w:eastAsia="pt-BR"/>
        </w:rPr>
      </w:pPr>
      <w:r>
        <w:rPr>
          <w:rFonts w:cs="Arial"/>
          <w:b/>
          <w:color w:val="auto"/>
          <w:sz w:val="32"/>
          <w:szCs w:val="32"/>
          <w:lang w:eastAsia="pt-BR"/>
        </w:rPr>
        <w:t xml:space="preserve">Pontifícia Universidade Católica de São Paulo </w:t>
      </w:r>
    </w:p>
    <w:p w14:paraId="51191374">
      <w:pPr>
        <w:ind w:firstLine="0"/>
        <w:jc w:val="center"/>
        <w:rPr>
          <w:rFonts w:cs="Arial"/>
          <w:b/>
          <w:color w:val="auto"/>
          <w:sz w:val="28"/>
          <w:szCs w:val="28"/>
          <w:lang w:eastAsia="pt-BR"/>
        </w:rPr>
      </w:pPr>
      <w:r>
        <w:rPr>
          <w:rFonts w:cs="Arial"/>
          <w:b/>
          <w:color w:val="auto"/>
          <w:sz w:val="28"/>
          <w:szCs w:val="28"/>
          <w:lang w:eastAsia="pt-BR"/>
        </w:rPr>
        <w:t>Especialização em Engenharia de Software</w:t>
      </w:r>
    </w:p>
    <w:p w14:paraId="282CAB91">
      <w:pPr>
        <w:ind w:firstLine="0"/>
        <w:jc w:val="center"/>
        <w:rPr>
          <w:rFonts w:cs="Arial"/>
          <w:b/>
          <w:color w:val="auto"/>
          <w:szCs w:val="24"/>
          <w:lang w:eastAsia="pt-BR"/>
        </w:rPr>
      </w:pPr>
    </w:p>
    <w:p w14:paraId="4A0C1A83">
      <w:pPr>
        <w:ind w:firstLine="0"/>
        <w:jc w:val="center"/>
        <w:rPr>
          <w:rFonts w:cs="Arial"/>
          <w:b/>
          <w:color w:val="auto"/>
          <w:szCs w:val="24"/>
          <w:lang w:eastAsia="pt-BR"/>
        </w:rPr>
      </w:pPr>
    </w:p>
    <w:p w14:paraId="4D61F778">
      <w:pPr>
        <w:ind w:firstLine="0"/>
        <w:jc w:val="center"/>
        <w:rPr>
          <w:rFonts w:cs="Arial"/>
          <w:b/>
          <w:color w:val="auto"/>
          <w:szCs w:val="24"/>
          <w:lang w:eastAsia="pt-BR"/>
        </w:rPr>
      </w:pPr>
    </w:p>
    <w:p w14:paraId="67EF9B96">
      <w:pPr>
        <w:ind w:firstLine="0"/>
        <w:jc w:val="center"/>
        <w:rPr>
          <w:rFonts w:cs="Arial"/>
          <w:b/>
          <w:color w:val="auto"/>
          <w:szCs w:val="24"/>
          <w:lang w:eastAsia="pt-BR"/>
        </w:rPr>
      </w:pPr>
    </w:p>
    <w:p w14:paraId="39BC0F7B">
      <w:pPr>
        <w:ind w:firstLine="0"/>
        <w:jc w:val="center"/>
        <w:rPr>
          <w:rFonts w:cs="Arial"/>
          <w:bCs/>
          <w:color w:val="auto"/>
          <w:szCs w:val="24"/>
          <w:lang w:eastAsia="pt-BR"/>
        </w:rPr>
      </w:pPr>
    </w:p>
    <w:p w14:paraId="7672FAA7">
      <w:pPr>
        <w:ind w:firstLine="0"/>
        <w:jc w:val="center"/>
        <w:rPr>
          <w:rFonts w:cs="Arial"/>
          <w:bCs/>
          <w:color w:val="auto"/>
          <w:szCs w:val="24"/>
          <w:lang w:eastAsia="pt-BR"/>
        </w:rPr>
      </w:pPr>
    </w:p>
    <w:p w14:paraId="6E30C9EB">
      <w:pPr>
        <w:ind w:firstLine="0"/>
        <w:jc w:val="center"/>
        <w:rPr>
          <w:rFonts w:cs="Arial"/>
          <w:bCs/>
          <w:color w:val="auto"/>
          <w:szCs w:val="24"/>
          <w:lang w:eastAsia="pt-BR"/>
        </w:rPr>
      </w:pPr>
      <w:r>
        <w:rPr>
          <w:rFonts w:cs="Arial"/>
          <w:bCs/>
          <w:color w:val="auto"/>
          <w:szCs w:val="24"/>
          <w:lang w:eastAsia="pt-BR"/>
        </w:rPr>
        <w:t>Nome do Autor</w:t>
      </w:r>
    </w:p>
    <w:p w14:paraId="3A520C8E">
      <w:pPr>
        <w:ind w:firstLine="0"/>
        <w:jc w:val="center"/>
        <w:rPr>
          <w:rFonts w:cs="Arial"/>
          <w:bCs/>
          <w:color w:val="auto"/>
          <w:szCs w:val="24"/>
          <w:lang w:eastAsia="pt-BR"/>
        </w:rPr>
      </w:pPr>
    </w:p>
    <w:p w14:paraId="78B88703">
      <w:pPr>
        <w:ind w:firstLine="0"/>
        <w:jc w:val="center"/>
        <w:rPr>
          <w:rFonts w:cs="Arial"/>
          <w:bCs/>
          <w:color w:val="auto"/>
          <w:szCs w:val="24"/>
          <w:lang w:eastAsia="pt-BR"/>
        </w:rPr>
      </w:pPr>
    </w:p>
    <w:p w14:paraId="0B6C7D88">
      <w:pPr>
        <w:ind w:firstLine="0"/>
        <w:jc w:val="center"/>
        <w:rPr>
          <w:rFonts w:cs="Arial"/>
          <w:bCs/>
          <w:color w:val="auto"/>
          <w:szCs w:val="24"/>
          <w:lang w:eastAsia="pt-BR"/>
        </w:rPr>
      </w:pPr>
    </w:p>
    <w:p w14:paraId="306052C5">
      <w:pPr>
        <w:ind w:firstLine="0"/>
        <w:jc w:val="center"/>
        <w:rPr>
          <w:rFonts w:cs="Arial"/>
          <w:bCs/>
          <w:color w:val="auto"/>
          <w:szCs w:val="24"/>
          <w:lang w:eastAsia="pt-BR"/>
        </w:rPr>
      </w:pPr>
    </w:p>
    <w:p w14:paraId="2BD0729D">
      <w:pPr>
        <w:ind w:firstLine="0"/>
        <w:jc w:val="center"/>
        <w:rPr>
          <w:rFonts w:cs="Arial"/>
          <w:bCs/>
          <w:color w:val="auto"/>
          <w:szCs w:val="24"/>
          <w:lang w:eastAsia="pt-BR"/>
        </w:rPr>
      </w:pPr>
    </w:p>
    <w:p w14:paraId="76C9B06C">
      <w:pPr>
        <w:ind w:firstLine="0"/>
        <w:jc w:val="center"/>
        <w:rPr>
          <w:rFonts w:cs="Arial"/>
          <w:bCs/>
          <w:color w:val="auto"/>
          <w:szCs w:val="24"/>
          <w:lang w:eastAsia="pt-BR"/>
        </w:rPr>
      </w:pPr>
    </w:p>
    <w:p w14:paraId="368BA20E">
      <w:pPr>
        <w:ind w:firstLine="0"/>
        <w:jc w:val="center"/>
        <w:rPr>
          <w:rFonts w:cs="Arial"/>
          <w:bCs/>
          <w:color w:val="auto"/>
          <w:szCs w:val="24"/>
          <w:lang w:eastAsia="pt-BR"/>
        </w:rPr>
      </w:pPr>
    </w:p>
    <w:p w14:paraId="328212B3">
      <w:pPr>
        <w:ind w:firstLine="0"/>
        <w:jc w:val="center"/>
        <w:rPr>
          <w:rFonts w:cs="Arial"/>
          <w:color w:val="auto"/>
          <w:szCs w:val="24"/>
        </w:rPr>
      </w:pPr>
      <w:r>
        <w:rPr>
          <w:rFonts w:cs="Arial"/>
          <w:bCs/>
          <w:color w:val="auto"/>
          <w:szCs w:val="24"/>
        </w:rPr>
        <w:t>Título do trabalho:</w:t>
      </w:r>
      <w:r>
        <w:rPr>
          <w:rFonts w:cs="Arial"/>
          <w:color w:val="auto"/>
          <w:szCs w:val="24"/>
        </w:rPr>
        <w:t xml:space="preserve"> subtítulo</w:t>
      </w:r>
    </w:p>
    <w:p w14:paraId="4314336B">
      <w:pPr>
        <w:ind w:firstLine="0"/>
        <w:jc w:val="center"/>
        <w:rPr>
          <w:rFonts w:cs="Arial"/>
          <w:b/>
          <w:color w:val="auto"/>
          <w:szCs w:val="24"/>
          <w:lang w:eastAsia="pt-BR"/>
        </w:rPr>
      </w:pPr>
    </w:p>
    <w:p w14:paraId="79057A44">
      <w:pPr>
        <w:ind w:firstLine="0"/>
        <w:jc w:val="center"/>
        <w:rPr>
          <w:rFonts w:cs="Arial"/>
          <w:b/>
          <w:color w:val="auto"/>
          <w:szCs w:val="24"/>
          <w:lang w:eastAsia="pt-BR"/>
        </w:rPr>
      </w:pPr>
    </w:p>
    <w:p w14:paraId="3C4B40C1">
      <w:pPr>
        <w:ind w:firstLine="0"/>
        <w:jc w:val="center"/>
        <w:rPr>
          <w:rFonts w:cs="Arial"/>
          <w:b/>
          <w:color w:val="auto"/>
          <w:szCs w:val="24"/>
          <w:lang w:eastAsia="pt-BR"/>
        </w:rPr>
      </w:pPr>
    </w:p>
    <w:p w14:paraId="64282CDF">
      <w:pPr>
        <w:ind w:firstLine="0"/>
        <w:jc w:val="center"/>
        <w:rPr>
          <w:rFonts w:cs="Arial"/>
          <w:bCs/>
          <w:color w:val="auto"/>
          <w:szCs w:val="24"/>
          <w:lang w:eastAsia="pt-BR"/>
        </w:rPr>
      </w:pPr>
    </w:p>
    <w:p w14:paraId="744E4CD6">
      <w:pPr>
        <w:ind w:firstLine="0"/>
        <w:jc w:val="center"/>
        <w:rPr>
          <w:rFonts w:cs="Arial"/>
          <w:b/>
          <w:color w:val="auto"/>
          <w:sz w:val="32"/>
          <w:szCs w:val="32"/>
          <w:lang w:eastAsia="pt-BR"/>
        </w:rPr>
      </w:pPr>
    </w:p>
    <w:p w14:paraId="7AE6A82C">
      <w:pPr>
        <w:ind w:firstLine="0"/>
        <w:jc w:val="center"/>
        <w:rPr>
          <w:rFonts w:cs="Arial"/>
          <w:bCs/>
          <w:color w:val="auto"/>
          <w:szCs w:val="24"/>
          <w:lang w:eastAsia="pt-BR"/>
        </w:rPr>
      </w:pPr>
    </w:p>
    <w:p w14:paraId="6F7276F0">
      <w:pPr>
        <w:ind w:firstLine="0"/>
        <w:jc w:val="center"/>
        <w:rPr>
          <w:rFonts w:cs="Arial"/>
          <w:bCs/>
          <w:color w:val="auto"/>
          <w:szCs w:val="24"/>
          <w:lang w:eastAsia="pt-BR"/>
        </w:rPr>
      </w:pPr>
    </w:p>
    <w:p w14:paraId="7DCE98B1">
      <w:pPr>
        <w:ind w:firstLine="0"/>
        <w:jc w:val="center"/>
        <w:rPr>
          <w:rFonts w:cs="Arial"/>
          <w:bCs/>
          <w:color w:val="auto"/>
          <w:szCs w:val="24"/>
          <w:lang w:eastAsia="pt-BR"/>
        </w:rPr>
      </w:pPr>
    </w:p>
    <w:p w14:paraId="79C4B01D">
      <w:pPr>
        <w:ind w:firstLine="0"/>
        <w:jc w:val="center"/>
        <w:rPr>
          <w:rFonts w:cs="Arial"/>
          <w:bCs/>
          <w:color w:val="auto"/>
          <w:szCs w:val="24"/>
          <w:lang w:eastAsia="pt-BR"/>
        </w:rPr>
      </w:pPr>
    </w:p>
    <w:p w14:paraId="09A54572">
      <w:pPr>
        <w:pStyle w:val="55"/>
        <w:rPr>
          <w:b w:val="0"/>
          <w:bCs/>
          <w:color w:val="auto"/>
        </w:rPr>
      </w:pPr>
    </w:p>
    <w:p w14:paraId="2465D219">
      <w:pPr>
        <w:ind w:firstLine="0"/>
        <w:jc w:val="center"/>
        <w:rPr>
          <w:rFonts w:cs="Arial"/>
          <w:bCs/>
          <w:color w:val="auto"/>
          <w:szCs w:val="24"/>
          <w:lang w:eastAsia="pt-BR"/>
        </w:rPr>
      </w:pPr>
    </w:p>
    <w:p w14:paraId="542AF042">
      <w:pPr>
        <w:ind w:firstLine="0"/>
        <w:jc w:val="center"/>
        <w:rPr>
          <w:rFonts w:cs="Arial"/>
          <w:bCs/>
          <w:color w:val="auto"/>
          <w:szCs w:val="24"/>
          <w:lang w:eastAsia="pt-BR"/>
        </w:rPr>
      </w:pPr>
    </w:p>
    <w:p w14:paraId="0E50080B">
      <w:pPr>
        <w:ind w:firstLine="0"/>
        <w:jc w:val="center"/>
        <w:rPr>
          <w:rFonts w:cs="Arial"/>
          <w:bCs/>
          <w:color w:val="auto"/>
          <w:szCs w:val="24"/>
          <w:lang w:eastAsia="pt-BR"/>
        </w:rPr>
      </w:pPr>
      <w:r>
        <w:rPr>
          <w:rFonts w:cs="Arial"/>
          <w:bCs/>
          <w:color w:val="auto"/>
          <w:szCs w:val="24"/>
          <w:lang w:eastAsia="pt-BR"/>
        </w:rPr>
        <w:t>São Paulo</w:t>
      </w:r>
    </w:p>
    <w:p w14:paraId="2F514F56">
      <w:pPr>
        <w:ind w:firstLine="0"/>
        <w:jc w:val="center"/>
        <w:rPr>
          <w:rFonts w:cs="Arial"/>
          <w:b/>
          <w:color w:val="auto"/>
          <w:szCs w:val="24"/>
          <w:lang w:eastAsia="pt-BR"/>
        </w:rPr>
      </w:pPr>
      <w:r>
        <w:rPr>
          <w:rFonts w:cs="Arial"/>
          <w:bCs/>
          <w:color w:val="auto"/>
          <w:szCs w:val="24"/>
          <w:lang w:eastAsia="pt-BR"/>
        </w:rPr>
        <w:t>2021</w:t>
      </w:r>
      <w:r>
        <w:rPr>
          <w:rFonts w:cs="Arial"/>
          <w:b/>
          <w:color w:val="auto"/>
          <w:szCs w:val="24"/>
          <w:lang w:eastAsia="pt-BR"/>
        </w:rPr>
        <w:br w:type="page"/>
      </w:r>
    </w:p>
    <w:p w14:paraId="42CB007A">
      <w:pPr>
        <w:pStyle w:val="55"/>
        <w:rPr>
          <w:b w:val="0"/>
          <w:bCs/>
          <w:color w:val="auto"/>
        </w:rPr>
      </w:pPr>
      <w:r>
        <w:rPr>
          <w:b w:val="0"/>
          <w:bCs/>
          <w:caps w:val="0"/>
          <w:color w:val="auto"/>
        </w:rPr>
        <w:t>Nome do Autor</w:t>
      </w:r>
    </w:p>
    <w:p w14:paraId="00DE14C0">
      <w:pPr>
        <w:pStyle w:val="55"/>
        <w:rPr>
          <w:color w:val="auto"/>
        </w:rPr>
      </w:pPr>
    </w:p>
    <w:p w14:paraId="62CEC7B7">
      <w:pPr>
        <w:pStyle w:val="55"/>
        <w:rPr>
          <w:color w:val="auto"/>
        </w:rPr>
      </w:pPr>
    </w:p>
    <w:p w14:paraId="31D099A4">
      <w:pPr>
        <w:pStyle w:val="55"/>
        <w:rPr>
          <w:color w:val="auto"/>
        </w:rPr>
      </w:pPr>
    </w:p>
    <w:p w14:paraId="2AA2E592">
      <w:pPr>
        <w:pStyle w:val="55"/>
        <w:rPr>
          <w:color w:val="auto"/>
        </w:rPr>
      </w:pPr>
    </w:p>
    <w:p w14:paraId="464DE655">
      <w:pPr>
        <w:pStyle w:val="55"/>
        <w:rPr>
          <w:color w:val="auto"/>
        </w:rPr>
      </w:pPr>
    </w:p>
    <w:p w14:paraId="358A31FB">
      <w:pPr>
        <w:pStyle w:val="55"/>
        <w:rPr>
          <w:color w:val="auto"/>
        </w:rPr>
      </w:pPr>
    </w:p>
    <w:p w14:paraId="11AC41A1">
      <w:pPr>
        <w:pStyle w:val="55"/>
        <w:rPr>
          <w:color w:val="auto"/>
        </w:rPr>
      </w:pPr>
    </w:p>
    <w:p w14:paraId="10EE568D">
      <w:pPr>
        <w:pStyle w:val="55"/>
        <w:rPr>
          <w:color w:val="auto"/>
        </w:rPr>
      </w:pPr>
    </w:p>
    <w:p w14:paraId="0BEF2533">
      <w:pPr>
        <w:pStyle w:val="55"/>
        <w:rPr>
          <w:color w:val="auto"/>
        </w:rPr>
      </w:pPr>
    </w:p>
    <w:p w14:paraId="3317393B">
      <w:pPr>
        <w:pStyle w:val="55"/>
        <w:rPr>
          <w:color w:val="auto"/>
        </w:rPr>
      </w:pPr>
    </w:p>
    <w:p w14:paraId="1CFB55CA">
      <w:pPr>
        <w:pStyle w:val="55"/>
        <w:rPr>
          <w:color w:val="auto"/>
        </w:rPr>
      </w:pPr>
    </w:p>
    <w:p w14:paraId="669A6DEC">
      <w:pPr>
        <w:pStyle w:val="55"/>
        <w:rPr>
          <w:color w:val="auto"/>
        </w:rPr>
      </w:pPr>
    </w:p>
    <w:p w14:paraId="7116F98D">
      <w:pPr>
        <w:pStyle w:val="55"/>
        <w:rPr>
          <w:color w:val="auto"/>
        </w:rPr>
      </w:pPr>
    </w:p>
    <w:p w14:paraId="41E264AA">
      <w:pPr>
        <w:ind w:firstLine="0"/>
        <w:jc w:val="center"/>
        <w:rPr>
          <w:rFonts w:cs="Arial"/>
          <w:bCs/>
          <w:color w:val="auto"/>
          <w:szCs w:val="24"/>
          <w:lang w:eastAsia="pt-BR"/>
        </w:rPr>
      </w:pPr>
      <w:r>
        <w:rPr>
          <w:rFonts w:cs="Arial"/>
          <w:bCs/>
          <w:color w:val="auto"/>
          <w:szCs w:val="24"/>
          <w:lang w:eastAsia="pt-BR"/>
        </w:rPr>
        <w:t>Título do trabalho: subtítulo</w:t>
      </w:r>
    </w:p>
    <w:p w14:paraId="0D19FE70">
      <w:pPr>
        <w:pStyle w:val="55"/>
        <w:rPr>
          <w:color w:val="auto"/>
        </w:rPr>
      </w:pPr>
    </w:p>
    <w:p w14:paraId="3942C28A">
      <w:pPr>
        <w:pStyle w:val="55"/>
        <w:rPr>
          <w:color w:val="auto"/>
        </w:rPr>
      </w:pPr>
    </w:p>
    <w:p w14:paraId="512DF648">
      <w:pPr>
        <w:pStyle w:val="55"/>
        <w:rPr>
          <w:color w:val="auto"/>
        </w:rPr>
      </w:pPr>
    </w:p>
    <w:p w14:paraId="0A8AB37F">
      <w:pPr>
        <w:pStyle w:val="56"/>
        <w:rPr>
          <w:color w:val="auto"/>
        </w:rPr>
      </w:pPr>
      <w:r>
        <w:rPr>
          <w:color w:val="auto"/>
        </w:rPr>
        <w:t>Trabalho de Conclusão de Curso apresentado à banca examinadora da Pontifícia Universidade Católica de São Paulo, como exigência parcial para obtenção do título de Especialista em Engenharia de Software, sob a orientação do(a) prof.(a), dr.(a) - (</w:t>
      </w:r>
      <w:r>
        <w:rPr>
          <w:b/>
          <w:bCs/>
          <w:color w:val="auto"/>
        </w:rPr>
        <w:t>nome do completo do(a) orientador(a)</w:t>
      </w:r>
      <w:r>
        <w:rPr>
          <w:color w:val="auto"/>
        </w:rPr>
        <w:t>).</w:t>
      </w:r>
    </w:p>
    <w:p w14:paraId="03BA6FAD">
      <w:pPr>
        <w:pStyle w:val="55"/>
        <w:rPr>
          <w:color w:val="auto"/>
        </w:rPr>
      </w:pPr>
    </w:p>
    <w:p w14:paraId="6FEFC1BE">
      <w:pPr>
        <w:pStyle w:val="55"/>
        <w:rPr>
          <w:color w:val="auto"/>
        </w:rPr>
      </w:pPr>
    </w:p>
    <w:p w14:paraId="5B97B5CA">
      <w:pPr>
        <w:pStyle w:val="55"/>
        <w:rPr>
          <w:color w:val="auto"/>
        </w:rPr>
      </w:pPr>
    </w:p>
    <w:p w14:paraId="5BE88511">
      <w:pPr>
        <w:pStyle w:val="55"/>
        <w:rPr>
          <w:color w:val="auto"/>
        </w:rPr>
      </w:pPr>
    </w:p>
    <w:p w14:paraId="0245BE83">
      <w:pPr>
        <w:pStyle w:val="55"/>
        <w:rPr>
          <w:color w:val="auto"/>
        </w:rPr>
      </w:pPr>
    </w:p>
    <w:p w14:paraId="48AA5931">
      <w:pPr>
        <w:pStyle w:val="55"/>
        <w:rPr>
          <w:color w:val="auto"/>
        </w:rPr>
      </w:pPr>
    </w:p>
    <w:p w14:paraId="4A2C9015">
      <w:pPr>
        <w:pStyle w:val="55"/>
        <w:rPr>
          <w:color w:val="auto"/>
        </w:rPr>
      </w:pPr>
    </w:p>
    <w:p w14:paraId="2AA059F6">
      <w:pPr>
        <w:pStyle w:val="55"/>
        <w:rPr>
          <w:color w:val="auto"/>
        </w:rPr>
      </w:pPr>
    </w:p>
    <w:p w14:paraId="64A7EE28">
      <w:pPr>
        <w:pStyle w:val="55"/>
        <w:rPr>
          <w:b w:val="0"/>
          <w:bCs/>
          <w:color w:val="auto"/>
        </w:rPr>
      </w:pPr>
      <w:r>
        <w:rPr>
          <w:b w:val="0"/>
          <w:bCs/>
          <w:caps w:val="0"/>
          <w:color w:val="auto"/>
        </w:rPr>
        <w:t>São Paulo</w:t>
      </w:r>
    </w:p>
    <w:p w14:paraId="196872CA">
      <w:pPr>
        <w:pStyle w:val="55"/>
        <w:rPr>
          <w:color w:val="auto"/>
        </w:rPr>
      </w:pPr>
      <w:r>
        <w:rPr>
          <w:b w:val="0"/>
          <w:bCs/>
          <w:caps w:val="0"/>
          <w:color w:val="auto"/>
        </w:rPr>
        <w:t>2021</w:t>
      </w:r>
      <w:r>
        <w:rPr>
          <w:color w:val="auto"/>
        </w:rPr>
        <w:br w:type="page"/>
      </w:r>
    </w:p>
    <w:p w14:paraId="4E5138A7">
      <w:pPr>
        <w:spacing w:line="259" w:lineRule="auto"/>
        <w:jc w:val="left"/>
        <w:rPr>
          <w:rFonts w:cs="Arial"/>
          <w:bCs/>
          <w:color w:val="auto"/>
          <w:szCs w:val="24"/>
        </w:rPr>
      </w:pPr>
      <w:r>
        <w:rPr>
          <w:rFonts w:cs="Arial"/>
          <w:b/>
          <w:color w:val="auto"/>
          <w:szCs w:val="24"/>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6.8pt;height:126pt;width:451.5pt;z-index:251659264;v-text-anchor:middle;mso-width-relative:page;mso-height-relative:page;" filled="f" stroked="t" coordsize="21600,21600" o:gfxdata="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KXhYtkAAAAJAQAADwAAAAAAAAABACAAAAAiAAAAZHJzL2Rvd25yZXYueG1sUEsBAhQA&#10;FAAAAAgAh07iQGUwgtFjAgAA0AQAAA4AAAAAAAAAAQAgAAAAKAEAAGRycy9lMm9Eb2MueG1sUEsF&#10;BgAAAAAGAAYAWQEAAP0FAAAAAA==&#10;">
                <v:fill on="f" focussize="0,0"/>
                <v:stroke weight="1pt" color="#000000 [3213]" miterlimit="8" joinstyle="miter"/>
                <v:imagedata o:title=""/>
                <o:lock v:ext="edit" aspectratio="f"/>
              </v:rect>
            </w:pict>
          </mc:Fallback>
        </mc:AlternateContent>
      </w:r>
      <w:r>
        <w:rPr>
          <w:rFonts w:cs="Arial"/>
          <w:bCs/>
          <w:color w:val="auto"/>
          <w:szCs w:val="24"/>
        </w:rPr>
        <w:t xml:space="preserve">Gerenciador de ficha catalográfica: </w:t>
      </w:r>
    </w:p>
    <w:p w14:paraId="0DAD0E5B">
      <w:pPr>
        <w:spacing w:line="259" w:lineRule="auto"/>
        <w:ind w:left="284" w:firstLine="0"/>
        <w:jc w:val="left"/>
        <w:rPr>
          <w:rFonts w:cs="Arial"/>
          <w:bCs/>
          <w:szCs w:val="24"/>
        </w:rPr>
      </w:pPr>
    </w:p>
    <w:p w14:paraId="01FC45BE">
      <w:pPr>
        <w:spacing w:line="259" w:lineRule="auto"/>
        <w:ind w:left="284" w:firstLine="0"/>
        <w:jc w:val="left"/>
        <w:rPr>
          <w:rFonts w:cs="Arial"/>
          <w:bCs/>
          <w:color w:val="auto"/>
          <w:szCs w:val="24"/>
        </w:rPr>
      </w:pPr>
      <w:r>
        <w:fldChar w:fldCharType="begin"/>
      </w:r>
      <w:r>
        <w:instrText xml:space="preserve"> HYPERLINK "http://biblio2.pucsp.br/ficha/?_ga=2.154384056.1415767632.1628681585-1429258994.1628681585" </w:instrText>
      </w:r>
      <w:r>
        <w:fldChar w:fldCharType="separate"/>
      </w:r>
      <w:r>
        <w:rPr>
          <w:rStyle w:val="17"/>
          <w:rFonts w:cs="Arial"/>
          <w:bCs/>
          <w:szCs w:val="24"/>
        </w:rPr>
        <w:t>http://biblio2.pucsp.br/ficha/?_ga=2.154384056.1415767632.1628681585-1429258994.1628681585</w:t>
      </w:r>
      <w:r>
        <w:rPr>
          <w:rStyle w:val="17"/>
          <w:rFonts w:cs="Arial"/>
          <w:bCs/>
          <w:szCs w:val="24"/>
        </w:rPr>
        <w:fldChar w:fldCharType="end"/>
      </w:r>
    </w:p>
    <w:p w14:paraId="7E82C628">
      <w:pPr>
        <w:spacing w:line="259" w:lineRule="auto"/>
        <w:jc w:val="left"/>
        <w:rPr>
          <w:rFonts w:cs="Arial"/>
          <w:bCs/>
          <w:color w:val="auto"/>
          <w:szCs w:val="24"/>
        </w:rPr>
      </w:pPr>
    </w:p>
    <w:p w14:paraId="64662D45">
      <w:pPr>
        <w:spacing w:line="259" w:lineRule="auto"/>
        <w:jc w:val="left"/>
        <w:rPr>
          <w:rFonts w:cs="Arial"/>
          <w:b/>
          <w:color w:val="auto"/>
          <w:szCs w:val="24"/>
        </w:rPr>
      </w:pPr>
      <w:r>
        <w:rPr>
          <w:rFonts w:cs="Arial"/>
          <w:b/>
          <w:color w:val="auto"/>
          <w:szCs w:val="24"/>
        </w:rPr>
        <w:t>Obs. Após inserir a ficha deletar este texto</w:t>
      </w:r>
    </w:p>
    <w:p w14:paraId="1C753528">
      <w:pPr>
        <w:spacing w:line="259" w:lineRule="auto"/>
        <w:jc w:val="left"/>
        <w:rPr>
          <w:rFonts w:cs="Arial"/>
          <w:b/>
          <w:color w:val="auto"/>
          <w:szCs w:val="24"/>
        </w:rPr>
      </w:pPr>
    </w:p>
    <w:p w14:paraId="460C2E83">
      <w:pPr>
        <w:spacing w:line="259" w:lineRule="auto"/>
        <w:jc w:val="left"/>
        <w:rPr>
          <w:rFonts w:cs="Arial"/>
          <w:b/>
          <w:color w:val="auto"/>
          <w:szCs w:val="24"/>
        </w:rPr>
      </w:pPr>
    </w:p>
    <w:p w14:paraId="5C61430A">
      <w:pPr>
        <w:spacing w:line="259" w:lineRule="auto"/>
        <w:jc w:val="left"/>
        <w:rPr>
          <w:rFonts w:cs="Arial"/>
          <w:b/>
          <w:color w:val="auto"/>
          <w:szCs w:val="24"/>
        </w:rPr>
      </w:pPr>
    </w:p>
    <w:p w14:paraId="1A55B33F">
      <w:pPr>
        <w:spacing w:line="259" w:lineRule="auto"/>
        <w:jc w:val="left"/>
        <w:rPr>
          <w:rFonts w:cs="Arial"/>
          <w:b/>
          <w:color w:val="auto"/>
          <w:szCs w:val="24"/>
        </w:rPr>
      </w:pPr>
    </w:p>
    <w:p w14:paraId="64CA3ED8">
      <w:pPr>
        <w:spacing w:line="259" w:lineRule="auto"/>
        <w:jc w:val="left"/>
        <w:rPr>
          <w:rFonts w:cs="Arial"/>
          <w:b/>
          <w:color w:val="auto"/>
          <w:szCs w:val="24"/>
        </w:rPr>
      </w:pPr>
    </w:p>
    <w:p w14:paraId="3DD9BED5">
      <w:pPr>
        <w:spacing w:line="259" w:lineRule="auto"/>
        <w:jc w:val="left"/>
        <w:rPr>
          <w:rFonts w:cs="Arial"/>
          <w:b/>
          <w:color w:val="auto"/>
          <w:szCs w:val="24"/>
        </w:rPr>
      </w:pPr>
    </w:p>
    <w:p w14:paraId="657ACD77">
      <w:pPr>
        <w:spacing w:line="259" w:lineRule="auto"/>
        <w:jc w:val="left"/>
        <w:rPr>
          <w:rFonts w:cs="Arial"/>
          <w:b/>
          <w:color w:val="auto"/>
          <w:szCs w:val="24"/>
        </w:rPr>
      </w:pPr>
    </w:p>
    <w:p w14:paraId="33293123">
      <w:pPr>
        <w:spacing w:line="259" w:lineRule="auto"/>
        <w:jc w:val="left"/>
        <w:rPr>
          <w:rFonts w:cs="Arial"/>
          <w:b/>
          <w:color w:val="auto"/>
          <w:szCs w:val="24"/>
        </w:rPr>
      </w:pPr>
      <w:r>
        <w:rPr>
          <w:rFonts w:cs="Arial"/>
          <w:b/>
          <w:color w:val="auto"/>
          <w:szCs w:val="24"/>
        </w:rPr>
        <w:br w:type="page"/>
      </w:r>
    </w:p>
    <w:p w14:paraId="786525FC">
      <w:pPr>
        <w:pStyle w:val="56"/>
        <w:rPr>
          <w:color w:val="auto"/>
        </w:rPr>
      </w:pPr>
    </w:p>
    <w:p w14:paraId="2F655BFD">
      <w:pPr>
        <w:pStyle w:val="56"/>
        <w:rPr>
          <w:color w:val="auto"/>
        </w:rPr>
      </w:pPr>
    </w:p>
    <w:p w14:paraId="756F7FFF">
      <w:pPr>
        <w:pStyle w:val="56"/>
        <w:rPr>
          <w:color w:val="auto"/>
        </w:rPr>
      </w:pPr>
    </w:p>
    <w:p w14:paraId="5BFCCB94">
      <w:pPr>
        <w:pStyle w:val="56"/>
        <w:rPr>
          <w:color w:val="auto"/>
        </w:rPr>
      </w:pPr>
    </w:p>
    <w:p w14:paraId="559D8C2E">
      <w:pPr>
        <w:pStyle w:val="56"/>
        <w:rPr>
          <w:color w:val="auto"/>
        </w:rPr>
      </w:pPr>
    </w:p>
    <w:p w14:paraId="5FD55F42">
      <w:pPr>
        <w:pStyle w:val="56"/>
        <w:rPr>
          <w:color w:val="auto"/>
        </w:rPr>
      </w:pPr>
    </w:p>
    <w:p w14:paraId="7D57935B">
      <w:pPr>
        <w:pStyle w:val="56"/>
        <w:rPr>
          <w:color w:val="auto"/>
        </w:rPr>
      </w:pPr>
    </w:p>
    <w:p w14:paraId="25C9A377">
      <w:pPr>
        <w:pStyle w:val="56"/>
        <w:rPr>
          <w:color w:val="auto"/>
        </w:rPr>
      </w:pPr>
    </w:p>
    <w:p w14:paraId="276FC261">
      <w:pPr>
        <w:pStyle w:val="56"/>
        <w:rPr>
          <w:color w:val="auto"/>
        </w:rPr>
      </w:pPr>
    </w:p>
    <w:p w14:paraId="3852A09B">
      <w:pPr>
        <w:pStyle w:val="56"/>
        <w:rPr>
          <w:color w:val="auto"/>
        </w:rPr>
      </w:pPr>
    </w:p>
    <w:p w14:paraId="6BC3805C">
      <w:pPr>
        <w:pStyle w:val="56"/>
        <w:rPr>
          <w:color w:val="auto"/>
        </w:rPr>
      </w:pPr>
    </w:p>
    <w:p w14:paraId="602B2B7E">
      <w:pPr>
        <w:pStyle w:val="56"/>
        <w:rPr>
          <w:color w:val="auto"/>
        </w:rPr>
      </w:pPr>
    </w:p>
    <w:p w14:paraId="77AA90BC">
      <w:pPr>
        <w:pStyle w:val="55"/>
        <w:rPr>
          <w:color w:val="auto"/>
        </w:rPr>
      </w:pPr>
    </w:p>
    <w:p w14:paraId="4275352A">
      <w:pPr>
        <w:pStyle w:val="55"/>
        <w:rPr>
          <w:color w:val="auto"/>
        </w:rPr>
      </w:pPr>
    </w:p>
    <w:p w14:paraId="0A1D9996">
      <w:pPr>
        <w:pStyle w:val="55"/>
        <w:rPr>
          <w:color w:val="auto"/>
        </w:rPr>
      </w:pPr>
    </w:p>
    <w:p w14:paraId="20134A34">
      <w:pPr>
        <w:pStyle w:val="55"/>
        <w:rPr>
          <w:color w:val="auto"/>
        </w:rPr>
      </w:pPr>
    </w:p>
    <w:p w14:paraId="1ECE4A69">
      <w:pPr>
        <w:pStyle w:val="55"/>
        <w:rPr>
          <w:color w:val="auto"/>
        </w:rPr>
      </w:pPr>
    </w:p>
    <w:p w14:paraId="60564961">
      <w:pPr>
        <w:pStyle w:val="55"/>
        <w:rPr>
          <w:color w:val="auto"/>
        </w:rPr>
      </w:pPr>
    </w:p>
    <w:p w14:paraId="560AF9E6">
      <w:pPr>
        <w:pStyle w:val="55"/>
        <w:rPr>
          <w:color w:val="auto"/>
        </w:rPr>
      </w:pPr>
    </w:p>
    <w:p w14:paraId="71F594A7">
      <w:pPr>
        <w:pStyle w:val="55"/>
        <w:rPr>
          <w:color w:val="auto"/>
        </w:rPr>
      </w:pPr>
    </w:p>
    <w:p w14:paraId="4EAD3924">
      <w:pPr>
        <w:pStyle w:val="55"/>
        <w:rPr>
          <w:color w:val="auto"/>
        </w:rPr>
      </w:pPr>
    </w:p>
    <w:p w14:paraId="3B27CCF5">
      <w:pPr>
        <w:pStyle w:val="55"/>
        <w:jc w:val="right"/>
        <w:rPr>
          <w:b w:val="0"/>
          <w:bCs/>
          <w:caps w:val="0"/>
          <w:color w:val="auto"/>
        </w:rPr>
      </w:pPr>
      <w:r>
        <w:rPr>
          <w:b w:val="0"/>
          <w:bCs/>
          <w:caps w:val="0"/>
          <w:color w:val="auto"/>
        </w:rPr>
        <w:t>Banca Examinadora</w:t>
      </w:r>
    </w:p>
    <w:p w14:paraId="1CD9601D">
      <w:pPr>
        <w:pStyle w:val="55"/>
        <w:jc w:val="right"/>
        <w:rPr>
          <w:b w:val="0"/>
          <w:bCs/>
          <w:caps w:val="0"/>
          <w:color w:val="auto"/>
        </w:rPr>
      </w:pPr>
    </w:p>
    <w:p w14:paraId="3DFCD972">
      <w:pPr>
        <w:pStyle w:val="55"/>
        <w:jc w:val="right"/>
        <w:rPr>
          <w:b w:val="0"/>
          <w:bCs/>
          <w:color w:val="auto"/>
        </w:rPr>
      </w:pPr>
      <w:r>
        <w:rPr>
          <w:b w:val="0"/>
          <w:bCs/>
          <w:caps w:val="0"/>
          <w:color w:val="auto"/>
        </w:rPr>
        <w:t>_________________________________</w:t>
      </w:r>
    </w:p>
    <w:p w14:paraId="7DC7D306">
      <w:pPr>
        <w:pStyle w:val="55"/>
        <w:rPr>
          <w:color w:val="auto"/>
        </w:rPr>
      </w:pPr>
    </w:p>
    <w:p w14:paraId="172464D3">
      <w:pPr>
        <w:pStyle w:val="55"/>
        <w:jc w:val="right"/>
        <w:rPr>
          <w:b w:val="0"/>
          <w:bCs/>
          <w:color w:val="auto"/>
        </w:rPr>
      </w:pPr>
      <w:r>
        <w:rPr>
          <w:b w:val="0"/>
          <w:bCs/>
          <w:caps w:val="0"/>
          <w:color w:val="auto"/>
        </w:rPr>
        <w:t>_________________________________</w:t>
      </w:r>
    </w:p>
    <w:p w14:paraId="36D374FC">
      <w:pPr>
        <w:pStyle w:val="55"/>
        <w:rPr>
          <w:color w:val="auto"/>
        </w:rPr>
      </w:pPr>
    </w:p>
    <w:p w14:paraId="70080A9A">
      <w:pPr>
        <w:pStyle w:val="55"/>
        <w:jc w:val="right"/>
        <w:rPr>
          <w:b w:val="0"/>
          <w:bCs/>
          <w:color w:val="auto"/>
        </w:rPr>
      </w:pPr>
      <w:r>
        <w:rPr>
          <w:b w:val="0"/>
          <w:bCs/>
          <w:caps w:val="0"/>
          <w:color w:val="auto"/>
        </w:rPr>
        <w:t>_________________________________</w:t>
      </w:r>
    </w:p>
    <w:p w14:paraId="361F763E">
      <w:pPr>
        <w:pStyle w:val="55"/>
        <w:rPr>
          <w:color w:val="auto"/>
        </w:rPr>
      </w:pPr>
    </w:p>
    <w:p w14:paraId="019F65CD">
      <w:pPr>
        <w:pStyle w:val="55"/>
        <w:jc w:val="right"/>
        <w:rPr>
          <w:b w:val="0"/>
          <w:bCs/>
          <w:color w:val="auto"/>
        </w:rPr>
      </w:pPr>
      <w:r>
        <w:rPr>
          <w:b w:val="0"/>
          <w:bCs/>
          <w:caps w:val="0"/>
          <w:color w:val="auto"/>
        </w:rPr>
        <w:t>_________________________________</w:t>
      </w:r>
    </w:p>
    <w:p w14:paraId="2C8190DE">
      <w:pPr>
        <w:pStyle w:val="55"/>
        <w:rPr>
          <w:color w:val="auto"/>
        </w:rPr>
      </w:pPr>
    </w:p>
    <w:p w14:paraId="5B0EBFFC">
      <w:pPr>
        <w:pStyle w:val="55"/>
        <w:jc w:val="right"/>
        <w:rPr>
          <w:b w:val="0"/>
          <w:bCs/>
          <w:color w:val="auto"/>
        </w:rPr>
      </w:pPr>
      <w:r>
        <w:rPr>
          <w:b w:val="0"/>
          <w:bCs/>
          <w:caps w:val="0"/>
          <w:color w:val="auto"/>
        </w:rPr>
        <w:t>_________________________________</w:t>
      </w:r>
    </w:p>
    <w:p w14:paraId="61908579">
      <w:pPr>
        <w:pStyle w:val="58"/>
        <w:rPr>
          <w:color w:val="auto"/>
        </w:rPr>
      </w:pPr>
      <w:r>
        <w:rPr>
          <w:color w:val="auto"/>
        </w:rPr>
        <w:br w:type="page"/>
      </w:r>
    </w:p>
    <w:p w14:paraId="3E500C4E">
      <w:pPr>
        <w:pStyle w:val="58"/>
        <w:ind w:left="4536"/>
        <w:jc w:val="both"/>
        <w:rPr>
          <w:color w:val="auto"/>
        </w:rPr>
      </w:pPr>
    </w:p>
    <w:p w14:paraId="0F3AF487">
      <w:pPr>
        <w:pStyle w:val="58"/>
        <w:ind w:left="4536"/>
        <w:jc w:val="both"/>
        <w:rPr>
          <w:color w:val="auto"/>
        </w:rPr>
      </w:pPr>
    </w:p>
    <w:p w14:paraId="5F015F32">
      <w:pPr>
        <w:pStyle w:val="58"/>
        <w:ind w:left="4536"/>
        <w:jc w:val="both"/>
        <w:rPr>
          <w:color w:val="auto"/>
        </w:rPr>
      </w:pPr>
    </w:p>
    <w:p w14:paraId="76329EF1">
      <w:pPr>
        <w:pStyle w:val="58"/>
        <w:ind w:left="4536"/>
        <w:jc w:val="both"/>
        <w:rPr>
          <w:color w:val="auto"/>
        </w:rPr>
      </w:pPr>
    </w:p>
    <w:p w14:paraId="52E7698D">
      <w:pPr>
        <w:pStyle w:val="58"/>
        <w:ind w:left="4536"/>
        <w:jc w:val="both"/>
        <w:rPr>
          <w:color w:val="auto"/>
        </w:rPr>
      </w:pPr>
    </w:p>
    <w:p w14:paraId="4AEDDFD1">
      <w:pPr>
        <w:pStyle w:val="58"/>
        <w:ind w:left="4536"/>
        <w:jc w:val="both"/>
        <w:rPr>
          <w:color w:val="auto"/>
        </w:rPr>
      </w:pPr>
    </w:p>
    <w:p w14:paraId="5DE4B104">
      <w:pPr>
        <w:pStyle w:val="58"/>
        <w:ind w:left="4536"/>
        <w:jc w:val="both"/>
        <w:rPr>
          <w:color w:val="auto"/>
        </w:rPr>
      </w:pPr>
    </w:p>
    <w:p w14:paraId="111437B3">
      <w:pPr>
        <w:pStyle w:val="58"/>
        <w:ind w:left="4536"/>
        <w:jc w:val="both"/>
        <w:rPr>
          <w:color w:val="auto"/>
        </w:rPr>
      </w:pPr>
    </w:p>
    <w:p w14:paraId="35895BA6">
      <w:pPr>
        <w:pStyle w:val="58"/>
        <w:ind w:left="4536"/>
        <w:jc w:val="both"/>
        <w:rPr>
          <w:color w:val="auto"/>
        </w:rPr>
      </w:pPr>
    </w:p>
    <w:p w14:paraId="642BA77D">
      <w:pPr>
        <w:pStyle w:val="58"/>
        <w:ind w:left="4536"/>
        <w:jc w:val="both"/>
        <w:rPr>
          <w:color w:val="auto"/>
        </w:rPr>
      </w:pPr>
    </w:p>
    <w:p w14:paraId="1F726699">
      <w:pPr>
        <w:pStyle w:val="58"/>
        <w:ind w:left="4536"/>
        <w:jc w:val="both"/>
        <w:rPr>
          <w:color w:val="auto"/>
        </w:rPr>
      </w:pPr>
    </w:p>
    <w:p w14:paraId="01572081">
      <w:pPr>
        <w:pStyle w:val="58"/>
        <w:ind w:left="4536"/>
        <w:jc w:val="both"/>
        <w:rPr>
          <w:color w:val="auto"/>
        </w:rPr>
      </w:pPr>
    </w:p>
    <w:p w14:paraId="76D83B91">
      <w:pPr>
        <w:pStyle w:val="58"/>
        <w:ind w:left="4536"/>
        <w:jc w:val="both"/>
        <w:rPr>
          <w:color w:val="auto"/>
        </w:rPr>
      </w:pPr>
    </w:p>
    <w:p w14:paraId="12DFE2F4">
      <w:pPr>
        <w:pStyle w:val="58"/>
        <w:ind w:left="4536"/>
        <w:jc w:val="both"/>
        <w:rPr>
          <w:color w:val="auto"/>
        </w:rPr>
      </w:pPr>
    </w:p>
    <w:p w14:paraId="05C595AB">
      <w:pPr>
        <w:pStyle w:val="58"/>
        <w:ind w:left="4536"/>
        <w:jc w:val="both"/>
        <w:rPr>
          <w:color w:val="auto"/>
        </w:rPr>
      </w:pPr>
    </w:p>
    <w:p w14:paraId="3BE0B39B">
      <w:pPr>
        <w:pStyle w:val="58"/>
        <w:ind w:left="4536"/>
        <w:jc w:val="both"/>
        <w:rPr>
          <w:color w:val="auto"/>
        </w:rPr>
      </w:pPr>
    </w:p>
    <w:p w14:paraId="46AAF320">
      <w:pPr>
        <w:pStyle w:val="58"/>
        <w:ind w:left="4536"/>
        <w:jc w:val="both"/>
        <w:rPr>
          <w:color w:val="auto"/>
        </w:rPr>
      </w:pPr>
    </w:p>
    <w:p w14:paraId="0AEAE255">
      <w:pPr>
        <w:pStyle w:val="58"/>
        <w:ind w:left="4536"/>
        <w:jc w:val="both"/>
        <w:rPr>
          <w:color w:val="auto"/>
        </w:rPr>
      </w:pPr>
    </w:p>
    <w:p w14:paraId="53C4B0A7">
      <w:pPr>
        <w:pStyle w:val="58"/>
        <w:ind w:left="4536"/>
        <w:jc w:val="both"/>
        <w:rPr>
          <w:color w:val="auto"/>
        </w:rPr>
      </w:pPr>
    </w:p>
    <w:p w14:paraId="622AA0C7">
      <w:pPr>
        <w:pStyle w:val="58"/>
        <w:ind w:left="4536"/>
        <w:jc w:val="both"/>
        <w:rPr>
          <w:color w:val="auto"/>
        </w:rPr>
      </w:pPr>
    </w:p>
    <w:p w14:paraId="3BE8780F">
      <w:pPr>
        <w:pStyle w:val="58"/>
        <w:ind w:left="4536"/>
        <w:jc w:val="both"/>
        <w:rPr>
          <w:color w:val="auto"/>
        </w:rPr>
      </w:pPr>
    </w:p>
    <w:p w14:paraId="5BE19E29">
      <w:pPr>
        <w:pStyle w:val="58"/>
        <w:ind w:left="4536"/>
        <w:jc w:val="both"/>
        <w:rPr>
          <w:color w:val="auto"/>
        </w:rPr>
      </w:pPr>
    </w:p>
    <w:p w14:paraId="5EB02260">
      <w:pPr>
        <w:pStyle w:val="58"/>
        <w:ind w:left="4536"/>
        <w:jc w:val="both"/>
        <w:rPr>
          <w:color w:val="auto"/>
        </w:rPr>
      </w:pPr>
    </w:p>
    <w:p w14:paraId="41001DA2">
      <w:pPr>
        <w:pStyle w:val="58"/>
        <w:ind w:left="4536"/>
        <w:jc w:val="both"/>
        <w:rPr>
          <w:color w:val="auto"/>
        </w:rPr>
      </w:pPr>
    </w:p>
    <w:p w14:paraId="39CD1507">
      <w:pPr>
        <w:pStyle w:val="58"/>
        <w:ind w:left="4536"/>
        <w:jc w:val="both"/>
        <w:rPr>
          <w:color w:val="auto"/>
        </w:rPr>
      </w:pPr>
    </w:p>
    <w:p w14:paraId="74A48E57">
      <w:pPr>
        <w:pStyle w:val="58"/>
        <w:ind w:left="4536"/>
        <w:jc w:val="both"/>
        <w:rPr>
          <w:color w:val="auto"/>
        </w:rPr>
      </w:pPr>
    </w:p>
    <w:p w14:paraId="53516D58">
      <w:pPr>
        <w:pStyle w:val="58"/>
        <w:ind w:left="4536"/>
        <w:jc w:val="both"/>
        <w:rPr>
          <w:color w:val="auto"/>
        </w:rPr>
      </w:pPr>
    </w:p>
    <w:p w14:paraId="2DFF7E1F">
      <w:pPr>
        <w:pStyle w:val="58"/>
        <w:ind w:left="4536"/>
        <w:jc w:val="both"/>
        <w:rPr>
          <w:color w:val="auto"/>
        </w:rPr>
      </w:pPr>
    </w:p>
    <w:p w14:paraId="3F18E847">
      <w:pPr>
        <w:pStyle w:val="58"/>
        <w:ind w:left="4536"/>
        <w:jc w:val="both"/>
        <w:rPr>
          <w:color w:val="auto"/>
        </w:rPr>
      </w:pPr>
    </w:p>
    <w:p w14:paraId="7106C5EE">
      <w:pPr>
        <w:pStyle w:val="58"/>
        <w:ind w:left="4536"/>
        <w:jc w:val="both"/>
        <w:rPr>
          <w:rFonts w:cs="Arial"/>
          <w:b/>
          <w:color w:val="auto"/>
          <w:szCs w:val="24"/>
        </w:rPr>
      </w:pPr>
      <w:r>
        <w:rPr>
          <w:color w:val="auto"/>
        </w:rPr>
        <w:t>À comunidade da Pontifícia Universidade Católica de São Paulo pelo apoio permanente.</w:t>
      </w:r>
    </w:p>
    <w:p w14:paraId="2BE4342C">
      <w:pPr>
        <w:pStyle w:val="58"/>
        <w:ind w:left="4536"/>
        <w:jc w:val="both"/>
        <w:rPr>
          <w:color w:val="auto"/>
        </w:rPr>
      </w:pPr>
    </w:p>
    <w:p w14:paraId="6CB2476F">
      <w:pPr>
        <w:pStyle w:val="58"/>
        <w:ind w:left="4536"/>
        <w:jc w:val="both"/>
        <w:rPr>
          <w:rFonts w:cs="Arial"/>
          <w:b/>
          <w:color w:val="auto"/>
          <w:szCs w:val="24"/>
        </w:rPr>
      </w:pPr>
      <w:r>
        <w:rPr>
          <w:color w:val="auto"/>
        </w:rPr>
        <w:br w:type="page"/>
      </w:r>
    </w:p>
    <w:p w14:paraId="26245E72">
      <w:pPr>
        <w:pStyle w:val="47"/>
        <w:rPr>
          <w:color w:val="auto"/>
        </w:rPr>
      </w:pPr>
      <w:r>
        <w:rPr>
          <w:color w:val="auto"/>
        </w:rPr>
        <w:t>AGRADECIMENTOS</w:t>
      </w:r>
    </w:p>
    <w:p w14:paraId="49D44BAF">
      <w:pPr>
        <w:rPr>
          <w:color w:val="auto"/>
        </w:rPr>
      </w:pPr>
    </w:p>
    <w:p w14:paraId="5932704A">
      <w:pPr>
        <w:rPr>
          <w:color w:val="auto"/>
        </w:rPr>
      </w:pPr>
      <w:r>
        <w:rPr>
          <w:color w:val="auto"/>
        </w:rPr>
        <w:t>Agradeço ao meu orientador............................................................................... .......................................................................................................................................................................................................................</w:t>
      </w:r>
    </w:p>
    <w:p w14:paraId="54EA34B5">
      <w:pPr>
        <w:rPr>
          <w:color w:val="auto"/>
        </w:rPr>
      </w:pPr>
      <w:r>
        <w:rPr>
          <w:color w:val="auto"/>
        </w:rPr>
        <w:t>A todos os meus professores............................................................................. ........................................................................................................................................................................................................................</w:t>
      </w:r>
    </w:p>
    <w:p w14:paraId="2FDD3447">
      <w:pPr>
        <w:rPr>
          <w:color w:val="auto"/>
        </w:rPr>
      </w:pPr>
      <w:r>
        <w:rPr>
          <w:color w:val="auto"/>
        </w:rPr>
        <w:t>Aos meus pais.................................................................................................... ........................................................................................................................................................................................................................</w:t>
      </w:r>
    </w:p>
    <w:p w14:paraId="29CA15A7">
      <w:pPr>
        <w:rPr>
          <w:color w:val="auto"/>
        </w:rPr>
      </w:pPr>
      <w:r>
        <w:rPr>
          <w:color w:val="auto"/>
        </w:rPr>
        <w:t>........................................................................................................................................................................................................................</w:t>
      </w:r>
    </w:p>
    <w:p w14:paraId="70685987">
      <w:pPr>
        <w:rPr>
          <w:rFonts w:cs="Arial"/>
          <w:b/>
          <w:color w:val="auto"/>
          <w:szCs w:val="24"/>
        </w:rPr>
      </w:pPr>
      <w:r>
        <w:rPr>
          <w:rFonts w:cs="Arial"/>
          <w:b/>
          <w:color w:val="auto"/>
          <w:szCs w:val="24"/>
        </w:rPr>
        <w:br w:type="page"/>
      </w:r>
    </w:p>
    <w:p w14:paraId="446023CF">
      <w:pPr>
        <w:pStyle w:val="59"/>
        <w:rPr>
          <w:color w:val="auto"/>
        </w:rPr>
      </w:pPr>
    </w:p>
    <w:p w14:paraId="41FADFDC">
      <w:pPr>
        <w:pStyle w:val="59"/>
        <w:rPr>
          <w:color w:val="auto"/>
        </w:rPr>
      </w:pPr>
    </w:p>
    <w:p w14:paraId="2BEFDFD8">
      <w:pPr>
        <w:pStyle w:val="59"/>
        <w:rPr>
          <w:color w:val="auto"/>
        </w:rPr>
      </w:pPr>
    </w:p>
    <w:p w14:paraId="2542C03D">
      <w:pPr>
        <w:pStyle w:val="59"/>
        <w:rPr>
          <w:color w:val="auto"/>
        </w:rPr>
      </w:pPr>
    </w:p>
    <w:p w14:paraId="7E851C11">
      <w:pPr>
        <w:pStyle w:val="59"/>
        <w:rPr>
          <w:color w:val="auto"/>
        </w:rPr>
      </w:pPr>
    </w:p>
    <w:p w14:paraId="3CA74AC8">
      <w:pPr>
        <w:pStyle w:val="59"/>
        <w:rPr>
          <w:color w:val="auto"/>
        </w:rPr>
      </w:pPr>
    </w:p>
    <w:p w14:paraId="2B766214">
      <w:pPr>
        <w:pStyle w:val="59"/>
        <w:rPr>
          <w:color w:val="auto"/>
        </w:rPr>
      </w:pPr>
    </w:p>
    <w:p w14:paraId="6BA98342">
      <w:pPr>
        <w:pStyle w:val="59"/>
        <w:rPr>
          <w:color w:val="auto"/>
        </w:rPr>
      </w:pPr>
    </w:p>
    <w:p w14:paraId="407C02F2">
      <w:pPr>
        <w:pStyle w:val="59"/>
        <w:rPr>
          <w:color w:val="auto"/>
        </w:rPr>
      </w:pPr>
    </w:p>
    <w:p w14:paraId="71358F28">
      <w:pPr>
        <w:pStyle w:val="59"/>
        <w:rPr>
          <w:color w:val="auto"/>
        </w:rPr>
      </w:pPr>
    </w:p>
    <w:p w14:paraId="5EF0E73C">
      <w:pPr>
        <w:pStyle w:val="59"/>
        <w:rPr>
          <w:color w:val="auto"/>
        </w:rPr>
      </w:pPr>
    </w:p>
    <w:p w14:paraId="720FF1F5">
      <w:pPr>
        <w:pStyle w:val="59"/>
        <w:rPr>
          <w:color w:val="auto"/>
        </w:rPr>
      </w:pPr>
    </w:p>
    <w:p w14:paraId="7DC2ADF6">
      <w:pPr>
        <w:pStyle w:val="59"/>
        <w:rPr>
          <w:color w:val="auto"/>
        </w:rPr>
      </w:pPr>
    </w:p>
    <w:p w14:paraId="6FBA58AD">
      <w:pPr>
        <w:pStyle w:val="59"/>
        <w:rPr>
          <w:color w:val="auto"/>
        </w:rPr>
      </w:pPr>
    </w:p>
    <w:p w14:paraId="2F6C464D">
      <w:pPr>
        <w:pStyle w:val="59"/>
        <w:rPr>
          <w:color w:val="auto"/>
        </w:rPr>
      </w:pPr>
    </w:p>
    <w:p w14:paraId="768D9430">
      <w:pPr>
        <w:pStyle w:val="59"/>
        <w:rPr>
          <w:color w:val="auto"/>
        </w:rPr>
      </w:pPr>
    </w:p>
    <w:p w14:paraId="79ACB50C">
      <w:pPr>
        <w:pStyle w:val="59"/>
        <w:rPr>
          <w:color w:val="auto"/>
        </w:rPr>
      </w:pPr>
    </w:p>
    <w:p w14:paraId="354DD2EC">
      <w:pPr>
        <w:pStyle w:val="59"/>
        <w:rPr>
          <w:color w:val="auto"/>
        </w:rPr>
      </w:pPr>
    </w:p>
    <w:p w14:paraId="1EBE440B">
      <w:pPr>
        <w:pStyle w:val="59"/>
        <w:rPr>
          <w:color w:val="auto"/>
        </w:rPr>
      </w:pPr>
    </w:p>
    <w:p w14:paraId="6B86C592">
      <w:pPr>
        <w:pStyle w:val="59"/>
        <w:rPr>
          <w:color w:val="auto"/>
        </w:rPr>
      </w:pPr>
    </w:p>
    <w:p w14:paraId="08CEA447">
      <w:pPr>
        <w:pStyle w:val="59"/>
        <w:rPr>
          <w:color w:val="auto"/>
        </w:rPr>
      </w:pPr>
    </w:p>
    <w:p w14:paraId="3F55A1A9">
      <w:pPr>
        <w:pStyle w:val="59"/>
        <w:rPr>
          <w:color w:val="auto"/>
        </w:rPr>
      </w:pPr>
    </w:p>
    <w:p w14:paraId="33645559">
      <w:pPr>
        <w:pStyle w:val="59"/>
        <w:rPr>
          <w:color w:val="auto"/>
        </w:rPr>
      </w:pPr>
    </w:p>
    <w:p w14:paraId="2F7508B1">
      <w:pPr>
        <w:pStyle w:val="59"/>
        <w:rPr>
          <w:color w:val="auto"/>
        </w:rPr>
      </w:pPr>
    </w:p>
    <w:p w14:paraId="6EE4C75B">
      <w:pPr>
        <w:pStyle w:val="59"/>
        <w:rPr>
          <w:color w:val="auto"/>
        </w:rPr>
      </w:pPr>
    </w:p>
    <w:p w14:paraId="57E364B5">
      <w:pPr>
        <w:pStyle w:val="59"/>
        <w:rPr>
          <w:color w:val="auto"/>
        </w:rPr>
      </w:pPr>
    </w:p>
    <w:p w14:paraId="69A88799">
      <w:pPr>
        <w:pStyle w:val="59"/>
        <w:rPr>
          <w:color w:val="auto"/>
        </w:rPr>
      </w:pPr>
    </w:p>
    <w:p w14:paraId="6596F1DF">
      <w:pPr>
        <w:pStyle w:val="59"/>
        <w:rPr>
          <w:color w:val="auto"/>
        </w:rPr>
      </w:pPr>
    </w:p>
    <w:p w14:paraId="5F0DEC98">
      <w:pPr>
        <w:pStyle w:val="59"/>
        <w:rPr>
          <w:color w:val="auto"/>
        </w:rPr>
      </w:pPr>
    </w:p>
    <w:p w14:paraId="5E46F58B">
      <w:pPr>
        <w:pStyle w:val="59"/>
        <w:spacing w:line="240" w:lineRule="auto"/>
        <w:rPr>
          <w:color w:val="auto"/>
        </w:rPr>
      </w:pPr>
      <w:r>
        <w:rPr>
          <w:color w:val="auto"/>
        </w:rPr>
        <w:t>Ninguém ignora tudo. Ninguém sabe tudo. Todos nós sabemos alguma coisa. Todos nós ignoramos alguma coisa. Por isso aprendemos sempre. (FREIRE, 1987, p. 45).</w:t>
      </w:r>
    </w:p>
    <w:p w14:paraId="59AD834B">
      <w:pPr>
        <w:pStyle w:val="59"/>
        <w:rPr>
          <w:color w:val="auto"/>
        </w:rPr>
      </w:pPr>
    </w:p>
    <w:p w14:paraId="1319DCBB">
      <w:pPr>
        <w:pStyle w:val="47"/>
        <w:rPr>
          <w:color w:val="auto"/>
        </w:rPr>
      </w:pPr>
      <w:r>
        <w:rPr>
          <w:color w:val="auto"/>
        </w:rPr>
        <w:t>Resumo</w:t>
      </w:r>
    </w:p>
    <w:p w14:paraId="2D094789">
      <w:pPr>
        <w:pStyle w:val="48"/>
        <w:rPr>
          <w:color w:val="auto"/>
        </w:rPr>
      </w:pPr>
    </w:p>
    <w:p w14:paraId="4268C4EA">
      <w:pPr>
        <w:pStyle w:val="48"/>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pPr>
        <w:pStyle w:val="48"/>
        <w:rPr>
          <w:color w:val="auto"/>
        </w:rPr>
      </w:pPr>
    </w:p>
    <w:p w14:paraId="1498854F">
      <w:pPr>
        <w:pStyle w:val="48"/>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2.392 observações e 30 features com 0% de missing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pPr>
        <w:pStyle w:val="48"/>
        <w:rPr>
          <w:color w:val="auto"/>
        </w:rPr>
      </w:pPr>
    </w:p>
    <w:p w14:paraId="3E618E78">
      <w:pPr>
        <w:pStyle w:val="48"/>
        <w:rPr>
          <w:color w:val="auto"/>
        </w:rPr>
      </w:pPr>
      <w:r>
        <w:t>Palavras-chave: evasão escolar; abandono escolar; aprendizado de máquina; XGBoost; SHAP; Ensino Médio; Pernambuco; Censo Escolar INEP; predição educacional.</w:t>
      </w:r>
    </w:p>
    <w:p w14:paraId="2001D7C1">
      <w:pPr>
        <w:pStyle w:val="48"/>
        <w:rPr>
          <w:color w:val="auto"/>
        </w:rPr>
      </w:pPr>
    </w:p>
    <w:p w14:paraId="0D148403">
      <w:pPr>
        <w:spacing w:after="160" w:line="259" w:lineRule="auto"/>
        <w:ind w:firstLine="0"/>
        <w:jc w:val="left"/>
        <w:rPr>
          <w:color w:val="auto"/>
        </w:rPr>
      </w:pPr>
      <w:r>
        <w:rPr>
          <w:color w:val="auto"/>
        </w:rPr>
        <w:br w:type="page"/>
      </w:r>
    </w:p>
    <w:p w14:paraId="4C53305B">
      <w:pPr>
        <w:pStyle w:val="47"/>
        <w:rPr>
          <w:color w:val="auto"/>
        </w:rPr>
      </w:pPr>
      <w:r>
        <w:rPr>
          <w:color w:val="auto"/>
        </w:rPr>
        <w:t>ABSTRACT</w:t>
      </w:r>
    </w:p>
    <w:p w14:paraId="7866E988">
      <w:pPr>
        <w:pStyle w:val="48"/>
        <w:rPr>
          <w:color w:val="auto"/>
        </w:rPr>
      </w:pPr>
    </w:p>
    <w:p w14:paraId="18B2523A">
      <w:pPr>
        <w:pStyle w:val="48"/>
        <w:rPr>
          <w:color w:val="auto"/>
        </w:rPr>
      </w:pPr>
      <w:r>
        <w:t>SANTIAGO, Artur Oliveira. Early identification of school dropout risk in state high schools in Pernambuco: a machine learning-based system. 2026. Final Course Paper — Software Engineering.</w:t>
      </w:r>
    </w:p>
    <w:p w14:paraId="04781C4F">
      <w:pPr>
        <w:pStyle w:val="48"/>
        <w:rPr>
          <w:color w:val="auto"/>
        </w:rPr>
      </w:pPr>
    </w:p>
    <w:p w14:paraId="420C9C8F">
      <w:pPr>
        <w:pStyle w:val="48"/>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2,392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pPr>
        <w:pStyle w:val="48"/>
        <w:rPr>
          <w:color w:val="auto"/>
        </w:rPr>
      </w:pPr>
    </w:p>
    <w:p w14:paraId="0169CB95">
      <w:pPr>
        <w:pStyle w:val="48"/>
        <w:rPr>
          <w:color w:val="auto"/>
          <w:lang w:val="en-US"/>
        </w:rPr>
      </w:pPr>
      <w:r>
        <w:t>Keywords: school dropout; machine learning; XGBoost; SHAP; high school; Pernambuco; national school census; educational data mining.</w:t>
      </w:r>
    </w:p>
    <w:p w14:paraId="5C995549">
      <w:pPr>
        <w:pStyle w:val="48"/>
        <w:rPr>
          <w:color w:val="auto"/>
          <w:lang w:val="en-US"/>
        </w:rPr>
      </w:pPr>
    </w:p>
    <w:p w14:paraId="512BFEFD">
      <w:pPr>
        <w:spacing w:after="160" w:line="259" w:lineRule="auto"/>
        <w:ind w:firstLine="0"/>
        <w:jc w:val="left"/>
        <w:rPr>
          <w:color w:val="auto"/>
          <w:lang w:val="en-US"/>
        </w:rPr>
      </w:pPr>
      <w:r>
        <w:rPr>
          <w:color w:val="auto"/>
          <w:lang w:val="en-US"/>
        </w:rPr>
        <w:br w:type="page"/>
      </w:r>
    </w:p>
    <w:p w14:paraId="3FC3D7E7">
      <w:pPr>
        <w:pStyle w:val="47"/>
        <w:rPr>
          <w:color w:val="auto"/>
          <w:lang w:val="en-US"/>
        </w:rPr>
      </w:pPr>
      <w:r>
        <w:rPr>
          <w:color w:val="auto"/>
          <w:lang w:val="en-US"/>
        </w:rPr>
        <w:t>LISTA DE ILUSTRAÇÕES</w:t>
      </w:r>
    </w:p>
    <w:p w14:paraId="573E8D96">
      <w:pPr>
        <w:rPr>
          <w:rFonts w:cs="Arial"/>
          <w:b/>
          <w:color w:val="auto"/>
          <w:szCs w:val="24"/>
          <w:lang w:val="en-US"/>
        </w:rPr>
      </w:pPr>
    </w:p>
    <w:p w14:paraId="15D6638D">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r>
        <w:fldChar w:fldCharType="begin"/>
      </w:r>
      <w:r>
        <w:instrText xml:space="preserve"> HYPERLINK \l "_Toc81404915" </w:instrText>
      </w:r>
      <w:r>
        <w:fldChar w:fldCharType="separate"/>
      </w:r>
      <w:r>
        <w:rPr>
          <w:rStyle w:val="17"/>
          <w:color w:val="auto"/>
        </w:rPr>
        <w:t>Figura 1 - Estrutura de trabalhos acadêmicos. (ABNT NBR 14724)</w:t>
      </w:r>
      <w:r>
        <w:tab/>
      </w:r>
      <w:r>
        <w:fldChar w:fldCharType="begin"/>
      </w:r>
      <w:r>
        <w:instrText xml:space="preserve"> PAGEREF _Toc81404915 \h </w:instrText>
      </w:r>
      <w:r>
        <w:fldChar w:fldCharType="separate"/>
      </w:r>
      <w:r>
        <w:rPr>
          <w:b/>
          <w:bCs/>
        </w:rPr>
        <w:t>Erro! Indicador não definido.</w:t>
      </w:r>
      <w:r>
        <w:fldChar w:fldCharType="end"/>
      </w:r>
      <w:r>
        <w:fldChar w:fldCharType="end"/>
      </w:r>
    </w:p>
    <w:p w14:paraId="594B089A">
      <w:pPr>
        <w:rPr>
          <w:rFonts w:cs="Arial"/>
          <w:b/>
          <w:color w:val="auto"/>
          <w:szCs w:val="24"/>
        </w:rPr>
      </w:pPr>
      <w:r>
        <w:rPr>
          <w:rFonts w:cs="Arial"/>
          <w:b/>
          <w:color w:val="auto"/>
          <w:szCs w:val="24"/>
        </w:rPr>
        <w:fldChar w:fldCharType="end"/>
      </w:r>
    </w:p>
    <w:p w14:paraId="625D53E8">
      <w:pPr>
        <w:pStyle w:val="47"/>
        <w:rPr>
          <w:color w:val="auto"/>
        </w:rPr>
      </w:pPr>
      <w:r>
        <w:rPr>
          <w:color w:val="auto"/>
        </w:rPr>
        <w:t>lista de gráficos</w:t>
      </w:r>
    </w:p>
    <w:p w14:paraId="1DF42A31">
      <w:pPr>
        <w:pStyle w:val="48"/>
        <w:rPr>
          <w:color w:val="auto"/>
        </w:rPr>
      </w:pPr>
    </w:p>
    <w:p w14:paraId="31F50F13">
      <w:pPr>
        <w:pStyle w:val="22"/>
        <w:tabs>
          <w:tab w:val="right" w:leader="dot" w:pos="9061"/>
        </w:tabs>
        <w:rPr>
          <w:rFonts w:asciiTheme="minorHAnsi" w:hAnsiTheme="minorHAnsi" w:eastAsiaTheme="minorEastAsia" w:cstheme="minorBidi"/>
          <w:sz w:val="22"/>
          <w:szCs w:val="22"/>
          <w:lang w:eastAsia="pt-BR"/>
        </w:rPr>
      </w:pPr>
      <w:r>
        <w:fldChar w:fldCharType="begin"/>
      </w:r>
      <w:r>
        <w:instrText xml:space="preserve"> TOC \h \z \c "Gráfico" </w:instrText>
      </w:r>
      <w:r>
        <w:fldChar w:fldCharType="separate"/>
      </w:r>
      <w:r>
        <w:fldChar w:fldCharType="begin"/>
      </w:r>
      <w:r>
        <w:instrText xml:space="preserve"> HYPERLINK \l "_Toc81400594" </w:instrText>
      </w:r>
      <w:r>
        <w:fldChar w:fldCharType="separate"/>
      </w:r>
      <w:r>
        <w:rPr>
          <w:rStyle w:val="17"/>
          <w:color w:val="auto"/>
        </w:rPr>
        <w:t>Gráfico 1 – Grupos etários</w:t>
      </w:r>
      <w:r>
        <w:tab/>
      </w:r>
      <w:r>
        <w:fldChar w:fldCharType="begin"/>
      </w:r>
      <w:r>
        <w:instrText xml:space="preserve"> PAGEREF _Toc81400594 \h </w:instrText>
      </w:r>
      <w:r>
        <w:fldChar w:fldCharType="separate"/>
      </w:r>
      <w:r>
        <w:rPr>
          <w:b/>
          <w:bCs/>
        </w:rPr>
        <w:t>Erro! Indicador não definido.</w:t>
      </w:r>
      <w:r>
        <w:fldChar w:fldCharType="end"/>
      </w:r>
      <w:r>
        <w:fldChar w:fldCharType="end"/>
      </w:r>
    </w:p>
    <w:p w14:paraId="0A565BD8">
      <w:pPr>
        <w:pStyle w:val="48"/>
        <w:rPr>
          <w:color w:val="auto"/>
        </w:rPr>
      </w:pPr>
      <w:r>
        <w:rPr>
          <w:color w:val="auto"/>
        </w:rPr>
        <w:fldChar w:fldCharType="end"/>
      </w:r>
    </w:p>
    <w:p w14:paraId="733CD96A">
      <w:pPr>
        <w:pStyle w:val="47"/>
        <w:rPr>
          <w:color w:val="auto"/>
        </w:rPr>
      </w:pPr>
      <w:r>
        <w:rPr>
          <w:color w:val="auto"/>
        </w:rPr>
        <w:t>LISTA DE QUADROS</w:t>
      </w:r>
    </w:p>
    <w:p w14:paraId="006DBD8F">
      <w:pPr>
        <w:rPr>
          <w:rFonts w:cs="Arial"/>
          <w:b/>
          <w:color w:val="auto"/>
          <w:szCs w:val="24"/>
        </w:rPr>
      </w:pPr>
    </w:p>
    <w:p w14:paraId="3747AAE4">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"Quadro" </w:instrText>
      </w:r>
      <w:r>
        <w:rPr>
          <w:rFonts w:cs="Arial"/>
          <w:b/>
          <w:szCs w:val="24"/>
        </w:rPr>
        <w:fldChar w:fldCharType="separate"/>
      </w:r>
      <w:r>
        <w:fldChar w:fldCharType="begin"/>
      </w:r>
      <w:r>
        <w:instrText xml:space="preserve"> HYPERLINK \l "_Toc80625082" </w:instrText>
      </w:r>
      <w:r>
        <w:fldChar w:fldCharType="separate"/>
      </w:r>
      <w:r>
        <w:rPr>
          <w:rStyle w:val="17"/>
          <w:color w:val="auto"/>
        </w:rPr>
        <w:t>Quadro 1 – Formato de apresentação</w:t>
      </w:r>
      <w:r>
        <w:tab/>
      </w:r>
      <w:r>
        <w:fldChar w:fldCharType="begin"/>
      </w:r>
      <w:r>
        <w:instrText xml:space="preserve"> PAGEREF _Toc80625082 \h </w:instrText>
      </w:r>
      <w:r>
        <w:fldChar w:fldCharType="separate"/>
      </w:r>
      <w:r>
        <w:rPr>
          <w:b/>
          <w:bCs/>
        </w:rPr>
        <w:t>Erro! Indicador não definido.</w:t>
      </w:r>
      <w:r>
        <w:fldChar w:fldCharType="end"/>
      </w:r>
      <w:r>
        <w:fldChar w:fldCharType="end"/>
      </w:r>
    </w:p>
    <w:p w14:paraId="206FA372">
      <w:pPr>
        <w:rPr>
          <w:rFonts w:cs="Arial"/>
          <w:b/>
          <w:color w:val="auto"/>
          <w:szCs w:val="24"/>
        </w:rPr>
      </w:pPr>
      <w:r>
        <w:rPr>
          <w:rFonts w:cs="Arial"/>
          <w:b/>
          <w:color w:val="auto"/>
          <w:szCs w:val="24"/>
        </w:rPr>
        <w:fldChar w:fldCharType="end"/>
      </w:r>
    </w:p>
    <w:p w14:paraId="02D36708">
      <w:pPr>
        <w:pStyle w:val="47"/>
        <w:rPr>
          <w:color w:val="auto"/>
        </w:rPr>
      </w:pPr>
      <w:r>
        <w:rPr>
          <w:color w:val="auto"/>
        </w:rPr>
        <w:t>LISTA DE TABELAS</w:t>
      </w:r>
    </w:p>
    <w:p w14:paraId="03244326">
      <w:pPr>
        <w:rPr>
          <w:rFonts w:cs="Arial"/>
          <w:color w:val="auto"/>
          <w:szCs w:val="24"/>
        </w:rPr>
      </w:pPr>
    </w:p>
    <w:p w14:paraId="444C5F5B">
      <w:pPr>
        <w:pStyle w:val="22"/>
        <w:tabs>
          <w:tab w:val="right" w:leader="dot" w:pos="9061"/>
        </w:tabs>
        <w:rPr>
          <w:rFonts w:asciiTheme="minorHAnsi" w:hAnsiTheme="minorHAnsi" w:eastAsiaTheme="minorEastAsia" w:cstheme="minorBidi"/>
          <w:sz w:val="22"/>
          <w:szCs w:val="22"/>
          <w:lang w:eastAsia="pt-BR"/>
        </w:rPr>
      </w:pPr>
      <w:r>
        <w:rPr>
          <w:rFonts w:cs="Arial"/>
          <w:szCs w:val="24"/>
        </w:rPr>
        <w:fldChar w:fldCharType="begin"/>
      </w:r>
      <w:r>
        <w:rPr>
          <w:rFonts w:cs="Arial"/>
          <w:szCs w:val="24"/>
        </w:rPr>
        <w:instrText xml:space="preserve"> TOC \h \z \c "Tabela" </w:instrText>
      </w:r>
      <w:r>
        <w:rPr>
          <w:rFonts w:cs="Arial"/>
          <w:szCs w:val="24"/>
        </w:rPr>
        <w:fldChar w:fldCharType="separate"/>
      </w:r>
      <w:r>
        <w:fldChar w:fldCharType="begin"/>
      </w:r>
      <w:r>
        <w:instrText xml:space="preserve"> HYPERLINK \l "_Toc80625091" </w:instrText>
      </w:r>
      <w:r>
        <w:fldChar w:fldCharType="separate"/>
      </w:r>
      <w:r>
        <w:rPr>
          <w:rStyle w:val="17"/>
          <w:color w:val="auto"/>
        </w:rPr>
        <w:t>Tabela 1 - Modelo de tabela</w:t>
      </w:r>
      <w:r>
        <w:tab/>
      </w:r>
      <w:r>
        <w:fldChar w:fldCharType="begin"/>
      </w:r>
      <w:r>
        <w:instrText xml:space="preserve"> PAGEREF _Toc80625091 \h </w:instrText>
      </w:r>
      <w:r>
        <w:fldChar w:fldCharType="separate"/>
      </w:r>
      <w:r>
        <w:rPr>
          <w:b/>
          <w:bCs/>
        </w:rPr>
        <w:t>Erro! Indicador não definido.</w:t>
      </w:r>
      <w:r>
        <w:fldChar w:fldCharType="end"/>
      </w:r>
      <w:r>
        <w:fldChar w:fldCharType="end"/>
      </w:r>
    </w:p>
    <w:p w14:paraId="6017D1E4">
      <w:pPr>
        <w:rPr>
          <w:rFonts w:cs="Arial"/>
          <w:color w:val="auto"/>
          <w:szCs w:val="24"/>
        </w:rPr>
      </w:pPr>
      <w:r>
        <w:rPr>
          <w:rFonts w:cs="Arial"/>
          <w:color w:val="auto"/>
          <w:szCs w:val="24"/>
        </w:rPr>
        <w:fldChar w:fldCharType="end"/>
      </w:r>
    </w:p>
    <w:p w14:paraId="6EB5E910">
      <w:pPr>
        <w:pStyle w:val="47"/>
        <w:rPr>
          <w:color w:val="auto"/>
        </w:rPr>
      </w:pPr>
      <w:r>
        <w:rPr>
          <w:color w:val="auto"/>
        </w:rPr>
        <w:t>LISTA DE ABREVIATURAS E SIGLAS</w:t>
      </w:r>
    </w:p>
    <w:p w14:paraId="53BB08C4">
      <w:pPr>
        <w:jc w:val="left"/>
        <w:rPr>
          <w:color w:val="auto"/>
        </w:rPr>
      </w:pPr>
    </w:p>
    <w:tbl>
      <w:tblPr>
        <w:tblStyle w:val="33"/>
        <w:tblW w:w="88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7603"/>
      </w:tblGrid>
      <w:tr w14:paraId="6910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494C2E14">
            <w:pPr>
              <w:ind w:firstLine="0"/>
              <w:jc w:val="left"/>
              <w:rPr>
                <w:color w:val="auto"/>
              </w:rPr>
            </w:pPr>
            <w:r>
              <w:rPr>
                <w:rFonts w:cs="Arial"/>
                <w:color w:val="auto"/>
                <w:szCs w:val="24"/>
              </w:rPr>
              <w:t>ABNT</w:t>
            </w:r>
          </w:p>
        </w:tc>
        <w:tc>
          <w:tcPr>
            <w:tcW w:w="7603" w:type="dxa"/>
          </w:tcPr>
          <w:p w14:paraId="0A909E2B">
            <w:pPr>
              <w:ind w:firstLine="0"/>
              <w:jc w:val="left"/>
              <w:rPr>
                <w:color w:val="auto"/>
              </w:rPr>
            </w:pPr>
            <w:r>
              <w:rPr>
                <w:rFonts w:cs="Arial"/>
                <w:color w:val="auto"/>
                <w:szCs w:val="24"/>
              </w:rPr>
              <w:t>Associação Brasileira de Normas Técnicas</w:t>
            </w:r>
          </w:p>
        </w:tc>
      </w:tr>
      <w:tr w14:paraId="1716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C69FC19">
            <w:pPr>
              <w:ind w:firstLine="0"/>
              <w:jc w:val="left"/>
              <w:rPr>
                <w:color w:val="auto"/>
              </w:rPr>
            </w:pPr>
            <w:r>
              <w:rPr>
                <w:rFonts w:cs="Arial"/>
                <w:color w:val="auto"/>
                <w:szCs w:val="24"/>
              </w:rPr>
              <w:t>BU</w:t>
            </w:r>
          </w:p>
        </w:tc>
        <w:tc>
          <w:tcPr>
            <w:tcW w:w="7603" w:type="dxa"/>
          </w:tcPr>
          <w:p w14:paraId="48F917E2">
            <w:pPr>
              <w:ind w:firstLine="0"/>
              <w:jc w:val="left"/>
              <w:rPr>
                <w:color w:val="auto"/>
              </w:rPr>
            </w:pPr>
            <w:r>
              <w:rPr>
                <w:rFonts w:cs="Arial"/>
                <w:color w:val="auto"/>
                <w:szCs w:val="24"/>
              </w:rPr>
              <w:t>Biblioteca Universitária</w:t>
            </w:r>
          </w:p>
        </w:tc>
      </w:tr>
      <w:tr w14:paraId="761D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206F9C5">
            <w:pPr>
              <w:ind w:firstLine="0"/>
              <w:jc w:val="left"/>
              <w:rPr>
                <w:color w:val="auto"/>
              </w:rPr>
            </w:pPr>
            <w:r>
              <w:rPr>
                <w:rFonts w:cs="Arial"/>
                <w:color w:val="auto"/>
                <w:szCs w:val="24"/>
              </w:rPr>
              <w:t>NBR</w:t>
            </w:r>
          </w:p>
        </w:tc>
        <w:tc>
          <w:tcPr>
            <w:tcW w:w="7603" w:type="dxa"/>
          </w:tcPr>
          <w:p w14:paraId="50A8C86B">
            <w:pPr>
              <w:ind w:firstLine="0"/>
              <w:jc w:val="left"/>
              <w:rPr>
                <w:color w:val="auto"/>
              </w:rPr>
            </w:pPr>
            <w:r>
              <w:rPr>
                <w:rFonts w:cs="Arial"/>
                <w:color w:val="auto"/>
                <w:szCs w:val="24"/>
              </w:rPr>
              <w:t>Normas Técnicas Brasileiras</w:t>
            </w:r>
          </w:p>
        </w:tc>
      </w:tr>
      <w:tr w14:paraId="441B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4C9EC06">
            <w:pPr>
              <w:ind w:firstLine="0"/>
              <w:jc w:val="left"/>
              <w:rPr>
                <w:color w:val="auto"/>
              </w:rPr>
            </w:pPr>
            <w:r>
              <w:rPr>
                <w:rFonts w:cs="Arial"/>
                <w:color w:val="auto"/>
                <w:szCs w:val="24"/>
              </w:rPr>
              <w:t>TCC</w:t>
            </w:r>
          </w:p>
        </w:tc>
        <w:tc>
          <w:tcPr>
            <w:tcW w:w="7603" w:type="dxa"/>
          </w:tcPr>
          <w:p w14:paraId="31708144">
            <w:pPr>
              <w:ind w:firstLine="0"/>
              <w:jc w:val="left"/>
              <w:rPr>
                <w:color w:val="auto"/>
              </w:rPr>
            </w:pPr>
            <w:r>
              <w:rPr>
                <w:rFonts w:cs="Arial"/>
                <w:color w:val="auto"/>
                <w:szCs w:val="24"/>
              </w:rPr>
              <w:t>Trabalho de Conclusão de Curso</w:t>
            </w:r>
          </w:p>
        </w:tc>
      </w:tr>
      <w:tr w14:paraId="0A2A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7AB19225">
            <w:pPr>
              <w:ind w:firstLine="0"/>
              <w:jc w:val="left"/>
              <w:rPr>
                <w:color w:val="auto"/>
              </w:rPr>
            </w:pPr>
          </w:p>
        </w:tc>
        <w:tc>
          <w:tcPr>
            <w:tcW w:w="7603" w:type="dxa"/>
          </w:tcPr>
          <w:p w14:paraId="09407DE5">
            <w:pPr>
              <w:ind w:firstLine="0"/>
              <w:jc w:val="left"/>
              <w:rPr>
                <w:color w:val="auto"/>
              </w:rPr>
            </w:pPr>
          </w:p>
        </w:tc>
      </w:tr>
    </w:tbl>
    <w:p w14:paraId="19F47CD4">
      <w:pPr>
        <w:spacing w:line="259" w:lineRule="auto"/>
        <w:jc w:val="left"/>
        <w:rPr>
          <w:color w:val="auto"/>
        </w:rPr>
      </w:pPr>
    </w:p>
    <w:p w14:paraId="53659354">
      <w:pPr>
        <w:spacing w:line="259" w:lineRule="auto"/>
        <w:jc w:val="left"/>
        <w:rPr>
          <w:color w:val="auto"/>
        </w:rPr>
      </w:pPr>
    </w:p>
    <w:p w14:paraId="568E6F70">
      <w:pPr>
        <w:pStyle w:val="47"/>
        <w:rPr>
          <w:color w:val="auto"/>
        </w:rPr>
      </w:pPr>
      <w:r>
        <w:rPr>
          <w:color w:val="auto"/>
        </w:rPr>
        <w:t>lista de símbolos</w:t>
      </w:r>
    </w:p>
    <w:p w14:paraId="4E08DC0E">
      <w:pPr>
        <w:pStyle w:val="48"/>
        <w:rPr>
          <w:color w:val="auto"/>
        </w:rPr>
      </w:pPr>
    </w:p>
    <w:tbl>
      <w:tblPr>
        <w:tblStyle w:val="33"/>
        <w:tblW w:w="86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65"/>
      </w:tblGrid>
      <w:tr w14:paraId="46C0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71" w:type="dxa"/>
          </w:tcPr>
          <w:p w14:paraId="379563E5">
            <w:pPr>
              <w:pStyle w:val="48"/>
              <w:rPr>
                <w:color w:val="auto"/>
              </w:rPr>
            </w:pPr>
            <w:r>
              <w:rPr>
                <w:color w:val="auto"/>
              </w:rPr>
              <w:t>@</w:t>
            </w:r>
          </w:p>
        </w:tc>
        <w:tc>
          <w:tcPr>
            <w:tcW w:w="7365" w:type="dxa"/>
          </w:tcPr>
          <w:p w14:paraId="792620AE">
            <w:pPr>
              <w:pStyle w:val="48"/>
              <w:rPr>
                <w:color w:val="auto"/>
              </w:rPr>
            </w:pPr>
            <w:r>
              <w:rPr>
                <w:color w:val="auto"/>
              </w:rPr>
              <w:t>Arroba</w:t>
            </w:r>
          </w:p>
        </w:tc>
      </w:tr>
      <w:tr w14:paraId="6DD8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6E9BB1F">
            <w:pPr>
              <w:pStyle w:val="48"/>
              <w:rPr>
                <w:color w:val="auto"/>
              </w:rPr>
            </w:pPr>
            <w:r>
              <w:rPr>
                <w:color w:val="auto"/>
              </w:rPr>
              <w:t>%</w:t>
            </w:r>
          </w:p>
        </w:tc>
        <w:tc>
          <w:tcPr>
            <w:tcW w:w="7365" w:type="dxa"/>
          </w:tcPr>
          <w:p w14:paraId="2FBC821C">
            <w:pPr>
              <w:pStyle w:val="48"/>
              <w:rPr>
                <w:color w:val="auto"/>
              </w:rPr>
            </w:pPr>
            <w:r>
              <w:rPr>
                <w:color w:val="auto"/>
              </w:rPr>
              <w:t>Porcento</w:t>
            </w:r>
          </w:p>
        </w:tc>
      </w:tr>
      <w:tr w14:paraId="1377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8E6A219">
            <w:pPr>
              <w:pStyle w:val="48"/>
              <w:rPr>
                <w:color w:val="auto"/>
              </w:rPr>
            </w:pPr>
            <w:r>
              <w:rPr>
                <w:rFonts w:cs="Arial"/>
                <w:color w:val="auto"/>
              </w:rPr>
              <w:t>©</w:t>
            </w:r>
          </w:p>
        </w:tc>
        <w:tc>
          <w:tcPr>
            <w:tcW w:w="7365" w:type="dxa"/>
          </w:tcPr>
          <w:p w14:paraId="62E5583F">
            <w:pPr>
              <w:pStyle w:val="48"/>
              <w:rPr>
                <w:color w:val="auto"/>
              </w:rPr>
            </w:pPr>
            <w:r>
              <w:rPr>
                <w:color w:val="auto"/>
              </w:rPr>
              <w:t>Copyright</w:t>
            </w:r>
          </w:p>
        </w:tc>
      </w:tr>
      <w:tr w14:paraId="54EF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D5FB377">
            <w:pPr>
              <w:pStyle w:val="48"/>
              <w:rPr>
                <w:color w:val="auto"/>
              </w:rPr>
            </w:pPr>
            <w:r>
              <w:rPr>
                <w:rFonts w:cs="Arial"/>
                <w:color w:val="auto"/>
              </w:rPr>
              <w:t>β</w:t>
            </w:r>
          </w:p>
        </w:tc>
        <w:tc>
          <w:tcPr>
            <w:tcW w:w="7365" w:type="dxa"/>
          </w:tcPr>
          <w:p w14:paraId="4B74A523">
            <w:pPr>
              <w:pStyle w:val="48"/>
              <w:rPr>
                <w:color w:val="auto"/>
              </w:rPr>
            </w:pPr>
            <w:r>
              <w:rPr>
                <w:color w:val="auto"/>
              </w:rPr>
              <w:t>Beta</w:t>
            </w:r>
          </w:p>
        </w:tc>
      </w:tr>
    </w:tbl>
    <w:p w14:paraId="1969CD1A">
      <w:pPr>
        <w:pStyle w:val="48"/>
        <w:rPr>
          <w:color w:val="auto"/>
        </w:rPr>
      </w:pPr>
    </w:p>
    <w:p w14:paraId="7A674EDA">
      <w:pPr>
        <w:pStyle w:val="48"/>
        <w:rPr>
          <w:color w:val="auto"/>
        </w:rPr>
      </w:pPr>
    </w:p>
    <w:p w14:paraId="1D23C51D">
      <w:pPr>
        <w:pStyle w:val="47"/>
        <w:rPr>
          <w:color w:val="auto"/>
        </w:rPr>
      </w:pPr>
      <w:r>
        <w:rPr>
          <w:color w:val="auto"/>
        </w:rPr>
        <w:t>Sumário</w:t>
      </w:r>
    </w:p>
    <w:sdt>
      <w:sdtPr>
        <w:rPr>
          <w:rFonts w:ascii="Arial" w:hAnsi="Arial" w:eastAsiaTheme="minorHAnsi" w:cstheme="minorBidi"/>
          <w:color w:val="auto"/>
          <w:sz w:val="24"/>
          <w:szCs w:val="22"/>
          <w:lang w:eastAsia="en-US"/>
        </w:rPr>
        <w:id w:val="1070616722"/>
        <w:docPartObj>
          <w:docPartGallery w:val="Table of Contents"/>
          <w:docPartUnique/>
        </w:docPartObj>
      </w:sdtPr>
      <w:sdtEndPr>
        <w:rPr>
          <w:rFonts w:ascii="Arial" w:hAnsi="Arial" w:eastAsiaTheme="minorHAnsi" w:cstheme="minorBidi"/>
          <w:b/>
          <w:bCs/>
          <w:color w:val="auto"/>
          <w:sz w:val="24"/>
          <w:szCs w:val="22"/>
          <w:lang w:eastAsia="en-US"/>
        </w:rPr>
      </w:sdtEndPr>
      <w:sdtContent>
        <w:p w14:paraId="3B8D8A5C">
          <w:pPr>
            <w:pStyle w:val="68"/>
            <w:rPr>
              <w:color w:val="auto"/>
            </w:rPr>
          </w:pPr>
        </w:p>
        <w:p w14:paraId="406958EA">
          <w:pPr>
            <w:pStyle w:val="32"/>
            <w:rPr>
              <w:rFonts w:asciiTheme="minorHAnsi" w:hAnsiTheme="minorHAnsi" w:eastAsiaTheme="minorEastAsia"/>
              <w:b w:val="0"/>
              <w:caps w:val="0"/>
              <w:color w:val="auto"/>
              <w:sz w:val="22"/>
              <w:lang w:eastAsia="pt-BR"/>
            </w:rPr>
          </w:pPr>
          <w:r>
            <w:rPr>
              <w:color w:val="auto"/>
            </w:rPr>
            <w:fldChar w:fldCharType="begin"/>
          </w:r>
          <w:r>
            <w:rPr>
              <w:color w:val="auto"/>
            </w:rPr>
            <w:instrText xml:space="preserve"> TOC \o "1-8" \h \z \u </w:instrText>
          </w:r>
          <w:r>
            <w:rPr>
              <w:color w:val="auto"/>
            </w:rPr>
            <w:fldChar w:fldCharType="separate"/>
          </w:r>
          <w:r>
            <w:fldChar w:fldCharType="begin"/>
          </w:r>
          <w:r>
            <w:instrText xml:space="preserve"> HYPERLINK \l "_Toc112914764" </w:instrText>
          </w:r>
          <w:r>
            <w:fldChar w:fldCharType="separate"/>
          </w:r>
          <w:r>
            <w:rPr>
              <w:rStyle w:val="17"/>
            </w:rPr>
            <w:t>1</w:t>
          </w:r>
          <w:r>
            <w:rPr>
              <w:rFonts w:asciiTheme="minorHAnsi" w:hAnsiTheme="minorHAnsi" w:eastAsiaTheme="minorEastAsia"/>
              <w:b w:val="0"/>
              <w:caps w:val="0"/>
              <w:color w:val="auto"/>
              <w:sz w:val="22"/>
              <w:lang w:eastAsia="pt-BR"/>
            </w:rPr>
            <w:tab/>
          </w:r>
          <w:r>
            <w:rPr>
              <w:rStyle w:val="17"/>
            </w:rPr>
            <w:t>Introdução</w:t>
          </w:r>
          <w:r>
            <w:tab/>
          </w:r>
          <w:r>
            <w:fldChar w:fldCharType="begin"/>
          </w:r>
          <w:r>
            <w:instrText xml:space="preserve"> PAGEREF _Toc112914764 \h </w:instrText>
          </w:r>
          <w:r>
            <w:fldChar w:fldCharType="separate"/>
          </w:r>
          <w:r>
            <w:t>15</w:t>
          </w:r>
          <w:r>
            <w:fldChar w:fldCharType="end"/>
          </w:r>
          <w:r>
            <w:fldChar w:fldCharType="end"/>
          </w:r>
        </w:p>
        <w:p w14:paraId="2484E64C">
          <w:pPr>
            <w:pStyle w:val="18"/>
            <w:rPr>
              <w:rFonts w:asciiTheme="minorHAnsi" w:hAnsiTheme="minorHAnsi" w:eastAsiaTheme="minorEastAsia"/>
              <w:b w:val="0"/>
              <w:color w:val="auto"/>
              <w:sz w:val="22"/>
              <w:lang w:eastAsia="pt-BR"/>
            </w:rPr>
          </w:pPr>
          <w:r>
            <w:fldChar w:fldCharType="begin"/>
          </w:r>
          <w:r>
            <w:instrText xml:space="preserve"> HYPERLINK \l "_Toc112914765" </w:instrText>
          </w:r>
          <w:r>
            <w:fldChar w:fldCharType="separate"/>
          </w:r>
          <w:r>
            <w:rPr>
              <w:rStyle w:val="17"/>
            </w:rPr>
            <w:t>1.1</w:t>
          </w:r>
          <w:r>
            <w:rPr>
              <w:rFonts w:asciiTheme="minorHAnsi" w:hAnsiTheme="minorHAnsi" w:eastAsiaTheme="minorEastAsia"/>
              <w:b w:val="0"/>
              <w:color w:val="auto"/>
              <w:sz w:val="22"/>
              <w:lang w:eastAsia="pt-BR"/>
            </w:rPr>
            <w:tab/>
          </w:r>
          <w:r>
            <w:rPr>
              <w:rStyle w:val="17"/>
            </w:rPr>
            <w:t>Objetivo Geral</w:t>
          </w:r>
          <w:r>
            <w:tab/>
          </w:r>
          <w:r>
            <w:fldChar w:fldCharType="begin"/>
          </w:r>
          <w:r>
            <w:instrText xml:space="preserve"> PAGEREF _Toc112914765 \h </w:instrText>
          </w:r>
          <w:r>
            <w:fldChar w:fldCharType="separate"/>
          </w:r>
          <w:r>
            <w:t>15</w:t>
          </w:r>
          <w:r>
            <w:fldChar w:fldCharType="end"/>
          </w:r>
          <w:r>
            <w:fldChar w:fldCharType="end"/>
          </w:r>
        </w:p>
        <w:p w14:paraId="1983AA8F">
          <w:pPr>
            <w:pStyle w:val="18"/>
            <w:rPr>
              <w:rFonts w:asciiTheme="minorHAnsi" w:hAnsiTheme="minorHAnsi" w:eastAsiaTheme="minorEastAsia"/>
              <w:b w:val="0"/>
              <w:color w:val="auto"/>
              <w:sz w:val="22"/>
              <w:lang w:eastAsia="pt-BR"/>
            </w:rPr>
          </w:pPr>
          <w:r>
            <w:fldChar w:fldCharType="begin"/>
          </w:r>
          <w:r>
            <w:instrText xml:space="preserve"> HYPERLINK \l "_Toc112914766" </w:instrText>
          </w:r>
          <w:r>
            <w:fldChar w:fldCharType="separate"/>
          </w:r>
          <w:r>
            <w:rPr>
              <w:rStyle w:val="17"/>
            </w:rPr>
            <w:t>1.2</w:t>
          </w:r>
          <w:r>
            <w:rPr>
              <w:rFonts w:asciiTheme="minorHAnsi" w:hAnsiTheme="minorHAnsi" w:eastAsiaTheme="minorEastAsia"/>
              <w:b w:val="0"/>
              <w:color w:val="auto"/>
              <w:sz w:val="22"/>
              <w:lang w:eastAsia="pt-BR"/>
            </w:rPr>
            <w:tab/>
          </w:r>
          <w:r>
            <w:rPr>
              <w:rStyle w:val="17"/>
            </w:rPr>
            <w:t>Objetivos Específicos</w:t>
          </w:r>
          <w:r>
            <w:tab/>
          </w:r>
          <w:r>
            <w:fldChar w:fldCharType="begin"/>
          </w:r>
          <w:r>
            <w:instrText xml:space="preserve"> PAGEREF _Toc112914766 \h </w:instrText>
          </w:r>
          <w:r>
            <w:fldChar w:fldCharType="separate"/>
          </w:r>
          <w:r>
            <w:t>15</w:t>
          </w:r>
          <w:r>
            <w:fldChar w:fldCharType="end"/>
          </w:r>
          <w:r>
            <w:fldChar w:fldCharType="end"/>
          </w:r>
        </w:p>
        <w:p w14:paraId="6B32E539">
          <w:pPr>
            <w:pStyle w:val="18"/>
            <w:rPr>
              <w:rFonts w:asciiTheme="minorHAnsi" w:hAnsiTheme="minorHAnsi" w:eastAsiaTheme="minorEastAsia"/>
              <w:b w:val="0"/>
              <w:color w:val="auto"/>
              <w:sz w:val="22"/>
              <w:lang w:eastAsia="pt-BR"/>
            </w:rPr>
          </w:pPr>
          <w:r>
            <w:fldChar w:fldCharType="begin"/>
          </w:r>
          <w:r>
            <w:instrText xml:space="preserve"> HYPERLINK \l "_Toc112914767" </w:instrText>
          </w:r>
          <w:r>
            <w:fldChar w:fldCharType="separate"/>
          </w:r>
          <w:r>
            <w:rPr>
              <w:rStyle w:val="17"/>
            </w:rPr>
            <w:t>1.3</w:t>
          </w:r>
          <w:r>
            <w:rPr>
              <w:rFonts w:asciiTheme="minorHAnsi" w:hAnsiTheme="minorHAnsi" w:eastAsiaTheme="minorEastAsia"/>
              <w:b w:val="0"/>
              <w:color w:val="auto"/>
              <w:sz w:val="22"/>
              <w:lang w:eastAsia="pt-BR"/>
            </w:rPr>
            <w:tab/>
          </w:r>
          <w:r>
            <w:rPr>
              <w:rStyle w:val="17"/>
            </w:rPr>
            <w:t>Escopo do Projeto</w:t>
          </w:r>
          <w:r>
            <w:tab/>
          </w:r>
          <w:r>
            <w:fldChar w:fldCharType="begin"/>
          </w:r>
          <w:r>
            <w:instrText xml:space="preserve"> PAGEREF _Toc112914767 \h </w:instrText>
          </w:r>
          <w:r>
            <w:fldChar w:fldCharType="separate"/>
          </w:r>
          <w:r>
            <w:t>15</w:t>
          </w:r>
          <w:r>
            <w:fldChar w:fldCharType="end"/>
          </w:r>
          <w:r>
            <w:fldChar w:fldCharType="end"/>
          </w:r>
        </w:p>
        <w:p w14:paraId="1A909B2B">
          <w:pPr>
            <w:pStyle w:val="18"/>
            <w:rPr>
              <w:rFonts w:asciiTheme="minorHAnsi" w:hAnsiTheme="minorHAnsi" w:eastAsiaTheme="minorEastAsia"/>
              <w:b w:val="0"/>
              <w:color w:val="auto"/>
              <w:sz w:val="22"/>
              <w:lang w:eastAsia="pt-BR"/>
            </w:rPr>
          </w:pPr>
          <w:r>
            <w:fldChar w:fldCharType="begin"/>
          </w:r>
          <w:r>
            <w:instrText xml:space="preserve"> HYPERLINK \l "_Toc112914768" </w:instrText>
          </w:r>
          <w:r>
            <w:fldChar w:fldCharType="separate"/>
          </w:r>
          <w:r>
            <w:rPr>
              <w:rStyle w:val="17"/>
            </w:rPr>
            <w:t>1.4</w:t>
          </w:r>
          <w:r>
            <w:rPr>
              <w:rFonts w:asciiTheme="minorHAnsi" w:hAnsiTheme="minorHAnsi" w:eastAsiaTheme="minorEastAsia"/>
              <w:b w:val="0"/>
              <w:color w:val="auto"/>
              <w:sz w:val="22"/>
              <w:lang w:eastAsia="pt-BR"/>
            </w:rPr>
            <w:tab/>
          </w:r>
          <w:r>
            <w:rPr>
              <w:rStyle w:val="17"/>
            </w:rPr>
            <w:t>Organização do Texto</w:t>
          </w:r>
          <w:r>
            <w:tab/>
          </w:r>
          <w:r>
            <w:fldChar w:fldCharType="begin"/>
          </w:r>
          <w:r>
            <w:instrText xml:space="preserve"> PAGEREF _Toc112914768 \h </w:instrText>
          </w:r>
          <w:r>
            <w:fldChar w:fldCharType="separate"/>
          </w:r>
          <w:r>
            <w:t>15</w:t>
          </w:r>
          <w:r>
            <w:fldChar w:fldCharType="end"/>
          </w:r>
          <w:r>
            <w:fldChar w:fldCharType="end"/>
          </w:r>
        </w:p>
        <w:p w14:paraId="389D83FB">
          <w:pPr>
            <w:pStyle w:val="32"/>
            <w:rPr>
              <w:rFonts w:asciiTheme="minorHAnsi" w:hAnsiTheme="minorHAnsi" w:eastAsiaTheme="minorEastAsia"/>
              <w:b w:val="0"/>
              <w:caps w:val="0"/>
              <w:color w:val="auto"/>
              <w:sz w:val="22"/>
              <w:lang w:eastAsia="pt-BR"/>
            </w:rPr>
          </w:pPr>
          <w:r>
            <w:fldChar w:fldCharType="begin"/>
          </w:r>
          <w:r>
            <w:instrText xml:space="preserve"> HYPERLINK \l "_Toc112914769" </w:instrText>
          </w:r>
          <w:r>
            <w:fldChar w:fldCharType="separate"/>
          </w:r>
          <w:r>
            <w:rPr>
              <w:rStyle w:val="17"/>
            </w:rPr>
            <w:t>2</w:t>
          </w:r>
          <w:r>
            <w:rPr>
              <w:rFonts w:asciiTheme="minorHAnsi" w:hAnsiTheme="minorHAnsi" w:eastAsiaTheme="minorEastAsia"/>
              <w:b w:val="0"/>
              <w:caps w:val="0"/>
              <w:color w:val="auto"/>
              <w:sz w:val="22"/>
              <w:lang w:eastAsia="pt-BR"/>
            </w:rPr>
            <w:tab/>
          </w:r>
          <w:r>
            <w:rPr>
              <w:rStyle w:val="17"/>
            </w:rPr>
            <w:t>Revisão bibliográfica</w:t>
          </w:r>
          <w:r>
            <w:tab/>
          </w:r>
          <w:r>
            <w:fldChar w:fldCharType="begin"/>
          </w:r>
          <w:r>
            <w:instrText xml:space="preserve"> PAGEREF _Toc112914769 \h </w:instrText>
          </w:r>
          <w:r>
            <w:fldChar w:fldCharType="separate"/>
          </w:r>
          <w:r>
            <w:t>16</w:t>
          </w:r>
          <w:r>
            <w:fldChar w:fldCharType="end"/>
          </w:r>
          <w:r>
            <w:fldChar w:fldCharType="end"/>
          </w:r>
        </w:p>
        <w:p w14:paraId="0DDD1957">
          <w:pPr>
            <w:pStyle w:val="18"/>
            <w:rPr>
              <w:rFonts w:asciiTheme="minorHAnsi" w:hAnsiTheme="minorHAnsi" w:eastAsiaTheme="minorEastAsia"/>
              <w:b w:val="0"/>
              <w:color w:val="auto"/>
              <w:sz w:val="22"/>
              <w:lang w:eastAsia="pt-BR"/>
            </w:rPr>
          </w:pPr>
          <w:r>
            <w:fldChar w:fldCharType="begin"/>
          </w:r>
          <w:r>
            <w:instrText xml:space="preserve"> HYPERLINK \l "_Toc112914770" </w:instrText>
          </w:r>
          <w:r>
            <w:fldChar w:fldCharType="separate"/>
          </w:r>
          <w:r>
            <w:rPr>
              <w:rStyle w:val="17"/>
            </w:rPr>
            <w:t>2.1</w:t>
          </w:r>
          <w:r>
            <w:rPr>
              <w:rFonts w:asciiTheme="minorHAnsi" w:hAnsiTheme="minorHAnsi" w:eastAsiaTheme="minorEastAsia"/>
              <w:b w:val="0"/>
              <w:color w:val="auto"/>
              <w:sz w:val="22"/>
              <w:lang w:eastAsia="pt-BR"/>
            </w:rPr>
            <w:tab/>
          </w:r>
          <w:r>
            <w:rPr>
              <w:rStyle w:val="17"/>
            </w:rPr>
            <w:t>Fundamentação Teórica</w:t>
          </w:r>
          <w:r>
            <w:tab/>
          </w:r>
          <w:r>
            <w:fldChar w:fldCharType="begin"/>
          </w:r>
          <w:r>
            <w:instrText xml:space="preserve"> PAGEREF _Toc112914770 \h </w:instrText>
          </w:r>
          <w:r>
            <w:fldChar w:fldCharType="separate"/>
          </w:r>
          <w:r>
            <w:t>16</w:t>
          </w:r>
          <w:r>
            <w:fldChar w:fldCharType="end"/>
          </w:r>
          <w:r>
            <w:fldChar w:fldCharType="end"/>
          </w:r>
        </w:p>
        <w:p w14:paraId="7621DA52">
          <w:pPr>
            <w:pStyle w:val="18"/>
            <w:rPr>
              <w:rFonts w:asciiTheme="minorHAnsi" w:hAnsiTheme="minorHAnsi" w:eastAsiaTheme="minorEastAsia"/>
              <w:b w:val="0"/>
              <w:color w:val="auto"/>
              <w:sz w:val="22"/>
              <w:lang w:eastAsia="pt-BR"/>
            </w:rPr>
          </w:pPr>
          <w:r>
            <w:fldChar w:fldCharType="begin"/>
          </w:r>
          <w:r>
            <w:instrText xml:space="preserve"> HYPERLINK \l "_Toc112914771" </w:instrText>
          </w:r>
          <w:r>
            <w:fldChar w:fldCharType="separate"/>
          </w:r>
          <w:r>
            <w:rPr>
              <w:rStyle w:val="17"/>
            </w:rPr>
            <w:t>2.2</w:t>
          </w:r>
          <w:r>
            <w:rPr>
              <w:rFonts w:asciiTheme="minorHAnsi" w:hAnsiTheme="minorHAnsi" w:eastAsiaTheme="minorEastAsia"/>
              <w:b w:val="0"/>
              <w:color w:val="auto"/>
              <w:sz w:val="22"/>
              <w:lang w:eastAsia="pt-BR"/>
            </w:rPr>
            <w:tab/>
          </w:r>
          <w:r>
            <w:rPr>
              <w:rStyle w:val="17"/>
            </w:rPr>
            <w:t>Trabalhos Relacionados</w:t>
          </w:r>
          <w:r>
            <w:tab/>
          </w:r>
          <w:r>
            <w:fldChar w:fldCharType="begin"/>
          </w:r>
          <w:r>
            <w:instrText xml:space="preserve"> PAGEREF _Toc112914771 \h </w:instrText>
          </w:r>
          <w:r>
            <w:fldChar w:fldCharType="separate"/>
          </w:r>
          <w:r>
            <w:t>16</w:t>
          </w:r>
          <w:r>
            <w:fldChar w:fldCharType="end"/>
          </w:r>
          <w:r>
            <w:fldChar w:fldCharType="end"/>
          </w:r>
        </w:p>
        <w:p w14:paraId="0BC17314">
          <w:pPr>
            <w:pStyle w:val="32"/>
            <w:rPr>
              <w:rFonts w:asciiTheme="minorHAnsi" w:hAnsiTheme="minorHAnsi" w:eastAsiaTheme="minorEastAsia"/>
              <w:b w:val="0"/>
              <w:caps w:val="0"/>
              <w:color w:val="auto"/>
              <w:sz w:val="22"/>
              <w:lang w:eastAsia="pt-BR"/>
            </w:rPr>
          </w:pPr>
          <w:r>
            <w:fldChar w:fldCharType="begin"/>
          </w:r>
          <w:r>
            <w:instrText xml:space="preserve"> HYPERLINK \l "_Toc112914772" </w:instrText>
          </w:r>
          <w:r>
            <w:fldChar w:fldCharType="separate"/>
          </w:r>
          <w:r>
            <w:rPr>
              <w:rStyle w:val="17"/>
            </w:rPr>
            <w:t>3</w:t>
          </w:r>
          <w:r>
            <w:rPr>
              <w:rFonts w:asciiTheme="minorHAnsi" w:hAnsiTheme="minorHAnsi" w:eastAsiaTheme="minorEastAsia"/>
              <w:b w:val="0"/>
              <w:caps w:val="0"/>
              <w:color w:val="auto"/>
              <w:sz w:val="22"/>
              <w:lang w:eastAsia="pt-BR"/>
            </w:rPr>
            <w:tab/>
          </w:r>
          <w:r>
            <w:rPr>
              <w:rStyle w:val="17"/>
            </w:rPr>
            <w:t>Método de desenvolvimento</w:t>
          </w:r>
          <w:r>
            <w:tab/>
          </w:r>
          <w:r>
            <w:fldChar w:fldCharType="begin"/>
          </w:r>
          <w:r>
            <w:instrText xml:space="preserve"> PAGEREF _Toc112914772 \h </w:instrText>
          </w:r>
          <w:r>
            <w:fldChar w:fldCharType="separate"/>
          </w:r>
          <w:r>
            <w:t>17</w:t>
          </w:r>
          <w:r>
            <w:fldChar w:fldCharType="end"/>
          </w:r>
          <w:r>
            <w:fldChar w:fldCharType="end"/>
          </w:r>
        </w:p>
        <w:p w14:paraId="17688056">
          <w:pPr>
            <w:pStyle w:val="32"/>
            <w:rPr>
              <w:rFonts w:asciiTheme="minorHAnsi" w:hAnsiTheme="minorHAnsi" w:eastAsiaTheme="minorEastAsia"/>
              <w:b w:val="0"/>
              <w:caps w:val="0"/>
              <w:color w:val="auto"/>
              <w:sz w:val="22"/>
              <w:lang w:eastAsia="pt-BR"/>
            </w:rPr>
          </w:pPr>
          <w:r>
            <w:fldChar w:fldCharType="begin"/>
          </w:r>
          <w:r>
            <w:instrText xml:space="preserve"> HYPERLINK \l "_Toc112914773" </w:instrText>
          </w:r>
          <w:r>
            <w:fldChar w:fldCharType="separate"/>
          </w:r>
          <w:r>
            <w:rPr>
              <w:rStyle w:val="17"/>
            </w:rPr>
            <w:t>4</w:t>
          </w:r>
          <w:r>
            <w:rPr>
              <w:rFonts w:asciiTheme="minorHAnsi" w:hAnsiTheme="minorHAnsi" w:eastAsiaTheme="minorEastAsia"/>
              <w:b w:val="0"/>
              <w:caps w:val="0"/>
              <w:color w:val="auto"/>
              <w:sz w:val="22"/>
              <w:lang w:eastAsia="pt-BR"/>
            </w:rPr>
            <w:tab/>
          </w:r>
          <w:r>
            <w:rPr>
              <w:rStyle w:val="17"/>
            </w:rPr>
            <w:t>ARQUITETURA DO SOFTWARE</w:t>
          </w:r>
          <w:r>
            <w:tab/>
          </w:r>
          <w:r>
            <w:fldChar w:fldCharType="begin"/>
          </w:r>
          <w:r>
            <w:instrText xml:space="preserve"> PAGEREF _Toc112914773 \h </w:instrText>
          </w:r>
          <w:r>
            <w:fldChar w:fldCharType="separate"/>
          </w:r>
          <w:r>
            <w:t>18</w:t>
          </w:r>
          <w:r>
            <w:fldChar w:fldCharType="end"/>
          </w:r>
          <w:r>
            <w:fldChar w:fldCharType="end"/>
          </w:r>
        </w:p>
        <w:p w14:paraId="1F103451">
          <w:pPr>
            <w:pStyle w:val="18"/>
            <w:rPr>
              <w:rFonts w:asciiTheme="minorHAnsi" w:hAnsiTheme="minorHAnsi" w:eastAsiaTheme="minorEastAsia"/>
              <w:b w:val="0"/>
              <w:color w:val="auto"/>
              <w:sz w:val="22"/>
              <w:lang w:eastAsia="pt-BR"/>
            </w:rPr>
          </w:pPr>
          <w:r>
            <w:fldChar w:fldCharType="begin"/>
          </w:r>
          <w:r>
            <w:instrText xml:space="preserve"> HYPERLINK \l "_Toc112914774" </w:instrText>
          </w:r>
          <w:r>
            <w:fldChar w:fldCharType="separate"/>
          </w:r>
          <w:r>
            <w:rPr>
              <w:rStyle w:val="17"/>
            </w:rPr>
            <w:t>4.1</w:t>
          </w:r>
          <w:r>
            <w:rPr>
              <w:rFonts w:asciiTheme="minorHAnsi" w:hAnsiTheme="minorHAnsi" w:eastAsiaTheme="minorEastAsia"/>
              <w:b w:val="0"/>
              <w:color w:val="auto"/>
              <w:sz w:val="22"/>
              <w:lang w:eastAsia="pt-BR"/>
            </w:rPr>
            <w:tab/>
          </w:r>
          <w:r>
            <w:rPr>
              <w:rStyle w:val="17"/>
            </w:rPr>
            <w:t>Aspectos Funcionais e Não-Funcionais</w:t>
          </w:r>
          <w:r>
            <w:tab/>
          </w:r>
          <w:r>
            <w:fldChar w:fldCharType="begin"/>
          </w:r>
          <w:r>
            <w:instrText xml:space="preserve"> PAGEREF _Toc112914774 \h </w:instrText>
          </w:r>
          <w:r>
            <w:fldChar w:fldCharType="separate"/>
          </w:r>
          <w:r>
            <w:t>18</w:t>
          </w:r>
          <w:r>
            <w:fldChar w:fldCharType="end"/>
          </w:r>
          <w:r>
            <w:fldChar w:fldCharType="end"/>
          </w:r>
        </w:p>
        <w:p w14:paraId="4BB3CF6E">
          <w:pPr>
            <w:pStyle w:val="18"/>
            <w:rPr>
              <w:rFonts w:asciiTheme="minorHAnsi" w:hAnsiTheme="minorHAnsi" w:eastAsiaTheme="minorEastAsia"/>
              <w:b w:val="0"/>
              <w:color w:val="auto"/>
              <w:sz w:val="22"/>
              <w:lang w:eastAsia="pt-BR"/>
            </w:rPr>
          </w:pPr>
          <w:r>
            <w:fldChar w:fldCharType="begin"/>
          </w:r>
          <w:r>
            <w:instrText xml:space="preserve"> HYPERLINK \l "_Toc112914775" </w:instrText>
          </w:r>
          <w:r>
            <w:fldChar w:fldCharType="separate"/>
          </w:r>
          <w:r>
            <w:rPr>
              <w:rStyle w:val="17"/>
            </w:rPr>
            <w:t>4.2</w:t>
          </w:r>
          <w:r>
            <w:rPr>
              <w:rFonts w:asciiTheme="minorHAnsi" w:hAnsiTheme="minorHAnsi" w:eastAsiaTheme="minorEastAsia"/>
              <w:b w:val="0"/>
              <w:color w:val="auto"/>
              <w:sz w:val="22"/>
              <w:lang w:eastAsia="pt-BR"/>
            </w:rPr>
            <w:tab/>
          </w:r>
          <w:r>
            <w:rPr>
              <w:rStyle w:val="17"/>
            </w:rPr>
            <w:t>Visão Estrutural</w:t>
          </w:r>
          <w:r>
            <w:tab/>
          </w:r>
          <w:r>
            <w:fldChar w:fldCharType="begin"/>
          </w:r>
          <w:r>
            <w:instrText xml:space="preserve"> PAGEREF _Toc112914775 \h </w:instrText>
          </w:r>
          <w:r>
            <w:fldChar w:fldCharType="separate"/>
          </w:r>
          <w:r>
            <w:t>18</w:t>
          </w:r>
          <w:r>
            <w:fldChar w:fldCharType="end"/>
          </w:r>
          <w:r>
            <w:fldChar w:fldCharType="end"/>
          </w:r>
        </w:p>
        <w:p w14:paraId="4C299E27">
          <w:pPr>
            <w:pStyle w:val="18"/>
            <w:rPr>
              <w:rFonts w:asciiTheme="minorHAnsi" w:hAnsiTheme="minorHAnsi" w:eastAsiaTheme="minorEastAsia"/>
              <w:b w:val="0"/>
              <w:color w:val="auto"/>
              <w:sz w:val="22"/>
              <w:lang w:eastAsia="pt-BR"/>
            </w:rPr>
          </w:pPr>
          <w:r>
            <w:fldChar w:fldCharType="begin"/>
          </w:r>
          <w:r>
            <w:instrText xml:space="preserve"> HYPERLINK \l "_Toc112914776" </w:instrText>
          </w:r>
          <w:r>
            <w:fldChar w:fldCharType="separate"/>
          </w:r>
          <w:r>
            <w:rPr>
              <w:rStyle w:val="17"/>
            </w:rPr>
            <w:t>4.3</w:t>
          </w:r>
          <w:r>
            <w:rPr>
              <w:rFonts w:asciiTheme="minorHAnsi" w:hAnsiTheme="minorHAnsi" w:eastAsiaTheme="minorEastAsia"/>
              <w:b w:val="0"/>
              <w:color w:val="auto"/>
              <w:sz w:val="22"/>
              <w:lang w:eastAsia="pt-BR"/>
            </w:rPr>
            <w:tab/>
          </w:r>
          <w:r>
            <w:rPr>
              <w:rStyle w:val="17"/>
            </w:rPr>
            <w:t>Visão Comportamental</w:t>
          </w:r>
          <w:r>
            <w:tab/>
          </w:r>
          <w:r>
            <w:fldChar w:fldCharType="begin"/>
          </w:r>
          <w:r>
            <w:instrText xml:space="preserve"> PAGEREF _Toc112914776 \h </w:instrText>
          </w:r>
          <w:r>
            <w:fldChar w:fldCharType="separate"/>
          </w:r>
          <w:r>
            <w:t>18</w:t>
          </w:r>
          <w:r>
            <w:fldChar w:fldCharType="end"/>
          </w:r>
          <w:r>
            <w:fldChar w:fldCharType="end"/>
          </w:r>
        </w:p>
        <w:p w14:paraId="73A52D49">
          <w:pPr>
            <w:pStyle w:val="18"/>
            <w:rPr>
              <w:rFonts w:asciiTheme="minorHAnsi" w:hAnsiTheme="minorHAnsi" w:eastAsiaTheme="minorEastAsia"/>
              <w:b w:val="0"/>
              <w:color w:val="auto"/>
              <w:sz w:val="22"/>
              <w:lang w:eastAsia="pt-BR"/>
            </w:rPr>
          </w:pPr>
          <w:r>
            <w:fldChar w:fldCharType="begin"/>
          </w:r>
          <w:r>
            <w:instrText xml:space="preserve"> HYPERLINK \l "_Toc112914777" </w:instrText>
          </w:r>
          <w:r>
            <w:fldChar w:fldCharType="separate"/>
          </w:r>
          <w:r>
            <w:rPr>
              <w:rStyle w:val="17"/>
            </w:rPr>
            <w:t>4.4</w:t>
          </w:r>
          <w:r>
            <w:rPr>
              <w:rFonts w:asciiTheme="minorHAnsi" w:hAnsiTheme="minorHAnsi" w:eastAsiaTheme="minorEastAsia"/>
              <w:b w:val="0"/>
              <w:color w:val="auto"/>
              <w:sz w:val="22"/>
              <w:lang w:eastAsia="pt-BR"/>
            </w:rPr>
            <w:tab/>
          </w:r>
          <w:r>
            <w:rPr>
              <w:rStyle w:val="17"/>
            </w:rPr>
            <w:t>Visão de Implementação e Implantação</w:t>
          </w:r>
          <w:r>
            <w:tab/>
          </w:r>
          <w:r>
            <w:fldChar w:fldCharType="begin"/>
          </w:r>
          <w:r>
            <w:instrText xml:space="preserve"> PAGEREF _Toc112914777 \h </w:instrText>
          </w:r>
          <w:r>
            <w:fldChar w:fldCharType="separate"/>
          </w:r>
          <w:r>
            <w:t>18</w:t>
          </w:r>
          <w:r>
            <w:fldChar w:fldCharType="end"/>
          </w:r>
          <w:r>
            <w:fldChar w:fldCharType="end"/>
          </w:r>
        </w:p>
        <w:p w14:paraId="22C731AC">
          <w:pPr>
            <w:pStyle w:val="32"/>
            <w:rPr>
              <w:rFonts w:asciiTheme="minorHAnsi" w:hAnsiTheme="minorHAnsi" w:eastAsiaTheme="minorEastAsia"/>
              <w:b w:val="0"/>
              <w:caps w:val="0"/>
              <w:color w:val="auto"/>
              <w:sz w:val="22"/>
              <w:lang w:eastAsia="pt-BR"/>
            </w:rPr>
          </w:pPr>
          <w:r>
            <w:fldChar w:fldCharType="begin"/>
          </w:r>
          <w:r>
            <w:instrText xml:space="preserve"> HYPERLINK \l "_Toc112914778" </w:instrText>
          </w:r>
          <w:r>
            <w:fldChar w:fldCharType="separate"/>
          </w:r>
          <w:r>
            <w:rPr>
              <w:rStyle w:val="17"/>
            </w:rPr>
            <w:t>5</w:t>
          </w:r>
          <w:r>
            <w:rPr>
              <w:rFonts w:asciiTheme="minorHAnsi" w:hAnsiTheme="minorHAnsi" w:eastAsiaTheme="minorEastAsia"/>
              <w:b w:val="0"/>
              <w:caps w:val="0"/>
              <w:color w:val="auto"/>
              <w:sz w:val="22"/>
              <w:lang w:eastAsia="pt-BR"/>
            </w:rPr>
            <w:tab/>
          </w:r>
          <w:r>
            <w:rPr>
              <w:rStyle w:val="17"/>
            </w:rPr>
            <w:t>TECNOLOGIAS E ASPECTOS DE IMPLEMENTAÇÃO</w:t>
          </w:r>
          <w:r>
            <w:tab/>
          </w:r>
          <w:r>
            <w:fldChar w:fldCharType="begin"/>
          </w:r>
          <w:r>
            <w:instrText xml:space="preserve"> PAGEREF _Toc112914778 \h </w:instrText>
          </w:r>
          <w:r>
            <w:fldChar w:fldCharType="separate"/>
          </w:r>
          <w:r>
            <w:t>19</w:t>
          </w:r>
          <w:r>
            <w:fldChar w:fldCharType="end"/>
          </w:r>
          <w:r>
            <w:fldChar w:fldCharType="end"/>
          </w:r>
        </w:p>
        <w:p w14:paraId="4EC9598B">
          <w:pPr>
            <w:pStyle w:val="18"/>
            <w:rPr>
              <w:rFonts w:asciiTheme="minorHAnsi" w:hAnsiTheme="minorHAnsi" w:eastAsiaTheme="minorEastAsia"/>
              <w:b w:val="0"/>
              <w:color w:val="auto"/>
              <w:sz w:val="22"/>
              <w:lang w:eastAsia="pt-BR"/>
            </w:rPr>
          </w:pPr>
          <w:r>
            <w:fldChar w:fldCharType="begin"/>
          </w:r>
          <w:r>
            <w:instrText xml:space="preserve"> HYPERLINK \l "_Toc112914779" </w:instrText>
          </w:r>
          <w:r>
            <w:fldChar w:fldCharType="separate"/>
          </w:r>
          <w:r>
            <w:rPr>
              <w:rStyle w:val="17"/>
            </w:rPr>
            <w:t>5.1</w:t>
          </w:r>
          <w:r>
            <w:rPr>
              <w:rFonts w:asciiTheme="minorHAnsi" w:hAnsiTheme="minorHAnsi" w:eastAsiaTheme="minorEastAsia"/>
              <w:b w:val="0"/>
              <w:color w:val="auto"/>
              <w:sz w:val="22"/>
              <w:lang w:eastAsia="pt-BR"/>
            </w:rPr>
            <w:tab/>
          </w:r>
          <w:r>
            <w:rPr>
              <w:rStyle w:val="17"/>
            </w:rPr>
            <w:t>Soluções de Tecnologia</w:t>
          </w:r>
          <w:r>
            <w:tab/>
          </w:r>
          <w:r>
            <w:fldChar w:fldCharType="begin"/>
          </w:r>
          <w:r>
            <w:instrText xml:space="preserve"> PAGEREF _Toc112914779 \h </w:instrText>
          </w:r>
          <w:r>
            <w:fldChar w:fldCharType="separate"/>
          </w:r>
          <w:r>
            <w:t>19</w:t>
          </w:r>
          <w:r>
            <w:fldChar w:fldCharType="end"/>
          </w:r>
          <w:r>
            <w:fldChar w:fldCharType="end"/>
          </w:r>
        </w:p>
        <w:p w14:paraId="1D7CFCF8">
          <w:pPr>
            <w:pStyle w:val="18"/>
            <w:rPr>
              <w:rFonts w:asciiTheme="minorHAnsi" w:hAnsiTheme="minorHAnsi" w:eastAsiaTheme="minorEastAsia"/>
              <w:b w:val="0"/>
              <w:color w:val="auto"/>
              <w:sz w:val="22"/>
              <w:lang w:eastAsia="pt-BR"/>
            </w:rPr>
          </w:pPr>
          <w:r>
            <w:fldChar w:fldCharType="begin"/>
          </w:r>
          <w:r>
            <w:instrText xml:space="preserve"> HYPERLINK \l "_Toc112914780" </w:instrText>
          </w:r>
          <w:r>
            <w:fldChar w:fldCharType="separate"/>
          </w:r>
          <w:r>
            <w:rPr>
              <w:rStyle w:val="17"/>
            </w:rPr>
            <w:t>5.2</w:t>
          </w:r>
          <w:r>
            <w:rPr>
              <w:rFonts w:asciiTheme="minorHAnsi" w:hAnsiTheme="minorHAnsi" w:eastAsiaTheme="minorEastAsia"/>
              <w:b w:val="0"/>
              <w:color w:val="auto"/>
              <w:sz w:val="22"/>
              <w:lang w:eastAsia="pt-BR"/>
            </w:rPr>
            <w:tab/>
          </w:r>
          <w:r>
            <w:rPr>
              <w:rStyle w:val="17"/>
            </w:rPr>
            <w:t>Aspectos de Implementação</w:t>
          </w:r>
          <w:r>
            <w:tab/>
          </w:r>
          <w:r>
            <w:fldChar w:fldCharType="begin"/>
          </w:r>
          <w:r>
            <w:instrText xml:space="preserve"> PAGEREF _Toc112914780 \h </w:instrText>
          </w:r>
          <w:r>
            <w:fldChar w:fldCharType="separate"/>
          </w:r>
          <w:r>
            <w:t>19</w:t>
          </w:r>
          <w:r>
            <w:fldChar w:fldCharType="end"/>
          </w:r>
          <w:r>
            <w:fldChar w:fldCharType="end"/>
          </w:r>
        </w:p>
        <w:p w14:paraId="5F0176E8">
          <w:pPr>
            <w:pStyle w:val="32"/>
            <w:rPr>
              <w:rFonts w:asciiTheme="minorHAnsi" w:hAnsiTheme="minorHAnsi" w:eastAsiaTheme="minorEastAsia"/>
              <w:b w:val="0"/>
              <w:caps w:val="0"/>
              <w:color w:val="auto"/>
              <w:sz w:val="22"/>
              <w:lang w:eastAsia="pt-BR"/>
            </w:rPr>
          </w:pPr>
          <w:r>
            <w:fldChar w:fldCharType="begin"/>
          </w:r>
          <w:r>
            <w:instrText xml:space="preserve"> HYPERLINK \l "_Toc112914781" </w:instrText>
          </w:r>
          <w:r>
            <w:fldChar w:fldCharType="separate"/>
          </w:r>
          <w:r>
            <w:rPr>
              <w:rStyle w:val="17"/>
            </w:rPr>
            <w:t>6</w:t>
          </w:r>
          <w:r>
            <w:rPr>
              <w:rFonts w:asciiTheme="minorHAnsi" w:hAnsiTheme="minorHAnsi" w:eastAsiaTheme="minorEastAsia"/>
              <w:b w:val="0"/>
              <w:caps w:val="0"/>
              <w:color w:val="auto"/>
              <w:sz w:val="22"/>
              <w:lang w:eastAsia="pt-BR"/>
            </w:rPr>
            <w:tab/>
          </w:r>
          <w:r>
            <w:rPr>
              <w:rStyle w:val="17"/>
            </w:rPr>
            <w:t>TESTES E ANÁLISE DOS RESULTADOS</w:t>
          </w:r>
          <w:r>
            <w:tab/>
          </w:r>
          <w:r>
            <w:fldChar w:fldCharType="begin"/>
          </w:r>
          <w:r>
            <w:instrText xml:space="preserve"> PAGEREF _Toc112914781 \h </w:instrText>
          </w:r>
          <w:r>
            <w:fldChar w:fldCharType="separate"/>
          </w:r>
          <w:r>
            <w:t>20</w:t>
          </w:r>
          <w:r>
            <w:fldChar w:fldCharType="end"/>
          </w:r>
          <w:r>
            <w:fldChar w:fldCharType="end"/>
          </w:r>
        </w:p>
        <w:p w14:paraId="563B80B1">
          <w:pPr>
            <w:pStyle w:val="32"/>
            <w:rPr>
              <w:rFonts w:asciiTheme="minorHAnsi" w:hAnsiTheme="minorHAnsi" w:eastAsiaTheme="minorEastAsia"/>
              <w:b w:val="0"/>
              <w:caps w:val="0"/>
              <w:color w:val="auto"/>
              <w:sz w:val="22"/>
              <w:lang w:eastAsia="pt-BR"/>
            </w:rPr>
          </w:pPr>
          <w:r>
            <w:fldChar w:fldCharType="begin"/>
          </w:r>
          <w:r>
            <w:instrText xml:space="preserve"> HYPERLINK \l "_Toc112914782" </w:instrText>
          </w:r>
          <w:r>
            <w:fldChar w:fldCharType="separate"/>
          </w:r>
          <w:r>
            <w:rPr>
              <w:rStyle w:val="17"/>
            </w:rPr>
            <w:t>7</w:t>
          </w:r>
          <w:r>
            <w:rPr>
              <w:rFonts w:asciiTheme="minorHAnsi" w:hAnsiTheme="minorHAnsi" w:eastAsiaTheme="minorEastAsia"/>
              <w:b w:val="0"/>
              <w:caps w:val="0"/>
              <w:color w:val="auto"/>
              <w:sz w:val="22"/>
              <w:lang w:eastAsia="pt-BR"/>
            </w:rPr>
            <w:tab/>
          </w:r>
          <w:r>
            <w:rPr>
              <w:rStyle w:val="17"/>
            </w:rPr>
            <w:t>CONCLUSÕES E TRABALHOS FUTUROS</w:t>
          </w:r>
          <w:r>
            <w:tab/>
          </w:r>
          <w:r>
            <w:fldChar w:fldCharType="begin"/>
          </w:r>
          <w:r>
            <w:instrText xml:space="preserve"> PAGEREF _Toc112914782 \h </w:instrText>
          </w:r>
          <w:r>
            <w:fldChar w:fldCharType="separate"/>
          </w:r>
          <w:r>
            <w:t>21</w:t>
          </w:r>
          <w:r>
            <w:fldChar w:fldCharType="end"/>
          </w:r>
          <w:r>
            <w:fldChar w:fldCharType="end"/>
          </w:r>
        </w:p>
        <w:p w14:paraId="43C4DB0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"_Toc112914783" </w:instrText>
          </w:r>
          <w:r>
            <w:fldChar w:fldCharType="separate"/>
          </w:r>
          <w:r>
            <w:rPr>
              <w:rStyle w:val="17"/>
            </w:rPr>
            <w:t>Referências Bibliográficas</w:t>
          </w:r>
          <w:r>
            <w:tab/>
          </w:r>
          <w:r>
            <w:fldChar w:fldCharType="begin"/>
          </w:r>
          <w:r>
            <w:instrText xml:space="preserve"> PAGEREF _Toc112914783 \h </w:instrText>
          </w:r>
          <w:r>
            <w:fldChar w:fldCharType="separate"/>
          </w:r>
          <w:r>
            <w:t>22</w:t>
          </w:r>
          <w:r>
            <w:fldChar w:fldCharType="end"/>
          </w:r>
          <w:r>
            <w:fldChar w:fldCharType="end"/>
          </w:r>
        </w:p>
        <w:p w14:paraId="72141F8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"_Toc112914784" </w:instrText>
          </w:r>
          <w:r>
            <w:fldChar w:fldCharType="separate"/>
          </w:r>
          <w:r>
            <w:rPr>
              <w:rStyle w:val="17"/>
            </w:rPr>
            <w:t>Apêndice A – título</w:t>
          </w:r>
          <w:r>
            <w:tab/>
          </w:r>
          <w:r>
            <w:fldChar w:fldCharType="begin"/>
          </w:r>
          <w:r>
            <w:instrText xml:space="preserve"> PAGEREF _Toc112914784 \h </w:instrText>
          </w:r>
          <w:r>
            <w:fldChar w:fldCharType="separate"/>
          </w:r>
          <w:r>
            <w:t>23</w:t>
          </w:r>
          <w:r>
            <w:fldChar w:fldCharType="end"/>
          </w:r>
          <w:r>
            <w:fldChar w:fldCharType="end"/>
          </w:r>
        </w:p>
        <w:p w14:paraId="090AFC94">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"_Toc112914785" </w:instrText>
          </w:r>
          <w:r>
            <w:fldChar w:fldCharType="separate"/>
          </w:r>
          <w:r>
            <w:rPr>
              <w:rStyle w:val="17"/>
            </w:rPr>
            <w:t>Anexo a – título</w:t>
          </w:r>
          <w:r>
            <w:tab/>
          </w:r>
          <w:r>
            <w:fldChar w:fldCharType="begin"/>
          </w:r>
          <w:r>
            <w:instrText xml:space="preserve"> PAGEREF _Toc112914785 \h </w:instrText>
          </w:r>
          <w:r>
            <w:fldChar w:fldCharType="separate"/>
          </w:r>
          <w:r>
            <w:t>24</w:t>
          </w:r>
          <w:r>
            <w:fldChar w:fldCharType="end"/>
          </w:r>
          <w:r>
            <w:fldChar w:fldCharType="end"/>
          </w:r>
        </w:p>
        <w:p w14:paraId="4001C111">
          <w:pPr>
            <w:rPr>
              <w:color w:val="auto"/>
            </w:rPr>
          </w:pPr>
          <w:r>
            <w:rPr>
              <w:b/>
              <w:caps/>
              <w:color w:val="auto"/>
            </w:rPr>
            <w:fldChar w:fldCharType="end"/>
          </w:r>
        </w:p>
      </w:sdtContent>
    </w:sdt>
    <w:p w14:paraId="40D19C9E">
      <w:pPr>
        <w:pStyle w:val="48"/>
        <w:rPr>
          <w:color w:val="auto"/>
        </w:rPr>
      </w:pPr>
    </w:p>
    <w:p w14:paraId="32113B7E">
      <w:pPr>
        <w:rPr>
          <w:color w:val="auto"/>
        </w:rPr>
      </w:pPr>
    </w:p>
    <w:p w14:paraId="2C8EE151">
      <w:pPr>
        <w:rPr>
          <w:color w:val="auto"/>
        </w:rPr>
      </w:pPr>
    </w:p>
    <w:p w14:paraId="7FEAB589">
      <w:pPr>
        <w:rPr>
          <w:color w:val="auto"/>
        </w:rPr>
      </w:pPr>
    </w:p>
    <w:p w14:paraId="52E9F1D6">
      <w:pPr>
        <w:rPr>
          <w:color w:val="auto"/>
        </w:rPr>
      </w:pPr>
    </w:p>
    <w:p w14:paraId="172AC2D8">
      <w:pPr>
        <w:rPr>
          <w:color w:val="auto"/>
        </w:rPr>
        <w:sectPr>
          <w:pgSz w:w="11906" w:h="16838"/>
          <w:pgMar w:top="1417" w:right="1701" w:bottom="1417" w:left="1701" w:header="709" w:footer="709" w:gutter="0"/>
          <w:cols w:space="708" w:num="1"/>
          <w:docGrid w:linePitch="360" w:charSpace="0"/>
        </w:sectPr>
      </w:pPr>
    </w:p>
    <w:bookmarkEnd w:id="0"/>
    <w:p w14:paraId="2365AB6F">
      <w:pPr>
        <w:pStyle w:val="2"/>
        <w:rPr>
          <w:color w:val="auto"/>
        </w:rPr>
      </w:pPr>
      <w:bookmarkStart w:id="1" w:name="_Toc112914764"/>
      <w:r>
        <w:rPr>
          <w:color w:val="auto"/>
        </w:rPr>
        <w:t>Introdução</w:t>
      </w:r>
      <w:bookmarkEnd w:id="1"/>
    </w:p>
    <w:p w14:paraId="7DD01BB1">
      <w:pPr>
        <w:ind w:firstLine="0"/>
        <w:rPr>
          <w:color w:val="auto"/>
        </w:rPr>
      </w:pPr>
    </w:p>
    <w:p w14:paraId="340CE9C5">
      <w:pPr>
        <w:ind w:firstLine="0"/>
        <w:rPr>
          <w:color w:val="2E75B6"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2A99E94F">
      <w:pPr>
        <w:ind w:firstLine="0"/>
        <w:rPr>
          <w:color w:val="2E75B6"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7C8FD161">
      <w:pPr>
        <w:ind w:firstLine="0"/>
        <w:rPr>
          <w:color w:val="2E75B6"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pPr>
        <w:ind w:firstLine="0"/>
        <w:rPr>
          <w:color w:val="2E75B6" w:themeColor="accent5" w:themeShade="BF"/>
        </w:rPr>
      </w:pPr>
    </w:p>
    <w:p w14:paraId="09CB989D">
      <w:pPr>
        <w:pStyle w:val="3"/>
      </w:pPr>
      <w:bookmarkStart w:id="2" w:name="_Toc112914765"/>
      <w:r>
        <w:t>Objetivo Geral</w:t>
      </w:r>
      <w:bookmarkEnd w:id="2"/>
    </w:p>
    <w:p w14:paraId="3247A7FC">
      <w:pPr>
        <w:ind w:firstLine="0"/>
        <w:rPr>
          <w:color w:val="auto"/>
        </w:rPr>
      </w:pPr>
    </w:p>
    <w:p w14:paraId="73682C5A">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pPr>
        <w:ind w:firstLine="0"/>
        <w:rPr>
          <w:color w:val="auto"/>
        </w:rPr>
      </w:pPr>
    </w:p>
    <w:p w14:paraId="78D59595">
      <w:pPr>
        <w:pStyle w:val="3"/>
      </w:pPr>
      <w:bookmarkStart w:id="3" w:name="_Toc112914766"/>
      <w:r>
        <w:t>Objetivos Específicos</w:t>
      </w:r>
      <w:bookmarkEnd w:id="3"/>
    </w:p>
    <w:p w14:paraId="38186CEA">
      <w:pPr>
        <w:ind w:firstLine="0"/>
        <w:rPr>
          <w:color w:val="auto"/>
        </w:rPr>
      </w:pPr>
    </w:p>
    <w:p w14:paraId="01EA74CC">
      <w:pPr>
        <w:ind w:firstLine="0"/>
        <w:rPr>
          <w:color w:val="auto"/>
        </w:rPr>
      </w:pPr>
      <w:r>
        <w:t>Os objetivos específicos deste trabalho são:</w:t>
      </w:r>
    </w:p>
    <w:p w14:paraId="0399F77E">
      <w:pPr>
        <w:ind w:firstLine="0"/>
        <w:rPr>
          <w:color w:val="auto"/>
        </w:rPr>
      </w:pPr>
      <w:r>
        <w:t>a) Construir um painel longitudinal de escolas estaduais de Ensino Médio de Pernambuco (2022–2024) a partir dos microdados do Censo Escolar do INEP;</w:t>
      </w:r>
    </w:p>
    <w:p w14:paraId="00A82DC9">
      <w:pPr>
        <w:ind w:firstLine="0"/>
        <w:rPr>
          <w:color w:val="auto"/>
        </w:rPr>
      </w:pPr>
      <w:r>
        <w:t>b) Integrar indicadores complementares do INEP — INSE, IRD, TDI e AFD — ao painel do Censo, criando um dataset unificado por escola e ano;</w:t>
      </w:r>
    </w:p>
    <w:p w14:paraId="7EA3FBBD">
      <w:pPr>
        <w:ind w:firstLine="0"/>
        <w:rPr>
          <w:color w:val="auto"/>
        </w:rPr>
      </w:pPr>
      <w:r>
        <w:t>c) Realizar análises exploratórias e descritivas para caracterizar o perfil das escolas e identificar fatores estruturais associados ao abandono escolar;</w:t>
      </w:r>
    </w:p>
    <w:p w14:paraId="2ECE1D99">
      <w:pPr>
        <w:ind w:firstLine="0"/>
        <w:rPr>
          <w:color w:val="auto"/>
        </w:rPr>
      </w:pPr>
      <w:r>
        <w:t>d) Construir um dataset de features com lógica temporal (features do ano t → target do ano t+1) e realizar feature engineering para o modelo preditivo;</w:t>
      </w:r>
    </w:p>
    <w:p w14:paraId="0FAD076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37873DB8">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pPr>
        <w:ind w:firstLine="0"/>
        <w:rPr>
          <w:color w:val="auto"/>
        </w:rPr>
      </w:pPr>
    </w:p>
    <w:p w14:paraId="0A9F2C20">
      <w:pPr>
        <w:ind w:firstLine="0"/>
        <w:rPr>
          <w:color w:val="auto"/>
        </w:rPr>
      </w:pPr>
    </w:p>
    <w:p w14:paraId="3CECDF04">
      <w:pPr>
        <w:pStyle w:val="3"/>
      </w:pPr>
      <w:bookmarkStart w:id="4" w:name="_Toc112914767"/>
      <w:r>
        <w:t>Escopo do Projeto</w:t>
      </w:r>
      <w:bookmarkEnd w:id="4"/>
    </w:p>
    <w:p w14:paraId="4E3DE6AE">
      <w:pPr>
        <w:ind w:firstLine="0"/>
        <w:rPr>
          <w:color w:val="auto"/>
        </w:rPr>
      </w:pPr>
    </w:p>
    <w:p w14:paraId="7D1E587E">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138C80F3">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503F60B2">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pPr>
        <w:ind w:firstLine="0"/>
        <w:rPr>
          <w:color w:val="auto"/>
        </w:rPr>
      </w:pPr>
    </w:p>
    <w:p w14:paraId="321EAA6A">
      <w:pPr>
        <w:pStyle w:val="3"/>
      </w:pPr>
      <w:bookmarkStart w:id="5" w:name="_Toc112914768"/>
      <w:r>
        <w:t>Organização do Texto</w:t>
      </w:r>
      <w:bookmarkEnd w:id="5"/>
    </w:p>
    <w:p w14:paraId="02B7B11A">
      <w:pPr>
        <w:ind w:firstLine="0"/>
        <w:rPr>
          <w:color w:val="2E75B6" w:themeColor="accent5" w:themeShade="BF"/>
        </w:rPr>
      </w:pPr>
    </w:p>
    <w:p w14:paraId="14D7B9F5">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do modelo preditivo e da explicabilidade do modelo com SHAP. O Capítulo 7 — Conclusões — sintetiza as contribuições e aponta trabalhos futuros.</w:t>
      </w:r>
    </w:p>
    <w:p w14:paraId="6BCBF4EF">
      <w:pPr>
        <w:ind w:firstLine="0"/>
        <w:rPr>
          <w:color w:val="auto"/>
        </w:rPr>
      </w:pPr>
      <w:r>
        <w:t>Principais decisões metodológicas adotadas: (i) a unidade de análise é a escola — não o aluno —, pois os dados públicos do Censo estão disponíveis nesse nível e o volume (~800 obs./ano) é adequado para ML interpretável; (ii) a variável-alvo é a taxa de abandono do ano t+1, construída com shift temporal nas Taxas de Rendimento do INEP, criando uma lógica genuinamente preditiva; (iii) os indicadores INSE, IRD, TDI e AFD foram incorporados para capturar dimensões ausentes no Censo (nível socioeconômico, qualidade docente e distorção etária); (iv) o INSE foi tratado como variável estática (edição 2021), pois não há versão posterior disponível em nível de escola; (v) QT_TUR_MED e QT_DOC_MED foram excluídas por colinearidade com QT_MAT_MED (r&gt;0,85); (vi) TAXA_APROV_MED foi excluída por identidade aritmética com reprovação e abandono (aprov + reprov + abnd = 100%).</w:t>
      </w:r>
    </w:p>
    <w:p w14:paraId="1F2276D2">
      <w:pPr>
        <w:ind w:firstLine="0"/>
        <w:rPr>
          <w:color w:val="auto"/>
        </w:rPr>
      </w:pPr>
      <w:r>
        <w:t>Problemas encontrados durante o desenvolvimento: (i) inconsistência no código de mesorregião entre o Censo de 2022 (escala 1–5) e o de 2023 (código IBGE 2601–2605), corrigida com mapeamento explícito no ETL; (ii) a coluna QT_MAT_MED_NM apresentou 100% de missing em 2022, sendo descartada da análise; (iii) o INSE 2021 cobre 94,8% das escolas do painel, com os 5,2% restantes imputados por média de mesorregião; (iv) as Taxas de Rendimento são fornecidas em formato Excel com cabeçalho de 8 linhas e células '--' para escolas sem oferta da série, exigindo parser especializado no ETL; (v) os arquivos de IRD, TDI e AFD são distribuídos por dependência administrativa em arquivos separados, exigindo filtros e joins cuidadosos para isolar as escolas estaduais de Ensino Médio de Pernambuco.</w:t>
      </w:r>
    </w:p>
    <w:p w14:paraId="604E0ACB">
      <w:pPr>
        <w:ind w:firstLine="0"/>
        <w:rPr>
          <w:color w:val="auto"/>
        </w:rPr>
      </w:pPr>
      <w:r>
        <w:t>Principais resultados obtidos até o momento: (i) painel longitudinal estável com 806 escolas únicas, 2.392 linhas e 97,4% de cobertura nos três anos analisados; (ii) dataset final de modelagem com 1.586 observações, 30 features e 0% de missing após imputação por média de mesorregião×ano; (iii) infraestrutura significativamente inferior nas escolas rurais (índice médio 0,52 vs. 0,71 nas urbanas; p&lt;0,0001); (iv) crescimento do ensino integral de 56,7% em 2022 para 64,9% em 2024, com 50% das escolas operando em regime 100% integral em 2024; (v) correlações Spearman mais fortes com a taxa de abandono futura: lag de abandono (r≈+0,80), distorção idade-série (r≈+0,55) e nível socioeconômico (INSE, r≈−0,40); (vi) concentração de risco nos municípios da mesorregião do São Francisco Pernambucano, que acumula menores índices de IRD e INSE e maiores taxas de abandono e distorção idade-série. (vii) explicabilidade do modelo definitivo com SHAP, que confirmou o lag de abandono, a reprovação e a distorção idade-série como os principais determinantes do risco previsto, com direções coerentes com a teoria (abandono, reprovação e distorção elevam o risco; nível socioeconômico elevado o reduz); (viii) diagnóstico de equidade: o modelo definitivo mantém superpredição sistemática do abandono nas escolas de localização diferenciada (resíduo médio de −3,99 pontos percentuais na validação temporal), indício de fatores protetivos de vínculo comunitário não capturados pelas variáveis disponíveis.</w:t>
      </w:r>
    </w:p>
    <w:p w14:paraId="0A9F8E59">
      <w:pPr>
        <w:ind w:firstLine="0"/>
      </w:pPr>
    </w:p>
    <w:p w14:paraId="0A57E07C">
      <w:pPr>
        <w:pStyle w:val="2"/>
      </w:pPr>
      <w:bookmarkStart w:id="6" w:name="_Toc112914769"/>
      <w:bookmarkStart w:id="7" w:name="_Hlk81495260"/>
      <w:r>
        <w:t>Revisão bibliográfica</w:t>
      </w:r>
      <w:bookmarkEnd w:id="6"/>
    </w:p>
    <w:bookmarkEnd w:id="7"/>
    <w:p w14:paraId="3556ABFA">
      <w:pPr>
        <w:ind w:firstLine="0"/>
      </w:pPr>
    </w:p>
    <w:p w14:paraId="5508DE57">
      <w:pPr>
        <w:ind w:firstLine="0"/>
      </w:pPr>
      <w:r>
        <w:rPr>
          <w:color w:val="2E75B6" w:themeColor="accent5" w:themeShade="BF"/>
        </w:rPr>
        <w:t>&lt;revisão bibliográfica contendo a fundamentação teórica do trabalho e os trabalhos relacionados&gt;</w:t>
      </w:r>
    </w:p>
    <w:p w14:paraId="24195CE0">
      <w:pPr>
        <w:ind w:firstLine="0"/>
      </w:pPr>
    </w:p>
    <w:p w14:paraId="1FFEDEBA">
      <w:pPr>
        <w:pStyle w:val="3"/>
      </w:pPr>
      <w:bookmarkStart w:id="8" w:name="_Toc112914770"/>
      <w:r>
        <w:t>Fundamentação Teórica</w:t>
      </w:r>
      <w:bookmarkEnd w:id="8"/>
    </w:p>
    <w:p w14:paraId="6AF383C5">
      <w:pPr>
        <w:ind w:firstLine="0"/>
      </w:pPr>
    </w:p>
    <w:p w14:paraId="587393DC">
      <w:pPr>
        <w:ind w:firstLine="0"/>
      </w:pPr>
      <w:r>
        <w:rPr>
          <w:color w:val="2E75B6" w:themeColor="accent5" w:themeShade="BF"/>
        </w:rPr>
        <w:t>&lt;Fundamentos teóricos necessários para o entendimento do trabalho de conclusão de curso&gt;</w:t>
      </w:r>
    </w:p>
    <w:p w14:paraId="223D89C2">
      <w:pPr>
        <w:ind w:firstLine="0"/>
      </w:pPr>
    </w:p>
    <w:p w14:paraId="36984737">
      <w:pPr>
        <w:ind w:firstLine="0"/>
      </w:pPr>
    </w:p>
    <w:p w14:paraId="552F0FFD">
      <w:pPr>
        <w:ind w:firstLine="0"/>
      </w:pPr>
    </w:p>
    <w:p w14:paraId="567296D8">
      <w:pPr>
        <w:ind w:firstLine="0"/>
      </w:pPr>
    </w:p>
    <w:p w14:paraId="1485DB1F">
      <w:pPr>
        <w:ind w:firstLine="0"/>
      </w:pPr>
    </w:p>
    <w:p w14:paraId="5BFFC4C8">
      <w:pPr>
        <w:ind w:firstLine="0"/>
      </w:pPr>
    </w:p>
    <w:p w14:paraId="3E7B9B96">
      <w:pPr>
        <w:ind w:firstLine="0"/>
      </w:pPr>
    </w:p>
    <w:p w14:paraId="5E33496A">
      <w:pPr>
        <w:pStyle w:val="3"/>
      </w:pPr>
      <w:bookmarkStart w:id="9" w:name="_Toc112914771"/>
      <w:r>
        <w:t>Trabalhos Relacionados</w:t>
      </w:r>
      <w:bookmarkEnd w:id="9"/>
    </w:p>
    <w:p w14:paraId="0398B9A1">
      <w:pPr>
        <w:ind w:firstLine="0"/>
      </w:pPr>
    </w:p>
    <w:p w14:paraId="10876F37">
      <w:pPr>
        <w:ind w:firstLine="0"/>
      </w:pPr>
      <w:r>
        <w:rPr>
          <w:color w:val="2E75B6" w:themeColor="accent5" w:themeShade="BF"/>
        </w:rPr>
        <w:t>&lt;Pelo menos 2 trabalhos relacionados ao TCC proposto&gt;</w:t>
      </w:r>
    </w:p>
    <w:p w14:paraId="65624212">
      <w:pPr>
        <w:ind w:firstLine="0"/>
      </w:pPr>
      <w:r>
        <w:br w:type="page"/>
      </w:r>
    </w:p>
    <w:p w14:paraId="7EAF8471">
      <w:pPr>
        <w:pStyle w:val="2"/>
      </w:pPr>
      <w:bookmarkStart w:id="10" w:name="_Hlk81495319"/>
      <w:r>
        <w:t xml:space="preserve"> </w:t>
      </w:r>
      <w:bookmarkStart w:id="11" w:name="_Toc112914772"/>
      <w:r>
        <w:t>Método de desenvolvimento</w:t>
      </w:r>
      <w:bookmarkEnd w:id="11"/>
    </w:p>
    <w:p w14:paraId="7C9DBFCE">
      <w:pPr>
        <w:ind w:firstLine="0"/>
      </w:pPr>
    </w:p>
    <w:p w14:paraId="566F3D7B">
      <w:r>
        <w:t xml:space="preserve">Este capítulo descreve o método de desenvolvimento adotado no projeto, as fases executadas </w:t>
      </w:r>
      <w:bookmarkStart w:id="34" w:name="_GoBack"/>
      <w:bookmarkEnd w:id="34"/>
      <w:r>
        <w:t>e as práticas de engenharia de software aplicadas ao longo do processo. Por se tratar de um sistema cujo núcleo é um pipeline de ciência de dados, o método combina o processo CRISP-DM (Cross-Industry Standard Process for Data Mining) com um ciclo de desenvolvimento iterativo e incremental, no qual cada fase produz artefatos verificáveis — código testado, dados intermediários versionáveis e relatórios técnicos — antes do avanço para a fase seguinte.</w:t>
      </w:r>
    </w:p>
    <w:p w14:paraId="50063C86">
      <w:pPr>
        <w:pStyle w:val="3"/>
      </w:pPr>
      <w:r>
        <w:t>Processo de Desenvolvimento Adotado</w:t>
      </w:r>
    </w:p>
    <w:p w14:paraId="79FB99AF">
      <w:r>
        <w:t>O CRISP-DM organiza projetos de mineração de dados em seis etapas: entendimento do negócio, entendimento dos dados, preparação dos dados, modelagem, avaliação e implantação. Essas etapas foram mapeadas para fases do projeto com critérios de saída explícitos, executadas de forma incremental: cada fase é concluída com um commit identificado no controle de versão e com um relatório técnico que documenta decisões, problemas encontrados e resultados obtidos. Esse arranjo permite retornar a fases anteriores quando novas evidências surgem — característica essencial em projetos de ciência de dados, nos quais a qualidade dos dados só é plenamente conhecida durante a exploração.</w:t>
      </w:r>
    </w:p>
    <w:p w14:paraId="2ECB9FCB">
      <w:r>
        <w:t>O desenvolvimento segue ainda uma separação explícita entre código de produção e código de análise: os módulos reutilizáveis do pipeline residem no pacote src/ (subpacotes src/data, src/features, src/models e src/recommend), enquanto os scripts analíticos numerados residem em notebooks/ e consomem os módulos de src/. Os dados seguem a convenção raw → interim → processed: os arquivos originais do INEP permanecem imutáveis em data/raw/, os produtos intermediários de ETL são gravados em data/interim/ no formato Parquet e o dataset final de modelagem é gravado em data/processed/. Essa organização garante reprodutibilidade — qualquer etapa pode ser reexecutada a partir dos dados originais — e testabilidade, pois cada módulo de src/ é coberto por testes unitários.</w:t>
      </w:r>
    </w:p>
    <w:p w14:paraId="5E61EAE7">
      <w:pPr>
        <w:pStyle w:val="3"/>
      </w:pPr>
      <w:r>
        <w:t>Fases Executadas</w:t>
      </w:r>
    </w:p>
    <w:p w14:paraId="030FBE9D">
      <w:r>
        <w:t>O Quadro a seguir resume as fases do método, os principais artefatos produzidos e a situação de cada uma no momento da escrita deste texto.</w:t>
      </w:r>
    </w:p>
    <w:p w14:paraId="54C924A1">
      <w:pPr>
        <w:pStyle w:val="28"/>
      </w:pPr>
      <w:r>
        <w:t>Quadro – Fases do método de desenvolvimento e artefatos produzidos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51"/>
        <w:gridCol w:w="2268"/>
      </w:tblGrid>
      <w:tr w14:paraId="4D07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1FD384">
            <w:r>
              <w:rPr>
                <w:b/>
                <w:sz w:val="20"/>
              </w:rPr>
              <w:t>Fase</w:t>
            </w:r>
          </w:p>
        </w:tc>
        <w:tc>
          <w:tcPr>
            <w:tcW w:w="2268" w:type="dxa"/>
          </w:tcPr>
          <w:p w14:paraId="370C182F">
            <w:r>
              <w:rPr>
                <w:b/>
                <w:sz w:val="20"/>
              </w:rPr>
              <w:t>Etapa CRISP-DM</w:t>
            </w:r>
          </w:p>
        </w:tc>
        <w:tc>
          <w:tcPr>
            <w:tcW w:w="2268" w:type="dxa"/>
          </w:tcPr>
          <w:p w14:paraId="7013E9D3">
            <w:r>
              <w:rPr>
                <w:b/>
                <w:sz w:val="20"/>
              </w:rPr>
              <w:t>Principais artefatos</w:t>
            </w:r>
          </w:p>
        </w:tc>
        <w:tc>
          <w:tcPr>
            <w:tcW w:w="2268" w:type="dxa"/>
          </w:tcPr>
          <w:p w14:paraId="1D2E431C">
            <w:r>
              <w:rPr>
                <w:b/>
                <w:sz w:val="20"/>
              </w:rPr>
              <w:t>Situação</w:t>
            </w:r>
          </w:p>
        </w:tc>
      </w:tr>
      <w:tr w14:paraId="3BF1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73CEC0">
            <w:r>
              <w:rPr>
                <w:sz w:val="20"/>
              </w:rPr>
              <w:t>0. Planejamento e decisões metodológicas</w:t>
            </w:r>
          </w:p>
        </w:tc>
        <w:tc>
          <w:tcPr>
            <w:tcW w:w="2268" w:type="dxa"/>
          </w:tcPr>
          <w:p w14:paraId="705B909E">
            <w:r>
              <w:rPr>
                <w:sz w:val="20"/>
              </w:rPr>
              <w:t>Entendimento do negócio</w:t>
            </w:r>
          </w:p>
        </w:tc>
        <w:tc>
          <w:tcPr>
            <w:tcW w:w="2268" w:type="dxa"/>
          </w:tcPr>
          <w:p w14:paraId="748B1AA1">
            <w:r>
              <w:rPr>
                <w:sz w:val="20"/>
              </w:rPr>
              <w:t>Documento de decisões do projeto (perguntas de pesquisa, unidade de análise, target, fontes de dados, stack tecnológica)</w:t>
            </w:r>
          </w:p>
        </w:tc>
        <w:tc>
          <w:tcPr>
            <w:tcW w:w="2268" w:type="dxa"/>
          </w:tcPr>
          <w:p w14:paraId="52B68E72">
            <w:r>
              <w:rPr>
                <w:sz w:val="20"/>
              </w:rPr>
              <w:t>Concluída</w:t>
            </w:r>
          </w:p>
        </w:tc>
      </w:tr>
      <w:tr w14:paraId="05E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06BF67">
            <w:r>
              <w:rPr>
                <w:sz w:val="20"/>
              </w:rPr>
              <w:t>1. ETL do Censo Escolar e análise exploratória</w:t>
            </w:r>
          </w:p>
        </w:tc>
        <w:tc>
          <w:tcPr>
            <w:tcW w:w="2268" w:type="dxa"/>
          </w:tcPr>
          <w:p w14:paraId="2FCDCCBB">
            <w:r>
              <w:rPr>
                <w:sz w:val="20"/>
              </w:rPr>
              <w:t>Entendimento e preparação dos dados</w:t>
            </w:r>
          </w:p>
        </w:tc>
        <w:tc>
          <w:tcPr>
            <w:tcW w:w="2268" w:type="dxa"/>
          </w:tcPr>
          <w:p w14:paraId="0007AEA6">
            <w:r>
              <w:rPr>
                <w:sz w:val="20"/>
              </w:rPr>
              <w:t>Módulos load.py, filter_pe_estadual_em.py e build_school_panel.py; painel escola×ano (2.392 linhas, 806 escolas); 10 análises descritivas com figuras; relatório técnico da Fase 1</w:t>
            </w:r>
          </w:p>
        </w:tc>
        <w:tc>
          <w:tcPr>
            <w:tcW w:w="2268" w:type="dxa"/>
          </w:tcPr>
          <w:p w14:paraId="4CB06674">
            <w:r>
              <w:rPr>
                <w:sz w:val="20"/>
              </w:rPr>
              <w:t>Concluída</w:t>
            </w:r>
          </w:p>
        </w:tc>
      </w:tr>
      <w:tr w14:paraId="7348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6C90CA">
            <w:r>
              <w:rPr>
                <w:sz w:val="20"/>
              </w:rPr>
              <w:t>2. Integração dos indicadores complementares</w:t>
            </w:r>
          </w:p>
        </w:tc>
        <w:tc>
          <w:tcPr>
            <w:tcW w:w="2268" w:type="dxa"/>
          </w:tcPr>
          <w:p w14:paraId="02C74495">
            <w:r>
              <w:rPr>
                <w:sz w:val="20"/>
              </w:rPr>
              <w:t>Preparação dos dados</w:t>
            </w:r>
          </w:p>
        </w:tc>
        <w:tc>
          <w:tcPr>
            <w:tcW w:w="2268" w:type="dxa"/>
          </w:tcPr>
          <w:p w14:paraId="0D27EE89">
            <w:r>
              <w:rPr>
                <w:sz w:val="20"/>
              </w:rPr>
              <w:t>ETLs das Taxas de Rendimento, INSE, IRD, TDI e AFD; parquets intermediários por indicador; análises B1–B10 e C1–C6; relatório de indicadores</w:t>
            </w:r>
          </w:p>
        </w:tc>
        <w:tc>
          <w:tcPr>
            <w:tcW w:w="2268" w:type="dxa"/>
          </w:tcPr>
          <w:p w14:paraId="45F26AA2">
            <w:r>
              <w:rPr>
                <w:sz w:val="20"/>
              </w:rPr>
              <w:t>Concluída</w:t>
            </w:r>
          </w:p>
        </w:tc>
      </w:tr>
      <w:tr w14:paraId="0381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8A31C6A">
            <w:r>
              <w:rPr>
                <w:sz w:val="20"/>
              </w:rPr>
              <w:t>3. Feature engineering</w:t>
            </w:r>
          </w:p>
        </w:tc>
        <w:tc>
          <w:tcPr>
            <w:tcW w:w="2268" w:type="dxa"/>
          </w:tcPr>
          <w:p w14:paraId="14837055">
            <w:r>
              <w:rPr>
                <w:sz w:val="20"/>
              </w:rPr>
              <w:t>Preparação dos dados</w:t>
            </w:r>
          </w:p>
        </w:tc>
        <w:tc>
          <w:tcPr>
            <w:tcW w:w="2268" w:type="dxa"/>
          </w:tcPr>
          <w:p w14:paraId="091F958C">
            <w:r>
              <w:rPr>
                <w:sz w:val="20"/>
              </w:rPr>
              <w:t>Módulo build_features.py; dataset final com 1.586 observações e 30 features (features do ano t, target taxa de abandono em t+1); análises F1–F6</w:t>
            </w:r>
          </w:p>
        </w:tc>
        <w:tc>
          <w:tcPr>
            <w:tcW w:w="2268" w:type="dxa"/>
          </w:tcPr>
          <w:p w14:paraId="12574655">
            <w:r>
              <w:rPr>
                <w:sz w:val="20"/>
              </w:rPr>
              <w:t>Concluída</w:t>
            </w:r>
          </w:p>
        </w:tc>
      </w:tr>
      <w:tr w14:paraId="560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F7B6E">
            <w:r>
              <w:rPr>
                <w:sz w:val="20"/>
              </w:rPr>
              <w:t>4. Modelagem baseline e XGBoost</w:t>
            </w:r>
          </w:p>
        </w:tc>
        <w:tc>
          <w:tcPr>
            <w:tcW w:w="2268" w:type="dxa"/>
          </w:tcPr>
          <w:p w14:paraId="6CF1A0B3">
            <w:r>
              <w:rPr>
                <w:sz w:val="20"/>
              </w:rPr>
              <w:t>Modelagem</w:t>
            </w:r>
          </w:p>
        </w:tc>
        <w:tc>
          <w:tcPr>
            <w:tcW w:w="2268" w:type="dxa"/>
          </w:tcPr>
          <w:p>
            <w:r>
              <w:t>Módulos train.py e evaluate.py; baselines Ridge e Random Forest e modelo principal XGBoost avaliados com GroupKFold por município e validação temporal; tuning do XGBoost por busca em grade; métricas registradas em CSV; modelos serializados (baseline_ridge_v1.joblib e xgboost_v1.joblib)</w:t>
            </w:r>
          </w:p>
        </w:tc>
        <w:tc>
          <w:tcPr>
            <w:tcW w:w="2268" w:type="dxa"/>
          </w:tcPr>
          <w:p>
            <w:r>
              <w:t>Concluída</w:t>
            </w:r>
          </w:p>
        </w:tc>
      </w:tr>
      <w:tr w14:paraId="7826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56D50E">
            <w:r>
              <w:rPr>
                <w:sz w:val="20"/>
              </w:rPr>
              <w:t>5. Explicabilidade e análise de resíduos</w:t>
            </w:r>
          </w:p>
        </w:tc>
        <w:tc>
          <w:tcPr>
            <w:tcW w:w="2268" w:type="dxa"/>
          </w:tcPr>
          <w:p w14:paraId="631F468E">
            <w:r>
              <w:rPr>
                <w:sz w:val="20"/>
              </w:rPr>
              <w:t>Avaliação</w:t>
            </w:r>
          </w:p>
        </w:tc>
        <w:tc>
          <w:tcPr>
            <w:tcW w:w="2268" w:type="dxa"/>
          </w:tcPr>
          <w:p w14:paraId="0ABB516A">
            <w:r>
              <w:rPr>
                <w:sz w:val="20"/>
              </w:rPr>
              <w:t>Análise SHAP global e local; identificação de escolas com abandono acima/abaixo do esperado pelo perfil</w:t>
            </w:r>
          </w:p>
        </w:tc>
        <w:tc>
          <w:tcPr>
            <w:tcW w:w="2268" w:type="dxa"/>
          </w:tcPr>
          <w:p w14:paraId="7482227D">
            <w:r>
              <w:rPr>
                <w:sz w:val="20"/>
              </w:rPr>
              <w:t>Planejada</w:t>
            </w:r>
          </w:p>
        </w:tc>
      </w:tr>
      <w:tr w14:paraId="6ECB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A101EA">
            <w:r>
              <w:rPr>
                <w:sz w:val="20"/>
              </w:rPr>
              <w:t>6. Dashboard</w:t>
            </w:r>
          </w:p>
        </w:tc>
        <w:tc>
          <w:tcPr>
            <w:tcW w:w="2268" w:type="dxa"/>
          </w:tcPr>
          <w:p w14:paraId="653FD3C3">
            <w:r>
              <w:rPr>
                <w:sz w:val="20"/>
              </w:rPr>
              <w:t>Implantação</w:t>
            </w:r>
          </w:p>
        </w:tc>
        <w:tc>
          <w:tcPr>
            <w:tcW w:w="2268" w:type="dxa"/>
          </w:tcPr>
          <w:p w14:paraId="2CD28BC2">
            <w:r>
              <w:rPr>
                <w:sz w:val="20"/>
              </w:rPr>
              <w:t>Aplicação Streamlit com ranking de risco, detalhe por escola e visualizações SHAP</w:t>
            </w:r>
          </w:p>
        </w:tc>
        <w:tc>
          <w:tcPr>
            <w:tcW w:w="2268" w:type="dxa"/>
          </w:tcPr>
          <w:p w14:paraId="531D23E2">
            <w:r>
              <w:rPr>
                <w:sz w:val="20"/>
              </w:rPr>
              <w:t>Planejada</w:t>
            </w:r>
          </w:p>
        </w:tc>
      </w:tr>
    </w:tbl>
    <w:p w14:paraId="7A841A92">
      <w:pPr>
        <w:pStyle w:val="28"/>
      </w:pPr>
      <w:r>
        <w:t>Fonte: elaborado pelo autor.</w:t>
      </w:r>
    </w:p>
    <w:p w14:paraId="71AF4684">
      <w:pPr>
        <w:pStyle w:val="4"/>
      </w:pPr>
      <w:r>
        <w:t>Planejamento e Decisões Metodológicas</w:t>
      </w:r>
    </w:p>
    <w:p w14:paraId="685764C9">
      <w:r>
        <w:t>A fase inicial consolidou as decisões estruturantes do projeto em um documento de decisões mantido sob controle de versão. Definiu-se a escola — e não o aluno — como unidade de análise, uma vez que os dados públicos do INEP estão disponíveis nesse nível, o usuário-alvo (gestor da Secretaria Estadual de Educação) decide em nível de escola e o volume resultante (~800 escolas/ano) é adequado para aprendizado de máquina interpretável. O universo foi delimitado às escolas estaduais ativas com oferta de Ensino Médio regular em Pernambuco, e o problema foi formulado como regressão: predizer a taxa de abandono do Ensino Médio no ano t+1 a partir de indicadores institucionais e contextuais do ano t. Nessa fase também foram selecionadas as fontes de dados (microdados do Censo Escolar 2022–2024, Taxas de Rendimento, INSE, IRD, TDI e AFD) e a stack tecnológica (Python, pandas, scikit-learn, XGBoost, SHAP e Streamlit).</w:t>
      </w:r>
    </w:p>
    <w:p w14:paraId="45C20EE3">
      <w:pPr>
        <w:pStyle w:val="4"/>
      </w:pPr>
      <w:r>
        <w:t>ETL do Censo Escolar e Análise Exploratória</w:t>
      </w:r>
    </w:p>
    <w:p w14:paraId="3BD90FCA">
      <w:r>
        <w:t>A primeira fase de implementação construiu o pipeline de extração, transformação e carga dos microdados do Censo Escolar. O módulo load.py realiza a carga dos arquivos CSV de cada ano com busca heurística pelos nomes de arquivo (o INEP não mantém nomenclatura consistente entre edições); o módulo filter_pe_estadual_em.py aplica, em sequência auditável, os filtros de UF (SG_UF = 'PE'), dependência administrativa estadual (TP_DEPENDENCIA = 2), situação de funcionamento ativa e oferta de Ensino Médio; e o módulo build_school_panel.py empilha os três anos em um painel longitudinal escola×ano. O resultado é um painel com 2.392 linhas e 34 colunas, cobrindo 806 escolas únicas — 97,4% delas presentes nos três anos, o que caracteriza um painel estável.</w:t>
      </w:r>
    </w:p>
    <w:p w14:paraId="3AB2028B">
      <w:r>
        <w:t>Sobre esse painel foram executadas dez análises descritivas, com figuras geradas programaticamente, que caracterizaram o universo de estudo: 185 municípios atendidos; 86% das escolas em área urbana; mediana de aproximadamente 350 matrículas de Ensino Médio por escola; índice médio de infraestrutura de 0,68, com diferença significativa entre escolas rurais (0,52) e urbanas (0,71; p&lt;0,0001); e crescimento da oferta de tempo integral de 56,7% em 2022 para 64,9% em 2024. A fase também identificou problemas de qualidade de dados que orientaram decisões posteriores, como o descarte da coluna QT_MAT_MED_NM (100% de valores ausentes em 2022) e a inconsistência do código de mesorregião entre as edições 2022 e 2023 do Censo, corrigida com mapeamento explícito no ETL.</w:t>
      </w:r>
    </w:p>
    <w:p w14:paraId="2473D422">
      <w:pPr>
        <w:pStyle w:val="4"/>
      </w:pPr>
      <w:r>
        <w:t>Integração dos Indicadores Complementares</w:t>
      </w:r>
    </w:p>
    <w:p w14:paraId="69A8C537">
      <w:r>
        <w:t>A segunda fase incorporou ao painel cinco fontes complementares do INEP, cada uma com um módulo de ETL dedicado: Taxas de Rendimento Escolar (aprovação, reprovação e abandono, por série e total do Ensino Médio), Indicador de Nível Socioeconômico (INSE), Indicador de Regularidade Docente (IRD), Taxa de Distorção Idade-Série (TDI) e Adequação da Formação Docente (AFD). As Taxas de Rendimento exigiram um parser especializado, pois o INEP as distribui em planilhas Excel com cabeçalho de oito linhas e células '--' para escolas sem oferta da série, convertidas para valores ausentes. O ETL resultou em parquets intermediários padronizados por escola e ano, validados por testes automatizados.</w:t>
      </w:r>
    </w:p>
    <w:p w14:paraId="3674F741">
      <w:r>
        <w:t>As análises desta fase estabeleceram a viabilidade do problema preditivo: a taxa de abandono do ano anterior apresentou correlação de Spearman de aproximadamente +0,80 com a do ano seguinte, seguida pela distorção idade-série (r≈+0,55) e pelo nível socioeconômico (r≈−0,40). Identificou-se ainda a concentração de risco na mesorregião do São Francisco Pernambucano, que acumula os menores índices de IRD e INSE e as maiores taxas de abandono e distorção. Como o INSE não possui edição posterior a 2021 em nível de escola, decidiu-se tratá-lo como variável estática, com cobertura de 94,8% do painel e imputação por média de mesorregião para as escolas restantes.</w:t>
      </w:r>
    </w:p>
    <w:p w14:paraId="74990003">
      <w:pPr>
        <w:pStyle w:val="4"/>
      </w:pPr>
      <w:r>
        <w:t>Feature Engineering</w:t>
      </w:r>
    </w:p>
    <w:p w14:paraId="6F3F5538">
      <w:r>
        <w:t>A terceira fase construiu o dataset final de modelagem por meio do módulo build_features.py, que materializa a lógica temporal preditiva do projeto: para cada escola e cada ano t ∈ {2022, 2023}, as features são os atributos da escola no ano t e o target é a taxa de abandono do Ensino Médio observada no ano t+1. O ano de 2024 não entra como ano-feature por não haver dados de rendimento de 2025. As features combinam atributos do Censo (matrículas, infraestrutura, conectividade, tempo integral), os quatro indicadores complementares e lags das taxas de reprovação e abandono por série.</w:t>
      </w:r>
    </w:p>
    <w:p w14:paraId="60663B0E">
      <w:r>
        <w:t>Decisões de engenharia tomadas nesta fase incluem: exclusão de QT_TUR_MED e QT_DOC_MED por colinearidade com QT_MAT_MED (r&gt;0,85); exclusão de TAXA_APROV_MED por identidade aritmética com reprovação e abandono (as três taxas somam 100%); exclusão das taxas da 4ª série e do não seriado por alto percentual de valores ausentes; e imputação dos valores ausentes restantes por média de mesorregião×ano. O dataset final contém 1.586 observações e 30 features, sem valores ausentes após a imputação. Uma análise preliminar de importância de variáveis com XGBoost confirmou o lag de abandono, a distorção idade-série e o INSE como os preditores mais relevantes, em consonância com as correlações observadas na fase anterior.</w:t>
      </w:r>
    </w:p>
    <w:p>
      <w:pPr>
        <w:pStyle w:val="4"/>
      </w:pPr>
      <w:r>
        <w:t>Modelagem Baseline</w:t>
      </w:r>
    </w:p>
    <w:p>
      <w:r>
        <w:t>A quarta fase iniciou a etapa de modelagem com a construção dos modelos de referência previstos na metodologia, implementados nos módulos train.py e evaluate.py. O pipeline de pré-processamento, definido com o ColumnTransformer do scikit-learn, aplica imputação por mediana e padronização às variáveis numéricas e codificação one-hot à mesorregião, única variável categórica nominal. Três modelos foram avaliados: um DummyRegressor que prediz a média do treino, como piso trivial de referência; a regressão Ridge, como baseline linear; e o Random Forest, como baseline não-linear. Os hiperparâmetros foram selecionados por busca em grade com a própria validação cruzada agrupada (Ridge com alfa=100; Random Forest com 300 árvores, profundidade máxima 8 e mínimo de 5 observações por folha). Avaliaram-se ainda transformações do target (logaritmo e raiz quadrada), com efeito marginal sobre as métricas: a raiz quadrada beneficiou levemente o Ridge, e a ausência de transformação, o Random Forest.</w:t>
      </w:r>
    </w:p>
    <w:p>
      <w:r>
        <w:t>A avaliação seguiu dois protocolos complementares. Na validação cruzada GroupKFold, com cinco folds agrupados por município para evitar vazamento de informação entre escolas vizinhas, ambos os baselines superaram com folga o piso trivial: RMSE de 2,70 pontos percentuais (Random Forest) e 2,74 (Ridge) contra 3,32 do Dummy, correlação de Spearman de 0,44 e 0,39, respectivamente, e Precision@K (K=10%) de aproximadamente 0,50 contra 0,07. Já na validação temporal — treino com o par 2022→2023 e teste com o par 2023→2024, simulando o uso real do sistema — observou-se deslocamento de distribuição entre os ciclos: nenhum modelo superou o piso trivial em RMSE (R² negativo), pois o nível médio de abandono mudou de um ano para o outro; as métricas de ranqueamento, contudo, mantiveram-se muito superiores ao piso (Spearman de 0,37 e Precision@K de 0,42 contra 0,09). O resultado indica que os modelos preservam a capacidade de identificar quais escolas terão abandono elevado, ainda que errem a magnitude — comportamento suficiente para a pergunta de pesquisa, formulada como problema de priorização, mas que deverá ser tratado na fase de tuning.</w:t>
      </w:r>
    </w:p>
    <w:p>
      <w:r>
        <w:t>Uma análise preliminar de resíduos antecipou a pergunta secundária de pesquisa: escolas indígenas do Sertão de Itaparica apresentaram abandono real próximo de zero apesar de um perfil contextual associado a abandono elevado, enquanto escolas de referência da Região Metropolitana do Recife apresentaram abandono acima do esperado — casos que serão aprofundados na análise de resíduos com o modelo definitivo. O melhor baseline (Ridge com transformação raiz quadrada) foi serializado em models/baseline_ridge_v1.joblib, e todas as métricas foram registradas em arquivos CSV para comparação com o XGBoost. A fase está documentada no relatório técnico correspondente (relatorio_fase5_baselines.docx).</w:t>
      </w:r>
    </w:p>
    <w:p>
      <w:pPr>
        <w:pStyle w:val="4"/>
      </w:pPr>
      <w:r>
        <w:t>Tuning do XGBoost</w:t>
      </w:r>
    </w:p>
    <w:p>
      <w:pPr/>
      <w:r>
        <w:t>A quinta fase realizou o tuning do modelo principal. O XGBoost foi otimizado por busca em grade (GridSearchCV) sob a mesma validação cruzada agrupada por município empregada nos baselines, varrendo o número de árvores, a profundidade, a taxa de aprendizagem, o peso mínimo por folha e a regularização L2 — quarenta e oito combinações ao todo —, com o RMSE como critério de seleção. O pipeline de pré-processamento da fase anterior foi reaproveitado integralmente, garantindo comparabilidade direta com os baselines. A configuração selecionada — trezentas árvores rasas (profundidade dois), taxa de aprendizagem 0,02, peso mínimo por folha cinco e regularização L2 igual a cinco, com o target em raiz quadrada — privilegia árvores rasas e regularização forte, coerente com o tamanho reduzido da amostra de treino (797 observações), em que modelos complexos sobreajustam facilmente. O modelo definitivo foi serializado em models/xgboost_v1.joblib, e os resultados quantitativos são apresentados no capítulo de Testes e Análise dos Resultados.</w:t>
      </w:r>
    </w:p>
    <w:p>
      <w:pPr>
        <w:pStyle w:val="4"/>
      </w:pPr>
      <w:r>
        <w:t>Explicabilidade e Diagnóstico do Modelo</w:t>
      </w:r>
    </w:p>
    <w:p>
      <w:pPr/>
      <w:r>
        <w:t>A sexta fase de implementação dedicou-se à explicabilidade do modelo definitivo e ao diagnóstico das escolas fora do padrão — a pergunta secundária de pesquisa. Sobre o XGBoost serializado foi montado um explicador baseado em valores de Shapley (TreeExplainer da biblioteca SHAP), encapsulado no módulo explain.py, que decompõe cada predição na soma das contribuições de cada variável. Como o modelo final emprega transformação raiz quadrada no alvo, os valores SHAP são expressos em unidades de raiz da taxa de abandono — escala em que o sinal e a ordenação das contribuições permanecem válidos, por ser a raiz uma função monótona —, enquanto as predições e os resíduos são reportados na escala original, em pontos percentuais. A fase produziu a importância global das variáveis, a direção de seu efeito, explicações locais por escola e a reavaliação do viés de superpredição por grupo de localização sobre o modelo definitivo, com resultados apresentados no capítulo de Testes e Análise dos Resultados. Todo o procedimento é coberto por testes automatizados que verificam, entre outras propriedades, a aditividade dos valores SHAP em relação à predição do modelo.</w:t>
      </w:r>
    </w:p>
    <w:p w14:paraId="7786F594">
      <w:pPr>
        <w:pStyle w:val="3"/>
      </w:pPr>
      <w:r>
        <w:t>Práticas de Engenharia de Software Aplicadas</w:t>
      </w:r>
    </w:p>
    <w:p w14:paraId="4293CCC0">
      <w:r>
        <w:t>Ao longo de todas as fases foram aplicadas práticas de engenharia de software que sustentam a qualidade e a reprodutibilidade do pipeline:</w:t>
      </w:r>
    </w:p>
    <w:p w14:paraId="1C5B10AD">
      <w:r>
        <w:t>a) Controle de versão: todo o código, os scripts de análise e os relatórios técnicos são versionados com Git e hospedados no GitHub, com commits que marcam a conclusão de cada fase e branches para frentes de trabalho específicas;</w:t>
      </w:r>
    </w:p>
    <w:p w14:paraId="1ABF7CA5">
      <w:r>
        <w:t>b) Testes automatizados: os módulos de ETL e de modelagem são cobertos por testes unitários com pytest (test_etl_filters.py, test_panel.py, test_taxas.py, test_build_target.py, test_models.py e test_explain.py), que validam os filtros do universo, a integridade do painel longitudinal, o parser das Taxas de Rendimento, a métrica Precision@K e o não-vazamento de municípios entre os folds da validação cruzada e a aditividade dos valores SHAP, prevenindo regressões a cada alteração no pipeline;</w:t>
      </w:r>
    </w:p>
    <w:p w14:paraId="76D3E22F">
      <w:r>
        <w:t>c) Configuração centralizada: caminhos de dados, anos de referência e constantes do projeto são definidos em um único módulo (config.py), eliminando duplicação e facilitando a reexecução do pipeline em outros ambientes;</w:t>
      </w:r>
    </w:p>
    <w:p w14:paraId="27421B7D">
      <w:r>
        <w:t>d) Reprodutibilidade: o ambiente é isolado em um virtualenv com dependências fixadas em requirements.txt; os dados intermediários são persistidos em Parquet, permitindo reexecutar qualquer etapa isoladamente; e as figuras das análises são geradas por scripts determinísticos, e não manualmente;</w:t>
      </w:r>
    </w:p>
    <w:p w14:paraId="18315BC9">
      <w:r>
        <w:t>e) Documentação contínua: cada fase produz um relatório técnico (em Markdown e DOCX) que registra decisões, problemas encontrados e resultados, servindo de insumo direto para a redação desta monografia.</w:t>
      </w:r>
    </w:p>
    <w:p w14:paraId="443D998C">
      <w:pPr>
        <w:pStyle w:val="3"/>
      </w:pPr>
      <w:r>
        <w:t>Fases Subsequentes</w:t>
      </w:r>
    </w:p>
    <w:p w14:paraId="1CF13436">
      <w:r>
        <w:t>Concluídas a modelagem e a explicabilidade do modelo, resta como fase subsequente a construção do dashboard interativo em Streamlit voltado aos gestores da Secretaria Estadual de Educação, que consumirá o modelo serializado para produzir o ranking de risco e as explicações por escola, seguida do empacotamento da aplicação em contêiner para implantação. Os encaminhamentos de modelagem identificados ao longo do projeto — em especial o tratamento do viés de superpredição nas escolas de localização diferenciada e a ampliação da janela temporal à medida que novas edições do Censo sejam publicadas — são retomados no capítulo de conclusões.</w:t>
      </w:r>
    </w:p>
    <w:p w14:paraId="39C2FCC5">
      <w:pPr>
        <w:ind w:firstLine="0"/>
        <w:rPr>
          <w:color w:val="2E75B6" w:themeColor="accent5" w:themeShade="BF"/>
        </w:rPr>
      </w:pPr>
    </w:p>
    <w:p w14:paraId="40149C4C">
      <w:pPr>
        <w:ind w:firstLine="0"/>
        <w:rPr>
          <w:color w:val="2E75B6" w:themeColor="accent5" w:themeShade="BF"/>
        </w:rPr>
      </w:pPr>
    </w:p>
    <w:p w14:paraId="610421B7">
      <w:pPr>
        <w:ind w:firstLine="0"/>
        <w:rPr>
          <w:color w:val="auto"/>
        </w:rPr>
      </w:pPr>
    </w:p>
    <w:p w14:paraId="5BDD22AC">
      <w:pPr>
        <w:pStyle w:val="2"/>
      </w:pPr>
      <w:bookmarkStart w:id="12" w:name="_Toc112914773"/>
      <w:r>
        <w:t>ARQUITETURA DO SOFTWARE</w:t>
      </w:r>
      <w:bookmarkEnd w:id="12"/>
    </w:p>
    <w:p w14:paraId="179F67C0">
      <w:pPr>
        <w:ind w:firstLine="0"/>
        <w:rPr>
          <w:color w:val="auto"/>
        </w:rPr>
      </w:pPr>
    </w:p>
    <w:p w14:paraId="174A4FA8">
      <w:pPr>
        <w:ind w:firstLine="0"/>
        <w:rPr>
          <w:color w:val="auto"/>
        </w:rPr>
      </w:pPr>
      <w:r>
        <w:rPr>
          <w:color w:val="2E75B6" w:themeColor="accent5" w:themeShade="BF"/>
        </w:rPr>
        <w:t>&lt;apresentar a arquitetura do software desenvolvido. Utilizar algum framework de representação arquitetural. A sugestão de subseções abaixo segue o modelo “4+1” de Kruchten</w:t>
      </w:r>
      <w:r>
        <w:rPr>
          <w:rStyle w:val="16"/>
          <w:color w:val="2E75B6" w:themeColor="accent5" w:themeShade="BF"/>
        </w:rPr>
        <w:footnoteReference w:id="0"/>
      </w:r>
      <w:r>
        <w:rPr>
          <w:color w:val="2E75B6" w:themeColor="accent5" w:themeShade="BF"/>
        </w:rPr>
        <w:t>. Dependendo do tipo de projeto outro modelo ou padrão de arquitetural poderá ser utilizado. Uma linguagem de descrição arquitetural (ADL</w:t>
      </w:r>
      <w:r>
        <w:rPr>
          <w:rStyle w:val="16"/>
          <w:color w:val="2E75B6" w:themeColor="accent5" w:themeShade="BF"/>
        </w:rPr>
        <w:footnoteReference w:id="1"/>
      </w:r>
      <w:r>
        <w:rPr>
          <w:color w:val="2E75B6" w:themeColor="accent5" w:themeShade="BF"/>
        </w:rPr>
        <w:t>, Architecture description language) deverá ser usada para apresentar as visões arquiteturais do sistema de software&gt;</w:t>
      </w:r>
    </w:p>
    <w:p w14:paraId="066002F0">
      <w:pPr>
        <w:ind w:firstLine="0"/>
        <w:rPr>
          <w:color w:val="auto"/>
        </w:rPr>
      </w:pPr>
    </w:p>
    <w:p w14:paraId="3480600E">
      <w:pPr>
        <w:pStyle w:val="3"/>
      </w:pPr>
      <w:bookmarkStart w:id="13" w:name="_Toc112914774"/>
      <w:r>
        <w:t>Aspectos Funcionais e Não-Funcionais</w:t>
      </w:r>
      <w:bookmarkEnd w:id="13"/>
    </w:p>
    <w:p w14:paraId="701271A7">
      <w:pPr>
        <w:ind w:firstLine="0"/>
        <w:rPr>
          <w:color w:val="auto"/>
        </w:rPr>
      </w:pPr>
    </w:p>
    <w:p w14:paraId="671FE853">
      <w:pPr>
        <w:ind w:firstLine="0"/>
        <w:rPr>
          <w:color w:val="auto"/>
        </w:rPr>
      </w:pPr>
      <w:r>
        <w:rPr>
          <w:color w:val="2E75B6" w:themeColor="accent5" w:themeShade="BF"/>
        </w:rPr>
        <w:t>&lt;discussão dos principais requisitos funcionais e não funcionais do sistema proposto. Recomenda-se usar o diagrama de casos de uso UML&gt;</w:t>
      </w:r>
    </w:p>
    <w:p w14:paraId="1659D500">
      <w:pPr>
        <w:ind w:firstLine="0"/>
        <w:rPr>
          <w:color w:val="auto"/>
        </w:rPr>
      </w:pPr>
    </w:p>
    <w:p w14:paraId="34D62FE2">
      <w:pPr>
        <w:ind w:firstLine="0"/>
        <w:rPr>
          <w:color w:val="auto"/>
        </w:rPr>
      </w:pPr>
    </w:p>
    <w:p w14:paraId="042C8D68">
      <w:pPr>
        <w:pStyle w:val="3"/>
      </w:pPr>
      <w:bookmarkStart w:id="14" w:name="_Toc112914775"/>
      <w:r>
        <w:t>Visão Estrutural</w:t>
      </w:r>
      <w:bookmarkEnd w:id="14"/>
    </w:p>
    <w:p w14:paraId="41209896">
      <w:pPr>
        <w:ind w:firstLine="0"/>
        <w:rPr>
          <w:color w:val="auto"/>
        </w:rPr>
      </w:pPr>
    </w:p>
    <w:p w14:paraId="2B301EC0">
      <w:pPr>
        <w:ind w:firstLine="0"/>
        <w:rPr>
          <w:color w:val="auto"/>
        </w:rPr>
      </w:pPr>
      <w:r>
        <w:rPr>
          <w:color w:val="2E75B6" w:themeColor="accent5" w:themeShade="BF"/>
        </w:rPr>
        <w:t>&lt;visão estrutural do software. Recomenda-se usar os seguintes diagramas da UML: diagrama de pacotes, diagrama de componentes e diagrama de classes&gt;</w:t>
      </w:r>
    </w:p>
    <w:p w14:paraId="79F5752E">
      <w:pPr>
        <w:ind w:firstLine="0"/>
        <w:rPr>
          <w:color w:val="auto"/>
        </w:rPr>
      </w:pPr>
    </w:p>
    <w:p w14:paraId="4D3F8CB1">
      <w:pPr>
        <w:pStyle w:val="3"/>
      </w:pPr>
      <w:bookmarkStart w:id="15" w:name="_Toc112914776"/>
      <w:r>
        <w:t>Visão Comportamental</w:t>
      </w:r>
      <w:bookmarkEnd w:id="15"/>
    </w:p>
    <w:p w14:paraId="7A43DA17">
      <w:pPr>
        <w:ind w:firstLine="0"/>
        <w:rPr>
          <w:color w:val="auto"/>
        </w:rPr>
      </w:pPr>
    </w:p>
    <w:p w14:paraId="13E541BE">
      <w:pPr>
        <w:ind w:firstLine="0"/>
        <w:rPr>
          <w:color w:val="auto"/>
        </w:rPr>
      </w:pPr>
      <w:r>
        <w:rPr>
          <w:color w:val="2E75B6" w:themeColor="accent5" w:themeShade="BF"/>
        </w:rPr>
        <w:t>&lt;visão comportamental do software. Recomenda-se usar os seguintes diagramas da UML: diagrama de interação, diagrama de atividades e diagrama de estados&gt;</w:t>
      </w:r>
    </w:p>
    <w:p w14:paraId="4F048096">
      <w:pPr>
        <w:ind w:firstLine="0"/>
        <w:rPr>
          <w:color w:val="auto"/>
        </w:rPr>
      </w:pPr>
    </w:p>
    <w:p w14:paraId="1CE6E338">
      <w:pPr>
        <w:pStyle w:val="3"/>
      </w:pPr>
      <w:bookmarkStart w:id="16" w:name="_Toc112914777"/>
      <w:r>
        <w:t>Visão de Implementação e Implantação</w:t>
      </w:r>
      <w:bookmarkEnd w:id="16"/>
    </w:p>
    <w:p w14:paraId="104BC12F">
      <w:pPr>
        <w:ind w:firstLine="0"/>
        <w:rPr>
          <w:color w:val="auto"/>
        </w:rPr>
      </w:pPr>
    </w:p>
    <w:p w14:paraId="3E98E1E7">
      <w:pPr>
        <w:ind w:firstLine="0"/>
        <w:rPr>
          <w:color w:val="auto"/>
        </w:rPr>
      </w:pPr>
      <w:r>
        <w:rPr>
          <w:color w:val="2E75B6" w:themeColor="accent5" w:themeShade="BF"/>
        </w:rPr>
        <w:t>&lt;visão da implementação dos componentes de software e sua distribuição em diferentes nós da rede (implantação). Recomenda-se usar o diagrama de implantação UML&gt;</w:t>
      </w:r>
    </w:p>
    <w:p w14:paraId="02E9A183">
      <w:pPr>
        <w:pStyle w:val="2"/>
      </w:pPr>
      <w:bookmarkStart w:id="17" w:name="_Toc112914778"/>
      <w:r>
        <w:t>TECNOLOGIAS E ASPECTOS DE IMPLEMENTAÇÃO</w:t>
      </w:r>
      <w:bookmarkEnd w:id="17"/>
    </w:p>
    <w:p w14:paraId="0B5705B6">
      <w:pPr>
        <w:ind w:firstLine="0"/>
        <w:rPr>
          <w:color w:val="auto"/>
        </w:rPr>
      </w:pPr>
    </w:p>
    <w:p w14:paraId="42220767">
      <w:pPr>
        <w:ind w:firstLine="0"/>
        <w:rPr>
          <w:color w:val="auto"/>
        </w:rPr>
      </w:pPr>
      <w:r>
        <w:rPr>
          <w:color w:val="2E75B6" w:themeColor="accent5" w:themeShade="BF"/>
        </w:rPr>
        <w:t>&lt;descrever as soluções tecnológicas e os aspectos de implementação do protótipo funcional desenvolvido durante o projeto.&gt;</w:t>
      </w:r>
    </w:p>
    <w:p w14:paraId="1E63FDDC">
      <w:pPr>
        <w:ind w:firstLine="0"/>
        <w:rPr>
          <w:color w:val="auto"/>
        </w:rPr>
      </w:pPr>
    </w:p>
    <w:p w14:paraId="35B2AD07">
      <w:pPr>
        <w:pStyle w:val="3"/>
      </w:pPr>
      <w:bookmarkStart w:id="18" w:name="_Toc112914779"/>
      <w:r>
        <w:t>Soluções de Tecnologia</w:t>
      </w:r>
      <w:bookmarkEnd w:id="18"/>
    </w:p>
    <w:p w14:paraId="34B01107">
      <w:pPr>
        <w:ind w:firstLine="0"/>
        <w:rPr>
          <w:color w:val="auto"/>
        </w:rPr>
      </w:pPr>
    </w:p>
    <w:p w14:paraId="404C4505">
      <w:pPr>
        <w:ind w:firstLine="0"/>
        <w:rPr>
          <w:color w:val="auto"/>
        </w:rPr>
      </w:pPr>
    </w:p>
    <w:p w14:paraId="3E7E12C1">
      <w:pPr>
        <w:ind w:firstLine="0"/>
        <w:rPr>
          <w:color w:val="auto"/>
        </w:rPr>
      </w:pPr>
    </w:p>
    <w:p w14:paraId="05F46C5C">
      <w:pPr>
        <w:pStyle w:val="3"/>
      </w:pPr>
      <w:bookmarkStart w:id="19" w:name="_Toc112914780"/>
      <w:r>
        <w:t>Aspectos de Implementação</w:t>
      </w:r>
      <w:bookmarkEnd w:id="19"/>
    </w:p>
    <w:p w14:paraId="7B53DCBC">
      <w:pPr>
        <w:pStyle w:val="2"/>
      </w:pPr>
      <w:bookmarkStart w:id="20" w:name="_Toc112914781"/>
      <w:r>
        <w:t>TESTES E ANÁLISE DOS RESULTADOS</w:t>
      </w:r>
      <w:bookmarkEnd w:id="20"/>
    </w:p>
    <w:p w14:paraId="2B879CE6">
      <w:pPr>
        <w:ind w:firstLine="0"/>
        <w:rPr>
          <w:color w:val="auto"/>
        </w:rPr>
      </w:pPr>
    </w:p>
    <w:p>
      <w:r>
        <w:t>Este capítulo apresenta os testes realizados e os resultados obtidos até a conclusão do tuning do modelo principal. A primeira seção descreve os testes de software que asseguram a corretude do pipeline de dados e de modelagem; as seções seguintes apresentam a avaliação experimental dos modelos preditivos — dos baselines ao XGBoost definitivo —, com ênfase na capacidade de priorização de escolas em risco, o propósito central do sistema. A última seção apresenta a explicabilidade do modelo com SHAP e o diagnóstico de equidade sobre o modelo definitivo.</w:t>
      </w:r>
    </w:p>
    <w:p>
      <w:pPr>
        <w:pStyle w:val="3"/>
      </w:pPr>
      <w:r>
        <w:t>Testes de Software</w:t>
      </w:r>
    </w:p>
    <w:p>
      <w:r>
        <w:t>A corretude do pipeline é assegurada por uma suíte de 66 testes unitários automatizados com pytest, executada integralmente a cada alteração — todos aprovados na última execução. Em sistemas de aprendizado de máquina, erros de engenharia de dados frequentemente não lançam exceções: produzem modelos silenciosamente inválidos. Por essa razão, os testes concentram-se nos riscos que comprometeriam a validade científica dos resultados, resumidos no quadro a seguir.</w:t>
      </w:r>
    </w:p>
    <w:p>
      <w:pPr>
        <w:pStyle w:val="28"/>
      </w:pPr>
      <w:r>
        <w:t>Quadro – Módulos de teste e riscos cobertos</w:t>
      </w:r>
    </w:p>
    <w:tbl>
      <w:tblPr>
        <w:tblStyle w:val="33"/>
        <w:tblW w:type="auto" w:w="0"/>
        <w:tblLook w:firstColumn="1" w:firstRow="1" w:lastColumn="0" w:lastRow="0" w:noHBand="0" w:noVBand="1" w:val="04A0"/>
      </w:tblPr>
      <w:tblGrid>
        <w:gridCol w:w="4535"/>
        <w:gridCol w:w="4535"/>
      </w:tblGrid>
      <w:tr>
        <w:tc>
          <w:tcPr>
            <w:tcW w:type="dxa" w:w="2551"/>
          </w:tcPr>
          <w:p>
            <w:r>
              <w:rPr>
                <w:b/>
                <w:sz w:val="20"/>
              </w:rPr>
              <w:t>Módulo</w:t>
            </w:r>
          </w:p>
        </w:tc>
        <w:tc>
          <w:tcPr>
            <w:tcW w:type="dxa" w:w="6236"/>
          </w:tcPr>
          <w:p>
            <w:r>
              <w:rPr>
                <w:b/>
                <w:sz w:val="20"/>
              </w:rPr>
              <w:t>Risco coberto</w:t>
            </w:r>
          </w:p>
        </w:tc>
      </w:tr>
      <w:tr>
        <w:tc>
          <w:tcPr>
            <w:tcW w:type="dxa" w:w="2551"/>
          </w:tcPr>
          <w:p>
            <w:r>
              <w:rPr>
                <w:sz w:val="20"/>
              </w:rPr>
              <w:t>test_etl_filters.py</w:t>
            </w:r>
          </w:p>
        </w:tc>
        <w:tc>
          <w:tcPr>
            <w:tcW w:type="dxa" w:w="6236"/>
          </w:tcPr>
          <w:p>
            <w:r>
              <w:rPr>
                <w:sz w:val="20"/>
              </w:rPr>
              <w:t>Filtros do universo de estudo (PE, rede estadual, escolas ativas com Ensino Médio)</w:t>
            </w:r>
          </w:p>
        </w:tc>
      </w:tr>
      <w:tr>
        <w:tc>
          <w:tcPr>
            <w:tcW w:type="dxa" w:w="2551"/>
          </w:tcPr>
          <w:p>
            <w:r>
              <w:rPr>
                <w:sz w:val="20"/>
              </w:rPr>
              <w:t>test_panel.py</w:t>
            </w:r>
          </w:p>
        </w:tc>
        <w:tc>
          <w:tcPr>
            <w:tcW w:type="dxa" w:w="6236"/>
          </w:tcPr>
          <w:p>
            <w:r>
              <w:rPr>
                <w:sz w:val="20"/>
              </w:rPr>
              <w:t>Integridade do painel longitudinal escola×ano</w:t>
            </w:r>
          </w:p>
        </w:tc>
      </w:tr>
      <w:tr>
        <w:tc>
          <w:tcPr>
            <w:tcW w:type="dxa" w:w="2551"/>
          </w:tcPr>
          <w:p>
            <w:r>
              <w:rPr>
                <w:sz w:val="20"/>
              </w:rPr>
              <w:t>test_taxas.py</w:t>
            </w:r>
          </w:p>
        </w:tc>
        <w:tc>
          <w:tcPr>
            <w:tcW w:type="dxa" w:w="6236"/>
          </w:tcPr>
          <w:p>
            <w:r>
              <w:rPr>
                <w:sz w:val="20"/>
              </w:rPr>
              <w:t>Parser das Taxas de Rendimento do INEP (cabeçalhos não padronizados e células sentinela '--')</w:t>
            </w:r>
          </w:p>
        </w:tc>
      </w:tr>
      <w:tr>
        <w:tc>
          <w:tcPr>
            <w:tcW w:type="dxa" w:w="2551"/>
          </w:tcPr>
          <w:p>
            <w:r>
              <w:rPr>
                <w:sz w:val="20"/>
              </w:rPr>
              <w:t>test_build_target.py</w:t>
            </w:r>
          </w:p>
        </w:tc>
        <w:tc>
          <w:tcPr>
            <w:tcW w:type="dxa" w:w="6236"/>
          </w:tcPr>
          <w:p>
            <w:r>
              <w:rPr>
                <w:sz w:val="20"/>
              </w:rPr>
              <w:t>Join temporal do target: features do ano t casadas com o abandono de t+1 — um erro de deslocamento de um ano produziria um modelo sem valor preditivo, sem qualquer sintoma em tempo de execução</w:t>
            </w:r>
          </w:p>
        </w:tc>
      </w:tr>
      <w:tr>
        <w:tc>
          <w:tcPr>
            <w:tcW w:type="dxa" w:w="2551"/>
          </w:tcPr>
          <w:p>
            <w:r>
              <w:rPr>
                <w:sz w:val="20"/>
              </w:rPr>
              <w:t>test_models.py</w:t>
            </w:r>
          </w:p>
        </w:tc>
        <w:tc>
          <w:tcPr>
            <w:tcW w:type="dxa" w:w="6236"/>
          </w:tcPr>
          <w:p>
            <w:r>
              <w:rPr>
                <w:sz w:val="20"/>
              </w:rPr>
              <w:t>Métrica Precision@K; não-vazamento de municípios entre treino e teste na validação cruzada; partição temporal sem sobreposição; predições na escala original sob transformação do target</w:t>
            </w:r>
          </w:p>
        </w:tc>
      </w:tr>
    </w:tbl>
    <w:p>
      <w:pPr>
        <w:pStyle w:val="28"/>
      </w:pPr>
      <w:r>
        <w:t>Fonte: elaborado pelo autor.</w:t>
      </w:r>
    </w:p>
    <w:p>
      <w:pPr>
        <w:pStyle w:val="3"/>
      </w:pPr>
      <w:r>
        <w:t>Protocolo de Avaliação Experimental</w:t>
      </w:r>
    </w:p>
    <w:p>
      <w:r>
        <w:t>Os modelos foram avaliados sob dois protocolos complementares. O primeiro é a validação cruzada agrupada por município (GroupKFold com cinco folds), repetida em vinte partições aleatórias distintas (GroupShuffleSplit com 20% dos municípios em teste) para estimar o erro padrão e intervalos de confiança de 95% das métricas. O agrupamento por município impede que escolas vizinhas apareçam simultaneamente em treino e teste, mitigando o risco de autocorrelação espacial inflar as métricas. O segundo protocolo é a validação temporal, que simula o uso real do sistema: o modelo é treinado com o par 2022→2023 (797 observações) e testado no par 2023→2024 (789 observações), nunca vistas no treino.</w:t>
      </w:r>
    </w:p>
    <w:p>
      <w:r>
        <w:t>As métricas seguem a metodologia: RMSE, MAE e R² medem o erro de magnitude da taxa predita; a correlação de Spearman e a Precision@K (K = 10% das escolas) medem a qualidade do ordenamento — dimensão diretamente alinhada à pergunta de pesquisa, formulada como problema de priorização. Três modelos foram comparados: um DummyRegressor que prediz a média do treino (piso trivial), a regressão Ridge (alfa=100, target em raiz quadrada) e o Random Forest (300 árvores, profundidade máxima 8, mínimo de 5 observações por folha), com hiperparâmetros selecionados por busca em grade sob a mesma validação agrupada.</w:t>
      </w:r>
    </w:p>
    <w:p>
      <w:pPr>
        <w:pStyle w:val="3"/>
      </w:pPr>
      <w:r>
        <w:t>Desempenho dos Modelos Baseline</w:t>
      </w:r>
    </w:p>
    <w:p>
      <w:r>
        <w:t>O quadro a seguir apresenta as métricas centrais sob validação cruzada repetida (média e intervalo de confiança de 95% das vinte repetições), já incluindo o XGBoost definitivo. Os três modelos superam o piso trivial com folga em todas as métricas; o XGBoost obtém a maior correlação de Spearman, enquanto o Random Forest mantém o menor RMSE.</w:t>
      </w:r>
    </w:p>
    <w:p>
      <w:pPr>
        <w:pStyle w:val="28"/>
      </w:pPr>
      <w:r>
        <w:t>Quadro – Métricas em validação cruzada agrupada repetida (20 repetições, IC 95%)</w:t>
      </w:r>
    </w:p>
    <w:tbl>
      <w:tblPr>
        <w:tblStyle w:val="33"/>
        <w:tblW w:type="auto" w:w="0"/>
        <w:tblLook w:firstColumn="1" w:firstRow="1" w:lastColumn="0" w:lastRow="0" w:noHBand="0" w:noVBand="1" w:val="04A0"/>
      </w:tblPr>
      <w:tblGrid>
        <w:gridCol w:w="2268"/>
        <w:gridCol w:w="2268"/>
        <w:gridCol w:w="2268"/>
        <w:gridCol w:w="2268"/>
      </w:tblGrid>
      <w:tr>
        <w:tc>
          <w:tcPr>
            <w:tcW w:type="dxa" w:w="1984"/>
          </w:tcPr>
          <w:p>
            <w:r>
              <w:rPr>
                <w:b/>
                <w:sz w:val="20"/>
              </w:rPr>
              <w:t>Modelo</w:t>
            </w:r>
          </w:p>
        </w:tc>
        <w:tc>
          <w:tcPr>
            <w:tcW w:type="dxa" w:w="2268"/>
          </w:tcPr>
          <w:p>
            <w:r>
              <w:rPr>
                <w:b/>
                <w:sz w:val="20"/>
              </w:rPr>
              <w:t>RMSE (p.p.)</w:t>
            </w:r>
          </w:p>
        </w:tc>
        <w:tc>
          <w:tcPr>
            <w:tcW w:type="dxa" w:w="2268"/>
          </w:tcPr>
          <w:p>
            <w:r>
              <w:rPr>
                <w:b/>
                <w:sz w:val="20"/>
              </w:rPr>
              <w:t>Spearman</w:t>
            </w:r>
          </w:p>
        </w:tc>
        <w:tc>
          <w:tcPr>
            <w:tcW w:type="dxa" w:w="2268"/>
          </w:tcPr>
          <w:p>
            <w:r>
              <w:rPr>
                <w:b/>
                <w:sz w:val="20"/>
              </w:rPr>
              <w:t>Precision@K</w:t>
            </w:r>
          </w:p>
        </w:tc>
      </w:tr>
      <w:tr>
        <w:tc>
          <w:tcPr>
            <w:tcW w:type="dxa" w:w="1984"/>
          </w:tcPr>
          <w:p>
            <w:r>
              <w:rPr>
                <w:sz w:val="20"/>
              </w:rPr>
              <w:t>Dummy (média)</w:t>
            </w:r>
          </w:p>
        </w:tc>
        <w:tc>
          <w:tcPr>
            <w:tcW w:type="dxa" w:w="2268"/>
          </w:tcPr>
          <w:p>
            <w:r>
              <w:rPr>
                <w:sz w:val="20"/>
              </w:rPr>
              <w:t>3,154 [2,730; 3,577]</w:t>
            </w:r>
          </w:p>
        </w:tc>
        <w:tc>
          <w:tcPr>
            <w:tcW w:type="dxa" w:w="2268"/>
          </w:tcPr>
          <w:p>
            <w:r>
              <w:rPr>
                <w:sz w:val="20"/>
              </w:rPr>
              <w:t>—</w:t>
            </w:r>
          </w:p>
        </w:tc>
        <w:tc>
          <w:tcPr>
            <w:tcW w:type="dxa" w:w="2268"/>
          </w:tcPr>
          <w:p>
            <w:r>
              <w:rPr>
                <w:sz w:val="20"/>
              </w:rPr>
              <w:t>0,068 [0,040; 0,096]</w:t>
            </w:r>
          </w:p>
        </w:tc>
      </w:tr>
      <w:tr>
        <w:tc>
          <w:tcPr>
            <w:tcW w:type="dxa" w:w="1984"/>
          </w:tcPr>
          <w:p>
            <w:r>
              <w:rPr>
                <w:sz w:val="20"/>
              </w:rPr>
              <w:t>Ridge</w:t>
            </w:r>
          </w:p>
        </w:tc>
        <w:tc>
          <w:tcPr>
            <w:tcW w:type="dxa" w:w="2268"/>
          </w:tcPr>
          <w:p>
            <w:r>
              <w:rPr>
                <w:sz w:val="20"/>
              </w:rPr>
              <w:t>2,627 [2,348; 2,905]</w:t>
            </w:r>
          </w:p>
        </w:tc>
        <w:tc>
          <w:tcPr>
            <w:tcW w:type="dxa" w:w="2268"/>
          </w:tcPr>
          <w:p>
            <w:r>
              <w:rPr>
                <w:sz w:val="20"/>
              </w:rPr>
              <w:t>0,426 [0,391; 0,461]</w:t>
            </w:r>
          </w:p>
        </w:tc>
        <w:tc>
          <w:tcPr>
            <w:tcW w:type="dxa" w:w="2268"/>
          </w:tcPr>
          <w:p>
            <w:r>
              <w:rPr>
                <w:sz w:val="20"/>
              </w:rPr>
              <w:t>0,516 [0,477; 0,556]</w:t>
            </w:r>
          </w:p>
        </w:tc>
      </w:tr>
      <w:tr>
        <w:tc>
          <w:tcPr>
            <w:tcW w:type="dxa" w:w="1984"/>
          </w:tcPr>
          <w:p>
            <w:r>
              <w:rPr>
                <w:sz w:val="20"/>
              </w:rPr>
              <w:t>Random Forest</w:t>
            </w:r>
          </w:p>
        </w:tc>
        <w:tc>
          <w:tcPr>
            <w:tcW w:type="dxa" w:w="2268"/>
          </w:tcPr>
          <w:p>
            <w:r>
              <w:rPr>
                <w:sz w:val="20"/>
              </w:rPr>
              <w:t>2,546 [2,281; 2,812]</w:t>
            </w:r>
          </w:p>
        </w:tc>
        <w:tc>
          <w:tcPr>
            <w:tcW w:type="dxa" w:w="2268"/>
          </w:tcPr>
          <w:p>
            <w:r>
              <w:rPr>
                <w:sz w:val="20"/>
              </w:rPr>
              <w:t>0,431 [0,399; 0,463]</w:t>
            </w:r>
          </w:p>
        </w:tc>
        <w:tc>
          <w:tcPr>
            <w:tcW w:type="dxa" w:w="2268"/>
          </w:tcPr>
          <w:p>
            <w:r>
              <w:rPr>
                <w:sz w:val="20"/>
              </w:rPr>
              <w:t>0,500 [0,457; 0,544]</w:t>
            </w:r>
          </w:p>
        </w:tc>
      </w:tr>
      <w:tr>
        <w:tc>
          <w:tcPr>
            <w:tcW w:type="dxa" w:w="2268"/>
          </w:tcPr>
          <w:p>
            <w:r>
              <w:rPr>
                <w:sz w:val="20"/>
              </w:rPr>
              <w:t>XGBoost</w:t>
            </w:r>
          </w:p>
        </w:tc>
        <w:tc>
          <w:tcPr>
            <w:tcW w:type="dxa" w:w="2268"/>
          </w:tcPr>
          <w:p>
            <w:r>
              <w:rPr>
                <w:sz w:val="20"/>
              </w:rPr>
              <w:t>2,695 [2,397; 2,992]</w:t>
            </w:r>
          </w:p>
        </w:tc>
        <w:tc>
          <w:tcPr>
            <w:tcW w:type="dxa" w:w="2268"/>
          </w:tcPr>
          <w:p>
            <w:r>
              <w:rPr>
                <w:sz w:val="20"/>
              </w:rPr>
              <w:t>0,458 [0,428; 0,488]</w:t>
            </w:r>
          </w:p>
        </w:tc>
        <w:tc>
          <w:tcPr>
            <w:tcW w:type="dxa" w:w="2268"/>
          </w:tcPr>
          <w:p>
            <w:r>
              <w:rPr>
                <w:sz w:val="20"/>
              </w:rPr>
              <w:t>0,499 [0,463; 0,535]</w:t>
            </w:r>
          </w:p>
        </w:tc>
      </w:tr>
    </w:tbl>
    <w:p>
      <w:pPr>
        <w:pStyle w:val="28"/>
      </w:pPr>
      <w:r>
        <w:t>Fonte: elaborado pelo autor.</w:t>
      </w:r>
    </w:p>
    <w:p>
      <w:r>
        <w:t>A comparação pareada entre os dois baselines, calculada repetição a repetição, mostra que o Random Forest é significativamente melhor que o Ridge em RMSE (diferença de −0,080 com IC 95% de ±0,065, que exclui zero), mas que os dois estão estatisticamente empatados em qualidade de ranking (diferença de Spearman de +0,005 ± 0,023). As transformações do target (logaritmo e raiz quadrada) tiveram efeito marginal, com leve trade-off: comprimem a cauda e melhoram o ranking, mas pioram a calibração das escolas de abandono mais alto.</w:t>
      </w:r>
    </w:p>
    <w:p>
      <w:r>
        <w:t>Na validação temporal emergiu o achado mais relevante desta etapa: houve deslocamento de distribuição entre os ciclos — o abandono médio caiu de 2023 para 2024 — e, em consequência, nenhum modelo superou o piso trivial em RMSE (R² negativo), pois todos erram sistematicamente o nível da taxa. As métricas de ordenamento, contudo, mantiveram-se muito superiores ao piso: Spearman de 0,370 e Precision@K de 0,418, contra 0,089 do Dummy. O modelo continua identificando corretamente quais escolas terão abandono elevado, ainda que erre a magnitude. Para o propósito do sistema — priorizar intervenções — é a capacidade de ordenamento que importa; a limitação de magnitude, decorrente da janela curta de dados (dois pares de anos), será tratada na fase de tuning e está registrada como limitação do estudo.</w:t>
      </w:r>
    </w:p>
    <w:p>
      <w:pPr>
        <w:pStyle w:val="3"/>
      </w:pPr>
      <w:r>
        <w:t>Capacidade de Priorização de Escolas em Risco</w:t>
      </w:r>
    </w:p>
    <w:p>
      <w:r>
        <w:t>Do ponto de vista do usuário-alvo — o gestor da Secretaria Estadual de Educação — a pergunta operacional é: intervindo em K escolas indicadas pelo sistema, quantas das escolas realmente críticas são alcançadas? A análise de ranking flexível responde a essa pergunta variando K sem retreinar o modelo, propriedade que motivou a escolha por regressão. Definindo como críticas as escolas do decil superior de abandono em 2024, a priorização das top-50 escolas indicadas alcança de 28% a 30% das críticas — cinco vezes mais que uma seleção aleatória (6%); com as top-150, cerca de dois terços das escolas críticas são alcançados.</w:t>
      </w:r>
    </w:p>
    <w:p>
      <w:pPr>
        <w:pStyle w:val="28"/>
      </w:pPr>
      <w:r>
        <w:t>Figura – Precision@K e captura de escolas críticas por tamanho da lista de priorização (teste temporal 2023→2024)</w:t>
      </w:r>
    </w:p>
    <w:p>
      <w:pPr>
        <w:jc w:val="center"/>
      </w:pPr>
      <w:r>
        <w:drawing>
          <wp:inline xmlns:a="http://schemas.openxmlformats.org/drawingml/2006/main" xmlns:pic="http://schemas.openxmlformats.org/drawingml/2006/picture">
            <wp:extent cx="5400000" cy="2066184"/>
            <wp:docPr id="5" name="Picture 5"/>
            <wp:cNvGraphicFramePr>
              <a:graphicFrameLocks noChangeAspect="1"/>
            </wp:cNvGraphicFramePr>
            <a:graphic>
              <a:graphicData uri="http://schemas.openxmlformats.org/drawingml/2006/picture">
                <pic:pic>
                  <pic:nvPicPr>
                    <pic:cNvPr id="0" name="M5_precision_por_k.png"/>
                    <pic:cNvPicPr/>
                  </pic:nvPicPr>
                  <pic:blipFill>
                    <a:blip r:embed="rId15"/>
                    <a:stretch>
                      <a:fillRect/>
                    </a:stretch>
                  </pic:blipFill>
                  <pic:spPr>
                    <a:xfrm>
                      <a:off x="0" y="0"/>
                      <a:ext cx="5400000" cy="2066184"/>
                    </a:xfrm>
                    <a:prstGeom prst="rect"/>
                  </pic:spPr>
                </pic:pic>
              </a:graphicData>
            </a:graphic>
          </wp:inline>
        </w:drawing>
      </w:r>
    </w:p>
    <w:p>
      <w:pPr>
        <w:pStyle w:val="28"/>
      </w:pPr>
      <w:r>
        <w:t>Fonte: elaborado pelo autor.</w:t>
      </w:r>
    </w:p>
    <w:p>
      <w:r>
        <w:t>Para permitir comparação com a literatura — que majoritariamente trata evasão como classificação binária — realizou-se avaliação binarizada pós-hoc, usando as predições contínuas como scores de risco. Os baselines alcançaram ROC-AUC de 0,812 (Ridge) e 0,829 (Random Forest), valores na faixa tipicamente reportada em estudos de predição de evasão (AUC ≈ 0,80), e PR-AUC de 0,34 — 3,4 vezes a prevalência de 10%. Trata-se de referência externa de qualidade obtida antes mesmo do tuning do modelo principal.</w:t>
      </w:r>
    </w:p>
    <w:p>
      <w:pPr>
        <w:pStyle w:val="3"/>
      </w:pPr>
      <w:r>
        <w:t>Análise de Resíduos e Equidade do Modelo</w:t>
      </w:r>
    </w:p>
    <w:p>
      <w:r>
        <w:t>A análise de resíduos (real − predito) no teste temporal antecipa a pergunta secundária de pesquisa e revelou um achado com implicação direta de equidade: o modelo apresenta viés sistemático por grupo. Escolas urbanas têm abandono levemente subpredito (resíduo médio de +0,42 ponto percentual), escolas rurais têm abandono superpredito (−1,02 p.p.) e, de forma acentuada, escolas em localização diferenciada — terras indígenas e comunidades quilombolas — têm superpredição de −4,09 p.p. (n=41): seu perfil contextual (rural, nível socioeconômico baixo, distorção idade-série alta) está associado a abandono elevado, mas o abandono observado é próximo de zero.</w:t>
      </w:r>
    </w:p>
    <w:p>
      <w:pPr>
        <w:pStyle w:val="28"/>
      </w:pPr>
      <w:r>
        <w:t>Figura – Distribuição dos resíduos por mesorregião e por tipo de localização (Ridge, teste temporal)</w:t>
      </w:r>
    </w:p>
    <w:p>
      <w:pPr>
        <w:jc w:val="center"/>
      </w:pPr>
      <w:r>
        <w:drawing>
          <wp:inline xmlns:a="http://schemas.openxmlformats.org/drawingml/2006/main" xmlns:pic="http://schemas.openxmlformats.org/drawingml/2006/picture">
            <wp:extent cx="5400000" cy="2072191"/>
            <wp:docPr id="6" name="Picture 6"/>
            <wp:cNvGraphicFramePr>
              <a:graphicFrameLocks noChangeAspect="1"/>
            </wp:cNvGraphicFramePr>
            <a:graphic>
              <a:graphicData uri="http://schemas.openxmlformats.org/drawingml/2006/picture">
                <pic:pic>
                  <pic:nvPicPr>
                    <pic:cNvPr id="0" name="M8_residuos_grupos.png"/>
                    <pic:cNvPicPr/>
                  </pic:nvPicPr>
                  <pic:blipFill>
                    <a:blip r:embed="rId16"/>
                    <a:stretch>
                      <a:fillRect/>
                    </a:stretch>
                  </pic:blipFill>
                  <pic:spPr>
                    <a:xfrm>
                      <a:off x="0" y="0"/>
                      <a:ext cx="5400000" cy="2072191"/>
                    </a:xfrm>
                    <a:prstGeom prst="rect"/>
                  </pic:spPr>
                </pic:pic>
              </a:graphicData>
            </a:graphic>
          </wp:inline>
        </w:drawing>
      </w:r>
    </w:p>
    <w:p>
      <w:pPr>
        <w:pStyle w:val="28"/>
      </w:pPr>
      <w:r>
        <w:t>Fonte: elaborado pelo autor.</w:t>
      </w:r>
    </w:p>
    <w:p>
      <w:r>
        <w:t>A interpretação provável é a existência de fatores protetivos de vínculo comunitário não capturados pelas variáveis disponíveis, consistente com a limitação declarada na metodologia sobre vieses não controlados. A consequência prática é que, sem correção, um sistema de priorização alocaria atenção excessiva a escolas indígenas e quilombolas que não estão de fato em risco. As vinte escolas com maior resíduo em cada direção foram persistidas como artefato para inspeção qualitativa na fase de explicabilidade, e a reavaliação desse viés sobre o modelo definitivo é apresentada na seção de explicabilidade, ao final deste capítulo.</w:t>
      </w:r>
    </w:p>
    <w:p>
      <w:pPr>
        <w:pStyle w:val="3"/>
      </w:pPr>
      <w:r>
        <w:t>Tuning e Desempenho do Modelo XGBoost</w:t>
      </w:r>
    </w:p>
    <w:p>
      <w:pPr/>
      <w:r>
        <w:t>O modelo definitivo do sistema é um XGBoost, obtido por busca em grade sob a mesma validação cruzada agrupada por município descrita no protocolo, com a configuração e o procedimento detalhados no capítulo de método. Sob a validação cruzada repetida apresentada anteriormente, o XGBoost obteve a maior correlação de Spearman entre todos os modelos (0,458, ante 0,431 do Random Forest e 0,426 do Ridge) e erro absoluto médio equivalente ao do melhor baseline, mas não reduziu o RMSE em relação ao Random Forest (2,695 contra 2,546). O ganho do modelo principal concentra-se, portanto, nas dimensões diretamente ligadas à priorização — a qualidade do ordenamento —, e não na magnitude do erro, captada pelo RMSE: comportamento esperado para uma amostra pequena, em que o XGBoost regularizado aprende a ordenar as escolas melhor do que a calibrar o nível absoluto da taxa.</w:t>
      </w:r>
    </w:p>
    <w:p>
      <w:pPr/>
      <w:r>
        <w:t>Na validação temporal — o protocolo que simula o uso real do sistema —, o XGBoost foi o melhor entre todos os modelos: RMSE de 2,62 pontos percentuais, erro absoluto médio de 0,95, correlação de Spearman de 0,390 e ROC-AUC de 0,830 na leitura binarizada pós-hoc, atingindo a meta de ROC-AUC ≥ 0,83 estabelecida a partir dos baselines. O R² permaneceu negativo (−0,10), porém o menos negativo entre os modelos avaliados: o tuning atenuou, sem eliminar, o deslocamento de nível entre ciclos identificado na fase baseline — a previsão da magnitude da taxa continua limitada pela janela curta de dois pares de anos, limitação registrada entre as limitações do estudo.</w:t>
      </w:r>
    </w:p>
    <w:p>
      <w:pPr/>
      <w:r>
        <w:t>A importância das variáveis por ganho, apresentada na figura a seguir, confirma os achados das fases anteriores: os preditores dominantes são a localização diferenciada da escola, o lag da taxa de abandono e a adequação da formação docente, seguidos da distorção idade-série — em consonância com as correlações observadas na integração dos indicadores. Os resíduos do XGBoost no teste temporal mantêm média próxima de zero (0,22 ponto percentual) e desvio-padrão de 2,61, sem padrão acentuado de heterocedasticidade; a reavaliação do viés de superpredição por grupo — em especial nas escolas de localização diferenciada, que figuram como a variável de maior importância e cujo abandono observado é próximo de zero — será aprofundada na fase de explicabilidade com SHAP.</w:t>
      </w:r>
    </w:p>
    <w:p>
      <w:pPr>
        <w:pStyle w:val="28"/>
      </w:pPr>
      <w:r>
        <w:t>Figura – Importância das variáveis (ganho) e resíduos do XGBoost na validação temporal</w:t>
      </w:r>
    </w:p>
    <w:p>
      <w:pPr>
        <w:jc w:val="center"/>
      </w:pPr>
      <w:r>
        <w:drawing>
          <wp:inline xmlns:a="http://schemas.openxmlformats.org/drawingml/2006/main" xmlns:pic="http://schemas.openxmlformats.org/drawingml/2006/picture">
            <wp:extent cx="5580000" cy="1984060"/>
            <wp:docPr id="7" name="Picture 7"/>
            <wp:cNvGraphicFramePr>
              <a:graphicFrameLocks noChangeAspect="1"/>
            </wp:cNvGraphicFramePr>
            <a:graphic>
              <a:graphicData uri="http://schemas.openxmlformats.org/drawingml/2006/picture">
                <pic:pic>
                  <pic:nvPicPr>
                    <pic:cNvPr id="0" name="X5_importancia_residuos.png"/>
                    <pic:cNvPicPr/>
                  </pic:nvPicPr>
                  <pic:blipFill>
                    <a:blip r:embed="rId17"/>
                    <a:stretch>
                      <a:fillRect/>
                    </a:stretch>
                  </pic:blipFill>
                  <pic:spPr>
                    <a:xfrm>
                      <a:off x="0" y="0"/>
                      <a:ext cx="5580000" cy="1984060"/>
                    </a:xfrm>
                    <a:prstGeom prst="rect"/>
                  </pic:spPr>
                </pic:pic>
              </a:graphicData>
            </a:graphic>
          </wp:inline>
        </w:drawing>
      </w:r>
    </w:p>
    <w:p>
      <w:pPr>
        <w:pStyle w:val="28"/>
      </w:pPr>
      <w:r>
        <w:t>Fonte: elaborado pelo autor.</w:t>
      </w:r>
    </w:p>
    <w:p>
      <w:pPr>
        <w:pStyle w:val="3"/>
      </w:pPr>
      <w:r>
        <w:t>Explicabilidade e Diagnóstico do Modelo com SHAP</w:t>
      </w:r>
    </w:p>
    <w:p>
      <w:pPr/>
      <w:r>
        <w:t>Enquanto a importância por ganho da seção anterior mede quanto cada variável reduz o erro nos pontos de divisão das árvores, a explicabilidade por valores de Shapley (SHAP) mede a contribuição média de cada variável para a predição de cada escola, permitindo ler não apenas a magnitude, mas a direção do efeito. A figura a seguir resume essa decomposição para todo o conjunto: o lag da taxa de abandono (abnd_t, |SHAP| médio de 0,148 na escala de raiz) é, de longe, o principal determinante do risco previsto, seguido do abandono da 2ª série (0,098) e da 1ª série (0,050), do nível socioeconômico (INSE, 0,041), da reprovação (0,041) e da distorção idade-série (0,030).</w:t>
      </w:r>
    </w:p>
    <w:p>
      <w:pPr>
        <w:pStyle w:val="28"/>
      </w:pPr>
      <w:r>
        <w:t>Figura – Decomposição SHAP global das predições do XGBoost (beeswarm)</w:t>
      </w:r>
    </w:p>
    <w:p>
      <w:pPr>
        <w:jc w:val="center"/>
      </w:pPr>
      <w:r>
        <w:drawing>
          <wp:inline xmlns:a="http://schemas.openxmlformats.org/drawingml/2006/main" xmlns:pic="http://schemas.openxmlformats.org/drawingml/2006/picture">
            <wp:extent cx="4937760" cy="4692353"/>
            <wp:docPr id="8" name="Picture 8"/>
            <wp:cNvGraphicFramePr>
              <a:graphicFrameLocks noChangeAspect="1"/>
            </wp:cNvGraphicFramePr>
            <a:graphic>
              <a:graphicData uri="http://schemas.openxmlformats.org/drawingml/2006/picture">
                <pic:pic>
                  <pic:nvPicPr>
                    <pic:cNvPr id="0" name="S1_shap_beeswarm.png"/>
                    <pic:cNvPicPr/>
                  </pic:nvPicPr>
                  <pic:blipFill>
                    <a:blip r:embed="rId18"/>
                    <a:stretch>
                      <a:fillRect/>
                    </a:stretch>
                  </pic:blipFill>
                  <pic:spPr>
                    <a:xfrm>
                      <a:off x="0" y="0"/>
                      <a:ext cx="4937760" cy="4692353"/>
                    </a:xfrm>
                    <a:prstGeom prst="rect"/>
                  </pic:spPr>
                </pic:pic>
              </a:graphicData>
            </a:graphic>
          </wp:inline>
        </w:drawing>
      </w:r>
    </w:p>
    <w:p>
      <w:pPr>
        <w:pStyle w:val="28"/>
      </w:pPr>
      <w:r>
        <w:t>Fonte: elaborado pelo autor.</w:t>
      </w:r>
    </w:p>
    <w:p>
      <w:pPr/>
      <w:r>
        <w:t>As cores do gráfico de dispersão confirmam que as direções dos efeitos são coerentes com a literatura: valores altos das taxas de abandono e reprovação defasadas e da distorção idade-série empurram a predição para cima (maior risco), ao passo que valores altos do INSE a empurram para baixo — a correlação entre o valor do INSE e sua contribuição SHAP é de −0,74. A figura seguinte ordena as variáveis por |SHAP| médio e codifica essa direção por cor. Cabe registrar uma divergência metodológica relevante em relação à importância por ganho: a variável binária de localização diferenciada, apontada como a de maior ganho, não figura entre as mais influentes pela métrica SHAP. A razão é que essa variável marca um número reduzido de escolas e, quando usada em uma divisão, separa grupos muito homogêneos — o que infla o ganho por divisão —, mas, por afetar poucas observações, contribui pouco para a predição média do conjunto. As duas métricas são, portanto, complementares: o ganho destaca variáveis de alta pureza local, e o SHAP, as de maior contribuição média global.</w:t>
      </w:r>
    </w:p>
    <w:p>
      <w:pPr>
        <w:pStyle w:val="28"/>
      </w:pPr>
      <w:r>
        <w:t>Figura – Importância e direção das variáveis por |SHAP| médio</w:t>
      </w:r>
    </w:p>
    <w:p>
      <w:pPr>
        <w:jc w:val="center"/>
      </w:pPr>
      <w:r>
        <w:drawing>
          <wp:inline xmlns:a="http://schemas.openxmlformats.org/drawingml/2006/main" xmlns:pic="http://schemas.openxmlformats.org/drawingml/2006/picture">
            <wp:extent cx="5394960" cy="3552187"/>
            <wp:docPr id="9" name="Picture 9"/>
            <wp:cNvGraphicFramePr>
              <a:graphicFrameLocks noChangeAspect="1"/>
            </wp:cNvGraphicFramePr>
            <a:graphic>
              <a:graphicData uri="http://schemas.openxmlformats.org/drawingml/2006/picture">
                <pic:pic>
                  <pic:nvPicPr>
                    <pic:cNvPr id="0" name="S2_shap_direcao.png"/>
                    <pic:cNvPicPr/>
                  </pic:nvPicPr>
                  <pic:blipFill>
                    <a:blip r:embed="rId19"/>
                    <a:stretch>
                      <a:fillRect/>
                    </a:stretch>
                  </pic:blipFill>
                  <pic:spPr>
                    <a:xfrm>
                      <a:off x="0" y="0"/>
                      <a:ext cx="5394960" cy="3552187"/>
                    </a:xfrm>
                    <a:prstGeom prst="rect"/>
                  </pic:spPr>
                </pic:pic>
              </a:graphicData>
            </a:graphic>
          </wp:inline>
        </w:drawing>
      </w:r>
    </w:p>
    <w:p>
      <w:pPr>
        <w:pStyle w:val="28"/>
      </w:pPr>
      <w:r>
        <w:t>Fonte: elaborado pelo autor.</w:t>
      </w:r>
    </w:p>
    <w:p>
      <w:pPr/>
      <w:r>
        <w:t>A decomposição é também local: para qualquer escola, é possível mostrar como cada variável afastou sua predição do valor médio. A figura a seguir ilustra o caso da escola de maior risco previsto — uma escola estadual indígena no município de Jatobá, com 23,9% de abandono previsto e 39,1% observado em 2022. Partindo da predição média do conjunto (E[f(x)] = 0,49 na escala de raiz), as maiores contribuições positivas vêm do lag de abandono (+0,74), da distorção idade-série (+0,64) e do abandono da 2ª série (+0,41), que somadas constroem o escore elevado de risco. Esse tipo de explicação por escola é o insumo que o dashboard apresentará ao gestor para justificar cada indicação de prioridade.</w:t>
      </w:r>
    </w:p>
    <w:p>
      <w:pPr>
        <w:pStyle w:val="28"/>
      </w:pPr>
      <w:r>
        <w:t>Figura – Explicação local (waterfall) da escola de maior risco previsto</w:t>
      </w:r>
    </w:p>
    <w:p>
      <w:pPr>
        <w:jc w:val="center"/>
      </w:pPr>
      <w:r>
        <w:drawing>
          <wp:inline xmlns:a="http://schemas.openxmlformats.org/drawingml/2006/main" xmlns:pic="http://schemas.openxmlformats.org/drawingml/2006/picture">
            <wp:extent cx="5120640" cy="4734662"/>
            <wp:docPr id="10" name="Picture 10"/>
            <wp:cNvGraphicFramePr>
              <a:graphicFrameLocks noChangeAspect="1"/>
            </wp:cNvGraphicFramePr>
            <a:graphic>
              <a:graphicData uri="http://schemas.openxmlformats.org/drawingml/2006/picture">
                <pic:pic>
                  <pic:nvPicPr>
                    <pic:cNvPr id="0" name="S3_waterfall_alto_risco.png"/>
                    <pic:cNvPicPr/>
                  </pic:nvPicPr>
                  <pic:blipFill>
                    <a:blip r:embed="rId20"/>
                    <a:stretch>
                      <a:fillRect/>
                    </a:stretch>
                  </pic:blipFill>
                  <pic:spPr>
                    <a:xfrm>
                      <a:off x="0" y="0"/>
                      <a:ext cx="5120640" cy="4734662"/>
                    </a:xfrm>
                    <a:prstGeom prst="rect"/>
                  </pic:spPr>
                </pic:pic>
              </a:graphicData>
            </a:graphic>
          </wp:inline>
        </w:drawing>
      </w:r>
    </w:p>
    <w:p>
      <w:pPr>
        <w:pStyle w:val="28"/>
      </w:pPr>
      <w:r>
        <w:t>Fonte: elaborado pelo autor.</w:t>
      </w:r>
    </w:p>
    <w:p>
      <w:pPr/>
      <w:r>
        <w:t>Por fim, a análise de resíduos foi reavaliada sobre o modelo definitivo, cumprindo o encaminhamento registrado anteriormente. A figura a seguir apresenta o resíduo (real − previsto) do XGBoost por grupo de localização na validação temporal. O viés sistemático identificado nos baselines persiste após o tuning: as escolas urbanas e rurais têm resíduo médio próximo de zero (+0,42 e +0,71 ponto percentual, respectivamente), enquanto as escolas de localização diferenciada — terras indígenas e comunidades quilombolas — mantêm superpredição acentuada (resíduo médio de −3,99 pontos percentuais, n = 41), praticamente idêntica à observada com o Ridge (−4,09). O modelo prevê para essas escolas um abandono elevado, condizente com seu perfil contextual (rural, baixo INSE, alta distorção idade-série), mas o abandono observado é próximo de zero. O achado reforça a hipótese de fatores protetivos de vínculo comunitário não capturados pelas variáveis disponíveis e tem consequência prática direta: um ranking de priorização não corrigido alocaria atenção excessiva a essas escolas. Recomenda-se, por isso, exibir o resíduo ao gestor como sinal de cautela e tratar a correção desse viés como trabalho futuro.</w:t>
      </w:r>
    </w:p>
    <w:p>
      <w:pPr>
        <w:pStyle w:val="28"/>
      </w:pPr>
      <w:r>
        <w:t>Figura – Resíduo do XGBoost por grupo de localização (validação temporal)</w:t>
      </w:r>
    </w:p>
    <w:p>
      <w:pPr>
        <w:jc w:val="center"/>
      </w:pPr>
      <w:r>
        <w:drawing>
          <wp:inline xmlns:a="http://schemas.openxmlformats.org/drawingml/2006/main" xmlns:pic="http://schemas.openxmlformats.org/drawingml/2006/picture">
            <wp:extent cx="5577840" cy="2137114"/>
            <wp:docPr id="11" name="Picture 11"/>
            <wp:cNvGraphicFramePr>
              <a:graphicFrameLocks noChangeAspect="1"/>
            </wp:cNvGraphicFramePr>
            <a:graphic>
              <a:graphicData uri="http://schemas.openxmlformats.org/drawingml/2006/picture">
                <pic:pic>
                  <pic:nvPicPr>
                    <pic:cNvPr id="0" name="S5_equidade_grupos.png"/>
                    <pic:cNvPicPr/>
                  </pic:nvPicPr>
                  <pic:blipFill>
                    <a:blip r:embed="rId21"/>
                    <a:stretch>
                      <a:fillRect/>
                    </a:stretch>
                  </pic:blipFill>
                  <pic:spPr>
                    <a:xfrm>
                      <a:off x="0" y="0"/>
                      <a:ext cx="5577840" cy="2137114"/>
                    </a:xfrm>
                    <a:prstGeom prst="rect"/>
                  </pic:spPr>
                </pic:pic>
              </a:graphicData>
            </a:graphic>
          </wp:inline>
        </w:drawing>
      </w:r>
    </w:p>
    <w:p>
      <w:pPr>
        <w:pStyle w:val="28"/>
      </w:pPr>
      <w:r>
        <w:t>Fonte: elaborado pelo autor.</w:t>
      </w:r>
    </w:p>
    <w:p>
      <w:pPr>
        <w:pStyle w:val="3"/>
      </w:pPr>
      <w:r>
        <w:t>Síntese dos Resultados</w:t>
      </w:r>
    </w:p>
    <w:p>
      <w:r>
        <w:t>Os resultados obtidos até esta etapa sustentam parcialmente a pergunta principal de pesquisa: é possível, a partir de indicadores institucionais e contextuais do ano t, ordenar as escolas estaduais de Ensino Médio de Pernambuco por risco de abandono em t+1 com qualidade útil para priorização. O XGBoost, modelo definitivo, confirmou-se o melhor nas dimensões alinhadas a esse objetivo: a maior correlação de Spearman (0,458 em validação cruzada repetida e 0,390 na validação temporal), o menor erro absoluto médio e ROC-AUC de 0,830 na validação temporal, atingindo as metas de ROC-AUC ≥ 0,83 e de Spearman ≥ 0,43 fixadas a partir dos baselines. A meta de RMSE, em contrapartida, não foi superada: o XGBoost não reduziu o RMSE em relação ao Random Forest, e a magnitude da taxa não generaliza entre ciclos (R² negativo na validação temporal) com apenas dois pares de anos disponíveis — limitação que o tuning atenuou, mas não eliminou. A explicabilidade com SHAP confirmou o lag de abandono, a reprovação e a distorção idade-série como os principais determinantes do risco previsto, com direções coerentes com a teoria, e a reavaliação dos resíduos sobre o modelo definitivo confirmou a persistência do viés de superpredição nas escolas de localização diferenciada (−3,99 pontos percentuais na validação temporal). Permanece como encaminhamento para a fase seguinte a construção do dashboard de priorização, além da correção desse viés e da ampliação da janela temporal, discutidas nas conclusões.</w:t>
      </w:r>
    </w:p>
    <w:p w14:paraId="3C236B35">
      <w:pPr>
        <w:pStyle w:val="2"/>
      </w:pPr>
      <w:bookmarkStart w:id="21" w:name="_Toc112914782"/>
      <w:r>
        <w:t>CONCLUSÕES E TRABALHOS FUTUROS</w:t>
      </w:r>
      <w:bookmarkEnd w:id="21"/>
    </w:p>
    <w:bookmarkEnd w:id="10"/>
    <w:p w14:paraId="110C267B">
      <w:pPr>
        <w:pStyle w:val="7"/>
        <w:rPr>
          <w:color w:val="auto"/>
        </w:rPr>
      </w:pPr>
      <w:bookmarkStart w:id="22" w:name="_Toc81325008"/>
      <w:bookmarkStart w:id="23" w:name="_Toc79652176"/>
      <w:bookmarkStart w:id="24" w:name="_Toc81325093"/>
      <w:bookmarkStart w:id="25" w:name="_Toc112914783"/>
      <w:r>
        <w:rPr>
          <w:color w:val="auto"/>
        </w:rPr>
        <w:t>Referências</w:t>
      </w:r>
      <w:bookmarkEnd w:id="22"/>
      <w:bookmarkEnd w:id="23"/>
      <w:bookmarkEnd w:id="24"/>
      <w:r>
        <w:rPr>
          <w:color w:val="auto"/>
        </w:rPr>
        <w:t xml:space="preserve"> Bibliográficas</w:t>
      </w:r>
      <w:bookmarkEnd w:id="25"/>
    </w:p>
    <w:p w14:paraId="6485E9A9">
      <w:pPr>
        <w:rPr>
          <w:color w:val="auto"/>
        </w:rPr>
      </w:pPr>
    </w:p>
    <w:p w14:paraId="0AB5E779">
      <w:pPr>
        <w:rPr>
          <w:rFonts w:cs="Arial"/>
          <w:color w:val="auto"/>
          <w:szCs w:val="24"/>
        </w:rPr>
      </w:pPr>
      <w:r>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pPr>
        <w:rPr>
          <w:rFonts w:cs="Arial"/>
          <w:color w:val="auto"/>
          <w:szCs w:val="24"/>
        </w:rPr>
      </w:pPr>
      <w:r>
        <w:rPr>
          <w:rFonts w:cs="Arial"/>
          <w:color w:val="auto"/>
          <w:szCs w:val="24"/>
        </w:rPr>
        <w:t>A lista deve ser alinhada à esquerda, espaço simples, e as referências separadas entre si por um espaço simples em branco.</w:t>
      </w:r>
    </w:p>
    <w:p w14:paraId="6D5D75D8">
      <w:pPr>
        <w:rPr>
          <w:rFonts w:cs="Arial"/>
          <w:color w:val="auto"/>
          <w:szCs w:val="24"/>
        </w:rPr>
      </w:pPr>
    </w:p>
    <w:p w14:paraId="185D1C34">
      <w:pPr>
        <w:spacing w:line="240" w:lineRule="auto"/>
        <w:rPr>
          <w:rFonts w:cs="Arial"/>
          <w:color w:val="auto"/>
          <w:szCs w:val="24"/>
        </w:rPr>
      </w:pPr>
      <w:r>
        <w:rPr>
          <w:rFonts w:cs="Arial"/>
          <w:color w:val="auto"/>
          <w:szCs w:val="24"/>
        </w:rPr>
        <w:t>Formatação do título: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1BF2B1FF">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70FB30F">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0551AD2">
            <w:pPr>
              <w:spacing w:line="240" w:lineRule="auto"/>
              <w:ind w:firstLine="0"/>
              <w:rPr>
                <w:rFonts w:cs="Arial"/>
                <w:color w:val="auto"/>
                <w:szCs w:val="24"/>
              </w:rPr>
            </w:pPr>
            <w:r>
              <w:rPr>
                <w:rFonts w:cs="Arial"/>
                <w:color w:val="auto"/>
                <w:szCs w:val="24"/>
              </w:rPr>
              <w:t>Superior e Esquerda - 3 cm; Inferior e Direita - 2cm</w:t>
            </w:r>
          </w:p>
        </w:tc>
      </w:tr>
      <w:tr w14:paraId="2034072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8A356F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D4BCE3E">
            <w:pPr>
              <w:spacing w:line="240" w:lineRule="auto"/>
              <w:ind w:firstLine="0"/>
              <w:rPr>
                <w:rFonts w:cs="Arial"/>
                <w:color w:val="auto"/>
                <w:szCs w:val="24"/>
                <w:lang w:val="en-US"/>
              </w:rPr>
            </w:pPr>
            <w:r>
              <w:rPr>
                <w:rFonts w:cs="Arial"/>
                <w:color w:val="auto"/>
                <w:szCs w:val="24"/>
                <w:lang w:val="en-US"/>
              </w:rPr>
              <w:t>Times New Roman ou Arial</w:t>
            </w:r>
          </w:p>
        </w:tc>
      </w:tr>
      <w:tr w14:paraId="7D6A5A16">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041D59">
            <w:pPr>
              <w:spacing w:line="240" w:lineRule="auto"/>
              <w:ind w:firstLine="306"/>
              <w:rPr>
                <w:rFonts w:cs="Arial"/>
                <w:color w:val="auto"/>
                <w:szCs w:val="24"/>
                <w:lang w:val="en-US"/>
              </w:rPr>
            </w:pPr>
            <w:r>
              <w:rPr>
                <w:rFonts w:cs="Arial"/>
                <w:color w:val="auto"/>
                <w:szCs w:val="24"/>
                <w:lang w:val="en-US"/>
              </w:rPr>
              <w:t>Estilo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3E68432">
            <w:pPr>
              <w:spacing w:line="240" w:lineRule="auto"/>
              <w:ind w:firstLine="0"/>
              <w:rPr>
                <w:rFonts w:cs="Arial"/>
                <w:color w:val="auto"/>
                <w:szCs w:val="24"/>
                <w:lang w:val="en-US"/>
              </w:rPr>
            </w:pPr>
            <w:r>
              <w:rPr>
                <w:rFonts w:cs="Arial"/>
                <w:color w:val="auto"/>
                <w:szCs w:val="24"/>
                <w:lang w:val="en-US"/>
              </w:rPr>
              <w:t>Maiúsculas, negrito</w:t>
            </w:r>
          </w:p>
        </w:tc>
      </w:tr>
      <w:tr w14:paraId="7185258E">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40EFBB8">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DDBBA40">
            <w:pPr>
              <w:spacing w:line="240" w:lineRule="auto"/>
              <w:ind w:firstLine="0"/>
              <w:rPr>
                <w:rFonts w:cs="Arial"/>
                <w:color w:val="auto"/>
                <w:szCs w:val="24"/>
                <w:lang w:val="en-US"/>
              </w:rPr>
            </w:pPr>
            <w:r>
              <w:rPr>
                <w:rFonts w:cs="Arial"/>
                <w:color w:val="auto"/>
                <w:szCs w:val="24"/>
                <w:lang w:val="en-US"/>
              </w:rPr>
              <w:t>12</w:t>
            </w:r>
          </w:p>
        </w:tc>
      </w:tr>
      <w:tr w14:paraId="738EAA15">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BFE9F9D">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23E1A96">
            <w:pPr>
              <w:spacing w:line="240" w:lineRule="auto"/>
              <w:ind w:firstLine="0"/>
              <w:rPr>
                <w:rFonts w:cs="Arial"/>
                <w:color w:val="auto"/>
                <w:szCs w:val="24"/>
                <w:lang w:val="en-US"/>
              </w:rPr>
            </w:pPr>
            <w:r>
              <w:rPr>
                <w:rFonts w:cs="Arial"/>
                <w:color w:val="auto"/>
                <w:szCs w:val="24"/>
                <w:lang w:val="en-US"/>
              </w:rPr>
              <w:t>Centralizado</w:t>
            </w:r>
          </w:p>
        </w:tc>
      </w:tr>
    </w:tbl>
    <w:p w14:paraId="431FCD4F">
      <w:pPr>
        <w:spacing w:line="240" w:lineRule="auto"/>
        <w:rPr>
          <w:rFonts w:cs="Arial"/>
          <w:b/>
          <w:color w:val="auto"/>
          <w:szCs w:val="24"/>
        </w:rPr>
      </w:pPr>
    </w:p>
    <w:p w14:paraId="361415E8">
      <w:pPr>
        <w:spacing w:line="240" w:lineRule="auto"/>
        <w:rPr>
          <w:rFonts w:cs="Arial"/>
          <w:color w:val="auto"/>
          <w:szCs w:val="24"/>
        </w:rPr>
      </w:pPr>
      <w:r>
        <w:rPr>
          <w:rFonts w:cs="Arial"/>
          <w:color w:val="auto"/>
          <w:szCs w:val="24"/>
        </w:rPr>
        <w:t>Formatação do texto: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79A9C62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B9946B0">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239ACE0">
            <w:pPr>
              <w:spacing w:line="240" w:lineRule="auto"/>
              <w:ind w:firstLine="0"/>
              <w:rPr>
                <w:rFonts w:cs="Arial"/>
                <w:color w:val="auto"/>
                <w:szCs w:val="24"/>
              </w:rPr>
            </w:pPr>
            <w:r>
              <w:rPr>
                <w:rFonts w:cs="Arial"/>
                <w:color w:val="auto"/>
                <w:szCs w:val="24"/>
              </w:rPr>
              <w:t>Superior e Esquerda - 3 cm; Inferior e Direita - 2cm</w:t>
            </w:r>
          </w:p>
        </w:tc>
      </w:tr>
      <w:tr w14:paraId="6E73068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12453B1">
            <w:pPr>
              <w:spacing w:line="240" w:lineRule="auto"/>
              <w:ind w:firstLine="306"/>
              <w:rPr>
                <w:rFonts w:cs="Arial"/>
                <w:color w:val="auto"/>
                <w:szCs w:val="24"/>
              </w:rPr>
            </w:pPr>
            <w:r>
              <w:rPr>
                <w:rFonts w:cs="Arial"/>
                <w:color w:val="auto"/>
                <w:szCs w:val="24"/>
              </w:rPr>
              <w:t>Espaçamentos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69AB5F47">
            <w:pPr>
              <w:spacing w:line="240" w:lineRule="auto"/>
              <w:ind w:firstLine="0"/>
              <w:rPr>
                <w:rFonts w:cs="Arial"/>
                <w:color w:val="auto"/>
                <w:szCs w:val="24"/>
              </w:rPr>
            </w:pPr>
            <w:r>
              <w:rPr>
                <w:rFonts w:cs="Arial"/>
                <w:color w:val="auto"/>
                <w:szCs w:val="24"/>
              </w:rPr>
              <w:t>Simples, com 1 espaço simples entre elas</w:t>
            </w:r>
          </w:p>
        </w:tc>
      </w:tr>
      <w:tr w14:paraId="611897C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DCF39C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21E81FCC">
            <w:pPr>
              <w:spacing w:line="240" w:lineRule="auto"/>
              <w:ind w:firstLine="0"/>
              <w:rPr>
                <w:rFonts w:cs="Arial"/>
                <w:color w:val="auto"/>
                <w:szCs w:val="24"/>
                <w:lang w:val="en-US"/>
              </w:rPr>
            </w:pPr>
            <w:r>
              <w:rPr>
                <w:rFonts w:cs="Arial"/>
                <w:color w:val="auto"/>
                <w:szCs w:val="24"/>
                <w:lang w:val="en-US"/>
              </w:rPr>
              <w:t>Times New Roman ou Arial</w:t>
            </w:r>
          </w:p>
        </w:tc>
      </w:tr>
      <w:tr w14:paraId="1F82AFB2">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8439EA">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6AE8073">
            <w:pPr>
              <w:spacing w:line="240" w:lineRule="auto"/>
              <w:ind w:firstLine="0"/>
              <w:rPr>
                <w:rFonts w:cs="Arial"/>
                <w:color w:val="auto"/>
                <w:szCs w:val="24"/>
                <w:lang w:val="en-US"/>
              </w:rPr>
            </w:pPr>
            <w:r>
              <w:rPr>
                <w:rFonts w:cs="Arial"/>
                <w:color w:val="auto"/>
                <w:szCs w:val="24"/>
                <w:lang w:val="en-US"/>
              </w:rPr>
              <w:t>12</w:t>
            </w:r>
          </w:p>
        </w:tc>
      </w:tr>
      <w:tr w14:paraId="1BDB084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39AF323">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A6E7DC1">
            <w:pPr>
              <w:spacing w:line="240" w:lineRule="auto"/>
              <w:ind w:firstLine="0"/>
              <w:rPr>
                <w:rFonts w:cs="Arial"/>
                <w:color w:val="auto"/>
                <w:szCs w:val="24"/>
                <w:lang w:val="en-US"/>
              </w:rPr>
            </w:pPr>
            <w:r>
              <w:rPr>
                <w:rFonts w:cs="Arial"/>
                <w:color w:val="auto"/>
                <w:szCs w:val="24"/>
                <w:lang w:val="en-US"/>
              </w:rPr>
              <w:t>Alinhadas à esquerda</w:t>
            </w:r>
          </w:p>
        </w:tc>
      </w:tr>
    </w:tbl>
    <w:p w14:paraId="43C559BA">
      <w:pPr>
        <w:rPr>
          <w:color w:val="auto"/>
        </w:rPr>
      </w:pPr>
    </w:p>
    <w:p w14:paraId="461BE735">
      <w:pPr>
        <w:rPr>
          <w:color w:val="auto"/>
        </w:rPr>
      </w:pPr>
    </w:p>
    <w:p w14:paraId="18ACCBB1">
      <w:pPr>
        <w:pStyle w:val="48"/>
        <w:rPr>
          <w:color w:val="auto"/>
        </w:rPr>
      </w:pPr>
      <w:r>
        <w:rPr>
          <w:b/>
          <w:bCs/>
          <w:color w:val="auto"/>
        </w:rPr>
        <w:t>Trabalho de conclusão de curso de graduação, trabalho de graduação interdisciplinar, trabalho de conclusão de curso de especialização e/ou aperfeiçoamento</w:t>
      </w:r>
      <w:r>
        <w:rPr>
          <w:color w:val="auto"/>
        </w:rPr>
        <w:t>: documento que apresenta o resultado do projeto, devendo expressar conhecimento do assunto escolhido, que deve ser obrigatoriamente emanado da disciplina, módulo, estudo independente, curso, programa, e outros ministrados. Deve ser feito sob a coordenação de um orientador.</w:t>
      </w:r>
    </w:p>
    <w:p w14:paraId="32B5D127">
      <w:pPr>
        <w:pStyle w:val="49"/>
        <w:rPr>
          <w:color w:val="auto"/>
        </w:rPr>
      </w:pPr>
    </w:p>
    <w:p w14:paraId="1A2CF9C1">
      <w:pPr>
        <w:pStyle w:val="7"/>
        <w:rPr>
          <w:color w:val="auto"/>
        </w:rPr>
      </w:pPr>
      <w:bookmarkStart w:id="26" w:name="_Toc81325095"/>
      <w:bookmarkStart w:id="27" w:name="_Toc79652178"/>
      <w:bookmarkStart w:id="28" w:name="_Toc112914784"/>
      <w:bookmarkStart w:id="29" w:name="_Toc81325010"/>
      <w:r>
        <w:rPr>
          <w:color w:val="auto"/>
        </w:rPr>
        <w:t>Apêndice A – título</w:t>
      </w:r>
      <w:bookmarkEnd w:id="26"/>
      <w:bookmarkEnd w:id="27"/>
      <w:bookmarkEnd w:id="28"/>
      <w:bookmarkEnd w:id="29"/>
    </w:p>
    <w:p w14:paraId="1EEFE8CA">
      <w:pPr>
        <w:rPr>
          <w:color w:val="auto"/>
        </w:rPr>
      </w:pPr>
    </w:p>
    <w:p w14:paraId="02306415">
      <w:pPr>
        <w:rPr>
          <w:color w:val="auto"/>
        </w:rPr>
      </w:pPr>
      <w:r>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pPr>
        <w:rPr>
          <w:color w:val="auto"/>
        </w:rPr>
      </w:pPr>
    </w:p>
    <w:p w14:paraId="4A761603">
      <w:pPr>
        <w:pStyle w:val="7"/>
        <w:rPr>
          <w:color w:val="auto"/>
        </w:rPr>
      </w:pPr>
      <w:bookmarkStart w:id="30" w:name="_Toc79652179"/>
      <w:bookmarkStart w:id="31" w:name="_Toc81325011"/>
      <w:bookmarkStart w:id="32" w:name="_Toc112914785"/>
      <w:bookmarkStart w:id="33" w:name="_Toc81325096"/>
      <w:r>
        <w:rPr>
          <w:color w:val="auto"/>
        </w:rPr>
        <w:t>Anexo a – título</w:t>
      </w:r>
      <w:bookmarkEnd w:id="30"/>
      <w:bookmarkEnd w:id="31"/>
      <w:bookmarkEnd w:id="32"/>
      <w:bookmarkEnd w:id="33"/>
    </w:p>
    <w:p w14:paraId="06EBFC6D">
      <w:pPr>
        <w:rPr>
          <w:color w:val="auto"/>
        </w:rPr>
      </w:pPr>
    </w:p>
    <w:p w14:paraId="2CEA3021">
      <w:pPr>
        <w:rPr>
          <w:color w:val="auto"/>
        </w:rPr>
      </w:pPr>
      <w:r>
        <w:rPr>
          <w:color w:val="auto"/>
        </w:rPr>
        <w:t>Elemento opcional. Deve ser precedido da palavra ANEXO, identificado por letras maiúsculas consecutivas, travessão e pelo respectivo título. Utilizam-se letras maiúsculas dobradas, na identificação dos apêndices, quando esgotadas as letras do alfabeto.</w:t>
      </w:r>
    </w:p>
    <w:p w14:paraId="40FDF63A">
      <w:pPr>
        <w:rPr>
          <w:color w:val="auto"/>
        </w:rPr>
      </w:pPr>
    </w:p>
    <w:p w14:paraId="68B93CE4">
      <w:pPr>
        <w:rPr>
          <w:color w:val="auto"/>
        </w:rPr>
      </w:pPr>
    </w:p>
    <w:p w14:paraId="3B908BEA">
      <w:pPr>
        <w:rPr>
          <w:color w:val="auto"/>
        </w:rPr>
      </w:pPr>
    </w:p>
    <w:sectPr>
      <w:headerReference r:id="rId5" w:type="default"/>
      <w:pgSz w:w="11906" w:h="16838"/>
      <w:pgMar w:top="1701" w:right="1134" w:bottom="1134" w:left="1701" w:header="708" w:footer="708" w:gutter="0"/>
      <w:pgNumType w:start="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360" w:lineRule="auto"/>
      </w:pPr>
      <w:r>
        <w:separator/>
      </w:r>
    </w:p>
  </w:footnote>
  <w:footnote w:type="continuationSeparator" w:id="5">
    <w:p>
      <w:pPr>
        <w:spacing w:before="0" w:after="0" w:line="360" w:lineRule="auto"/>
      </w:pPr>
      <w:r>
        <w:continuationSeparator/>
      </w:r>
    </w:p>
  </w:footnote>
  <w:footnote w:id="0">
    <w:p w14:paraId="7DAB5119">
      <w:pPr>
        <w:pStyle w:val="31"/>
      </w:pPr>
      <w:r>
        <w:rPr>
          <w:rStyle w:val="16"/>
        </w:rPr>
        <w:footnoteRef/>
      </w:r>
      <w:r>
        <w:t xml:space="preserve"> </w:t>
      </w:r>
      <w:r>
        <w:fldChar w:fldCharType="begin"/>
      </w:r>
      <w:r>
        <w:instrText xml:space="preserve"> HYPERLINK "https://en.wikipedia.org/wiki/4%2B1_architectural_view_model" </w:instrText>
      </w:r>
      <w:r>
        <w:fldChar w:fldCharType="separate"/>
      </w:r>
      <w:r>
        <w:rPr>
          <w:rStyle w:val="17"/>
        </w:rPr>
        <w:t>https://en.wikipedia.org/wiki/4%2B1_architectural_view_model</w:t>
      </w:r>
      <w:r>
        <w:rPr>
          <w:rStyle w:val="17"/>
        </w:rPr>
        <w:fldChar w:fldCharType="end"/>
      </w:r>
      <w:r>
        <w:t xml:space="preserve"> </w:t>
      </w:r>
    </w:p>
  </w:footnote>
  <w:footnote w:id="1">
    <w:p w14:paraId="0F1A84A0">
      <w:pPr>
        <w:pStyle w:val="31"/>
      </w:pPr>
      <w:r>
        <w:rPr>
          <w:rStyle w:val="16"/>
        </w:rPr>
        <w:footnoteRef/>
      </w:r>
      <w:r>
        <w:t xml:space="preserve"> </w:t>
      </w:r>
      <w:r>
        <w:fldChar w:fldCharType="begin"/>
      </w:r>
      <w:r>
        <w:instrText xml:space="preserve"> HYPERLINK "https://en.wikipedia.org/wiki/Architecture_description_language" </w:instrText>
      </w:r>
      <w:r>
        <w:fldChar w:fldCharType="separate"/>
      </w:r>
      <w:r>
        <w:rPr>
          <w:rStyle w:val="17"/>
        </w:rPr>
        <w:t>https://en.wikipedia.org/wiki/Architecture_description_language</w:t>
      </w:r>
      <w:r>
        <w:rPr>
          <w:rStyle w:val="17"/>
        </w:rPr>
        <w:fldChar w:fldCharType="end"/>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955335620"/>
      <w:docPartObj>
        <w:docPartGallery w:val="AutoText"/>
      </w:docPartObj>
    </w:sdtPr>
    <w:sdtEndPr>
      <w:rPr>
        <w:sz w:val="20"/>
        <w:szCs w:val="20"/>
      </w:rPr>
    </w:sdtEndPr>
    <w:sdtContent>
      <w:p w14:paraId="279ACE92">
        <w:pPr>
          <w:pStyle w:val="25"/>
          <w:jc w:val="right"/>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2</w:t>
        </w:r>
        <w:r>
          <w:rPr>
            <w:sz w:val="20"/>
            <w:szCs w:val="20"/>
          </w:rPr>
          <w:fldChar w:fldCharType="end"/>
        </w:r>
      </w:p>
    </w:sdtContent>
  </w:sdt>
  <w:p w14:paraId="23CA6BEB">
    <w:pPr>
      <w:pStyle w:val="25"/>
    </w:pPr>
  </w:p>
  <w:p w14:paraId="0BA23A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A3E2D"/>
    <w:multiLevelType w:val="multilevel"/>
    <w:tmpl w:val="5B6A3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hyphenationZone w:val="425"/>
  <w:characterSpacingControl w:val="doNotCompress"/>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 w:val="6B154A3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qFormat="1" w:uiPriority="39" w:semiHidden="0" w:name="toc 5"/>
    <w:lsdException w:uiPriority="39" w:semiHidden="0"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ind w:firstLine="709"/>
      <w:jc w:val="both"/>
    </w:pPr>
    <w:rPr>
      <w:rFonts w:ascii="Arial" w:hAnsi="Arial" w:eastAsiaTheme="minorHAnsi" w:cstheme="minorBidi"/>
      <w:color w:val="000000" w:themeColor="text1"/>
      <w:sz w:val="24"/>
      <w:szCs w:val="22"/>
      <w:lang w:val="pt-BR" w:eastAsia="en-US" w:bidi="ar-SA"/>
      <w14:textFill>
        <w14:solidFill>
          <w14:schemeClr w14:val="tx1"/>
        </w14:solidFill>
      </w14:textFill>
    </w:rPr>
  </w:style>
  <w:style w:type="paragraph" w:styleId="2">
    <w:name w:val="heading 1"/>
    <w:basedOn w:val="1"/>
    <w:next w:val="1"/>
    <w:link w:val="34"/>
    <w:autoRedefine/>
    <w:qFormat/>
    <w:uiPriority w:val="9"/>
    <w:pPr>
      <w:keepNext/>
      <w:keepLines/>
      <w:pageBreakBefore/>
      <w:numPr>
        <w:ilvl w:val="0"/>
        <w:numId w:val="1"/>
      </w:numPr>
      <w:ind w:left="284" w:hanging="284"/>
      <w:outlineLvl w:val="0"/>
    </w:pPr>
    <w:rPr>
      <w:rFonts w:eastAsiaTheme="majorEastAsia" w:cstheme="majorBidi"/>
      <w:b/>
      <w:caps/>
      <w:szCs w:val="32"/>
    </w:rPr>
  </w:style>
  <w:style w:type="paragraph" w:styleId="3">
    <w:name w:val="heading 2"/>
    <w:basedOn w:val="1"/>
    <w:next w:val="1"/>
    <w:link w:val="35"/>
    <w:autoRedefine/>
    <w:unhideWhenUsed/>
    <w:qFormat/>
    <w:uiPriority w:val="9"/>
    <w:pPr>
      <w:keepNext/>
      <w:keepLines/>
      <w:numPr>
        <w:ilvl w:val="1"/>
        <w:numId w:val="1"/>
      </w:numPr>
      <w:ind w:left="567" w:hanging="567"/>
      <w:outlineLvl w:val="1"/>
    </w:pPr>
    <w:rPr>
      <w:rFonts w:eastAsiaTheme="majorEastAsia" w:cstheme="majorBidi"/>
      <w:b/>
      <w:szCs w:val="26"/>
    </w:rPr>
  </w:style>
  <w:style w:type="paragraph" w:styleId="4">
    <w:name w:val="heading 3"/>
    <w:basedOn w:val="1"/>
    <w:next w:val="1"/>
    <w:link w:val="36"/>
    <w:autoRedefine/>
    <w:unhideWhenUsed/>
    <w:qFormat/>
    <w:uiPriority w:val="9"/>
    <w:pPr>
      <w:keepNext/>
      <w:keepLines/>
      <w:numPr>
        <w:ilvl w:val="2"/>
        <w:numId w:val="1"/>
      </w:numPr>
      <w:tabs>
        <w:tab w:val="left" w:pos="709"/>
      </w:tabs>
      <w:ind w:left="227" w:hanging="227"/>
      <w:outlineLvl w:val="2"/>
    </w:pPr>
    <w:rPr>
      <w:rFonts w:eastAsiaTheme="majorEastAsia" w:cstheme="majorBidi"/>
      <w:bCs/>
      <w:szCs w:val="24"/>
    </w:rPr>
  </w:style>
  <w:style w:type="paragraph" w:styleId="5">
    <w:name w:val="heading 4"/>
    <w:basedOn w:val="1"/>
    <w:next w:val="1"/>
    <w:link w:val="37"/>
    <w:unhideWhenUsed/>
    <w:qFormat/>
    <w:uiPriority w:val="9"/>
    <w:pPr>
      <w:keepNext/>
      <w:keepLines/>
      <w:numPr>
        <w:ilvl w:val="3"/>
        <w:numId w:val="1"/>
      </w:numPr>
      <w:ind w:left="851" w:hanging="879"/>
      <w:outlineLvl w:val="3"/>
    </w:pPr>
    <w:rPr>
      <w:rFonts w:eastAsiaTheme="majorEastAsia" w:cstheme="majorBidi"/>
      <w:i/>
      <w:iCs/>
    </w:rPr>
  </w:style>
  <w:style w:type="paragraph" w:styleId="6">
    <w:name w:val="heading 5"/>
    <w:basedOn w:val="1"/>
    <w:next w:val="1"/>
    <w:link w:val="38"/>
    <w:autoRedefine/>
    <w:unhideWhenUsed/>
    <w:qFormat/>
    <w:uiPriority w:val="9"/>
    <w:pPr>
      <w:keepNext/>
      <w:keepLines/>
      <w:numPr>
        <w:ilvl w:val="4"/>
        <w:numId w:val="1"/>
      </w:numPr>
      <w:ind w:left="1134" w:hanging="1162"/>
      <w:outlineLvl w:val="4"/>
    </w:pPr>
    <w:rPr>
      <w:rFonts w:eastAsiaTheme="majorEastAsia" w:cstheme="majorBidi"/>
      <w:u w:val="single"/>
    </w:rPr>
  </w:style>
  <w:style w:type="paragraph" w:styleId="7">
    <w:name w:val="heading 6"/>
    <w:basedOn w:val="1"/>
    <w:next w:val="1"/>
    <w:link w:val="39"/>
    <w:unhideWhenUsed/>
    <w:uiPriority w:val="9"/>
    <w:pPr>
      <w:pageBreakBefore/>
      <w:ind w:firstLine="0"/>
      <w:jc w:val="center"/>
      <w:outlineLvl w:val="5"/>
    </w:pPr>
    <w:rPr>
      <w:b/>
      <w:caps/>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Emphasis"/>
    <w:basedOn w:val="11"/>
    <w:qFormat/>
    <w:uiPriority w:val="20"/>
    <w:rPr>
      <w:i/>
      <w:iCs/>
    </w:rPr>
  </w:style>
  <w:style w:type="character" w:styleId="16">
    <w:name w:val="footnote reference"/>
    <w:basedOn w:val="11"/>
    <w:semiHidden/>
    <w:unhideWhenUsed/>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uiPriority w:val="39"/>
    <w:pPr>
      <w:tabs>
        <w:tab w:val="left" w:pos="1276"/>
        <w:tab w:val="right" w:leader="dot" w:pos="9060"/>
      </w:tabs>
      <w:ind w:left="1134" w:hanging="1134"/>
    </w:pPr>
    <w:rPr>
      <w:b/>
    </w:rPr>
  </w:style>
  <w:style w:type="paragraph" w:styleId="19">
    <w:name w:val="toc 6"/>
    <w:basedOn w:val="1"/>
    <w:next w:val="1"/>
    <w:autoRedefine/>
    <w:unhideWhenUsed/>
    <w:uiPriority w:val="39"/>
    <w:pPr>
      <w:ind w:left="1202" w:firstLine="0"/>
    </w:pPr>
    <w:rPr>
      <w:b/>
      <w:caps/>
    </w:rPr>
  </w:style>
  <w:style w:type="paragraph" w:styleId="20">
    <w:name w:val="annotation text"/>
    <w:basedOn w:val="1"/>
    <w:link w:val="51"/>
    <w:unhideWhenUsed/>
    <w:qFormat/>
    <w:uiPriority w:val="0"/>
    <w:pPr>
      <w:spacing w:after="120" w:line="240" w:lineRule="auto"/>
      <w:ind w:firstLine="0"/>
      <w:jc w:val="center"/>
    </w:pPr>
    <w:rPr>
      <w:rFonts w:eastAsiaTheme="minorEastAsia"/>
      <w:color w:val="auto"/>
      <w:sz w:val="20"/>
      <w:szCs w:val="20"/>
    </w:rPr>
  </w:style>
  <w:style w:type="paragraph" w:styleId="21">
    <w:name w:val="toc 5"/>
    <w:basedOn w:val="1"/>
    <w:next w:val="1"/>
    <w:autoRedefine/>
    <w:unhideWhenUsed/>
    <w:qFormat/>
    <w:uiPriority w:val="39"/>
    <w:pPr>
      <w:tabs>
        <w:tab w:val="left" w:pos="907"/>
        <w:tab w:val="left" w:pos="1134"/>
        <w:tab w:val="left" w:pos="1200"/>
        <w:tab w:val="right" w:leader="dot" w:pos="9060"/>
      </w:tabs>
      <w:ind w:left="907" w:hanging="907"/>
    </w:pPr>
  </w:style>
  <w:style w:type="paragraph" w:styleId="22">
    <w:name w:val="table of figures"/>
    <w:basedOn w:val="1"/>
    <w:next w:val="1"/>
    <w:unhideWhenUsed/>
    <w:uiPriority w:val="99"/>
    <w:pPr>
      <w:ind w:left="1247" w:hanging="1247"/>
      <w:jc w:val="left"/>
    </w:pPr>
    <w:rPr>
      <w:rFonts w:cstheme="minorHAnsi"/>
      <w:color w:val="auto"/>
      <w:szCs w:val="20"/>
    </w:rPr>
  </w:style>
  <w:style w:type="paragraph" w:styleId="23">
    <w:name w:val="Normal (Web)"/>
    <w:basedOn w:val="1"/>
    <w:semiHidden/>
    <w:unhideWhenUsed/>
    <w:uiPriority w:val="99"/>
    <w:rPr>
      <w:rFonts w:ascii="Times New Roman" w:hAnsi="Times New Roman" w:cs="Times New Roman"/>
      <w:szCs w:val="24"/>
    </w:rPr>
  </w:style>
  <w:style w:type="paragraph" w:styleId="24">
    <w:name w:val="toc 4"/>
    <w:basedOn w:val="1"/>
    <w:next w:val="1"/>
    <w:autoRedefine/>
    <w:unhideWhenUsed/>
    <w:uiPriority w:val="39"/>
    <w:pPr>
      <w:tabs>
        <w:tab w:val="left" w:pos="1134"/>
        <w:tab w:val="right" w:leader="dot" w:pos="9060"/>
      </w:tabs>
      <w:ind w:left="1134" w:hanging="1134"/>
    </w:pPr>
    <w:rPr>
      <w:i/>
    </w:rPr>
  </w:style>
  <w:style w:type="paragraph" w:styleId="25">
    <w:name w:val="header"/>
    <w:basedOn w:val="1"/>
    <w:link w:val="43"/>
    <w:unhideWhenUsed/>
    <w:qFormat/>
    <w:uiPriority w:val="99"/>
    <w:pPr>
      <w:tabs>
        <w:tab w:val="center" w:pos="4252"/>
        <w:tab w:val="right" w:pos="8504"/>
      </w:tabs>
      <w:spacing w:line="240" w:lineRule="auto"/>
    </w:pPr>
  </w:style>
  <w:style w:type="paragraph" w:styleId="26">
    <w:name w:val="annotation subject"/>
    <w:basedOn w:val="20"/>
    <w:next w:val="20"/>
    <w:link w:val="65"/>
    <w:semiHidden/>
    <w:unhideWhenUsed/>
    <w:uiPriority w:val="99"/>
    <w:pPr>
      <w:spacing w:after="0"/>
      <w:ind w:firstLine="709"/>
      <w:jc w:val="both"/>
    </w:pPr>
    <w:rPr>
      <w:rFonts w:eastAsiaTheme="minorHAnsi"/>
      <w:b/>
      <w:bCs/>
      <w:color w:val="000000" w:themeColor="text1"/>
      <w14:textFill>
        <w14:solidFill>
          <w14:schemeClr w14:val="tx1"/>
        </w14:solidFill>
      </w14:textFill>
    </w:rPr>
  </w:style>
  <w:style w:type="paragraph" w:styleId="27">
    <w:name w:val="footer"/>
    <w:basedOn w:val="1"/>
    <w:link w:val="50"/>
    <w:unhideWhenUsed/>
    <w:qFormat/>
    <w:uiPriority w:val="99"/>
    <w:pPr>
      <w:spacing w:line="240" w:lineRule="auto"/>
      <w:ind w:firstLine="0"/>
    </w:pPr>
    <w:rPr>
      <w:sz w:val="20"/>
    </w:rPr>
  </w:style>
  <w:style w:type="paragraph" w:styleId="28">
    <w:name w:val="caption"/>
    <w:basedOn w:val="1"/>
    <w:next w:val="1"/>
    <w:unhideWhenUsed/>
    <w:qFormat/>
    <w:uiPriority w:val="35"/>
    <w:pPr>
      <w:ind w:firstLine="0"/>
      <w:jc w:val="center"/>
    </w:pPr>
    <w:rPr>
      <w:iCs/>
      <w:color w:val="auto"/>
      <w:szCs w:val="18"/>
    </w:rPr>
  </w:style>
  <w:style w:type="paragraph" w:styleId="29">
    <w:name w:val="toc 3"/>
    <w:basedOn w:val="1"/>
    <w:next w:val="1"/>
    <w:autoRedefine/>
    <w:unhideWhenUsed/>
    <w:uiPriority w:val="39"/>
    <w:pPr>
      <w:tabs>
        <w:tab w:val="left" w:pos="1276"/>
        <w:tab w:val="right" w:leader="dot" w:pos="9060"/>
      </w:tabs>
      <w:ind w:left="1134" w:hanging="1134"/>
    </w:pPr>
  </w:style>
  <w:style w:type="paragraph" w:styleId="30">
    <w:name w:val="Balloon Text"/>
    <w:basedOn w:val="1"/>
    <w:link w:val="66"/>
    <w:semiHidden/>
    <w:unhideWhenUsed/>
    <w:qFormat/>
    <w:uiPriority w:val="99"/>
    <w:pPr>
      <w:spacing w:line="240" w:lineRule="auto"/>
    </w:pPr>
    <w:rPr>
      <w:rFonts w:ascii="Segoe UI" w:hAnsi="Segoe UI" w:cs="Segoe UI"/>
      <w:sz w:val="18"/>
      <w:szCs w:val="18"/>
    </w:rPr>
  </w:style>
  <w:style w:type="paragraph" w:styleId="31">
    <w:name w:val="footnote text"/>
    <w:basedOn w:val="1"/>
    <w:link w:val="52"/>
    <w:semiHidden/>
    <w:unhideWhenUsed/>
    <w:uiPriority w:val="99"/>
    <w:pPr>
      <w:spacing w:line="240" w:lineRule="auto"/>
    </w:pPr>
    <w:rPr>
      <w:sz w:val="20"/>
      <w:szCs w:val="20"/>
    </w:rPr>
  </w:style>
  <w:style w:type="paragraph" w:styleId="32">
    <w:name w:val="toc 1"/>
    <w:basedOn w:val="1"/>
    <w:next w:val="1"/>
    <w:autoRedefine/>
    <w:unhideWhenUsed/>
    <w:qFormat/>
    <w:uiPriority w:val="39"/>
    <w:pPr>
      <w:tabs>
        <w:tab w:val="right" w:leader="dot" w:pos="9060"/>
      </w:tabs>
      <w:ind w:left="1134" w:hanging="1134"/>
    </w:pPr>
    <w:rPr>
      <w:b/>
      <w:caps/>
    </w:rPr>
  </w:style>
  <w:style w:type="table" w:styleId="3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ítulo 1 Char"/>
    <w:basedOn w:val="11"/>
    <w:link w:val="2"/>
    <w:qFormat/>
    <w:uiPriority w:val="9"/>
    <w:rPr>
      <w:rFonts w:ascii="Arial" w:hAnsi="Arial" w:eastAsiaTheme="majorEastAsia" w:cstheme="majorBidi"/>
      <w:b/>
      <w:caps/>
      <w:color w:val="000000" w:themeColor="text1"/>
      <w:sz w:val="24"/>
      <w:szCs w:val="32"/>
      <w14:textFill>
        <w14:solidFill>
          <w14:schemeClr w14:val="tx1"/>
        </w14:solidFill>
      </w14:textFill>
    </w:rPr>
  </w:style>
  <w:style w:type="character" w:customStyle="1" w:styleId="35">
    <w:name w:val="Título 2 Char"/>
    <w:basedOn w:val="11"/>
    <w:link w:val="3"/>
    <w:uiPriority w:val="9"/>
    <w:rPr>
      <w:rFonts w:ascii="Arial" w:hAnsi="Arial" w:eastAsiaTheme="majorEastAsia" w:cstheme="majorBidi"/>
      <w:b/>
      <w:color w:val="000000" w:themeColor="text1"/>
      <w:sz w:val="24"/>
      <w:szCs w:val="26"/>
      <w14:textFill>
        <w14:solidFill>
          <w14:schemeClr w14:val="tx1"/>
        </w14:solidFill>
      </w14:textFill>
    </w:rPr>
  </w:style>
  <w:style w:type="character" w:customStyle="1" w:styleId="36">
    <w:name w:val="Título 3 Char"/>
    <w:basedOn w:val="11"/>
    <w:link w:val="4"/>
    <w:qFormat/>
    <w:uiPriority w:val="9"/>
    <w:rPr>
      <w:rFonts w:ascii="Arial" w:hAnsi="Arial" w:eastAsiaTheme="majorEastAsia" w:cstheme="majorBidi"/>
      <w:bCs/>
      <w:color w:val="000000" w:themeColor="text1"/>
      <w:sz w:val="24"/>
      <w:szCs w:val="24"/>
      <w14:textFill>
        <w14:solidFill>
          <w14:schemeClr w14:val="tx1"/>
        </w14:solidFill>
      </w14:textFill>
    </w:rPr>
  </w:style>
  <w:style w:type="character" w:customStyle="1" w:styleId="37">
    <w:name w:val="Título 4 Char"/>
    <w:basedOn w:val="11"/>
    <w:link w:val="5"/>
    <w:uiPriority w:val="9"/>
    <w:rPr>
      <w:rFonts w:ascii="Arial" w:hAnsi="Arial" w:eastAsiaTheme="majorEastAsia" w:cstheme="majorBidi"/>
      <w:i/>
      <w:iCs/>
      <w:color w:val="000000" w:themeColor="text1"/>
      <w14:textFill>
        <w14:solidFill>
          <w14:schemeClr w14:val="tx1"/>
        </w14:solidFill>
      </w14:textFill>
    </w:rPr>
  </w:style>
  <w:style w:type="character" w:customStyle="1" w:styleId="38">
    <w:name w:val="Título 5 Char"/>
    <w:basedOn w:val="11"/>
    <w:link w:val="6"/>
    <w:uiPriority w:val="9"/>
    <w:rPr>
      <w:rFonts w:ascii="Arial" w:hAnsi="Arial" w:eastAsiaTheme="majorEastAsia" w:cstheme="majorBidi"/>
      <w:color w:val="000000" w:themeColor="text1"/>
      <w:sz w:val="24"/>
      <w:u w:val="single"/>
      <w14:textFill>
        <w14:solidFill>
          <w14:schemeClr w14:val="tx1"/>
        </w14:solidFill>
      </w14:textFill>
    </w:rPr>
  </w:style>
  <w:style w:type="character" w:customStyle="1" w:styleId="39">
    <w:name w:val="Título 6 Char"/>
    <w:basedOn w:val="11"/>
    <w:link w:val="7"/>
    <w:uiPriority w:val="9"/>
    <w:rPr>
      <w:rFonts w:ascii="Arial" w:hAnsi="Arial"/>
      <w:b/>
      <w:caps/>
      <w:color w:val="000000" w:themeColor="text1"/>
      <w:sz w:val="24"/>
      <w14:textFill>
        <w14:solidFill>
          <w14:schemeClr w14:val="tx1"/>
        </w14:solidFill>
      </w14:textFill>
    </w:rPr>
  </w:style>
  <w:style w:type="character" w:customStyle="1" w:styleId="40">
    <w:name w:val="Título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41">
    <w:name w:val="Título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Título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
    <w:name w:val="Cabeçalho Char"/>
    <w:basedOn w:val="11"/>
    <w:link w:val="25"/>
    <w:qFormat/>
    <w:uiPriority w:val="99"/>
    <w:rPr>
      <w:rFonts w:ascii="Arial" w:hAnsi="Arial"/>
      <w:color w:val="000000" w:themeColor="text1"/>
      <w:sz w:val="24"/>
      <w14:textFill>
        <w14:solidFill>
          <w14:schemeClr w14:val="tx1"/>
        </w14:solidFill>
      </w14:textFill>
    </w:rPr>
  </w:style>
  <w:style w:type="paragraph" w:customStyle="1" w:styleId="44">
    <w:name w:val="Citação Longa"/>
    <w:basedOn w:val="1"/>
    <w:qFormat/>
    <w:uiPriority w:val="0"/>
    <w:pPr>
      <w:tabs>
        <w:tab w:val="left" w:pos="1021"/>
        <w:tab w:val="left" w:pos="1276"/>
      </w:tabs>
      <w:spacing w:line="240" w:lineRule="auto"/>
      <w:ind w:left="2268" w:firstLine="0"/>
    </w:pPr>
    <w:rPr>
      <w:sz w:val="20"/>
    </w:rPr>
  </w:style>
  <w:style w:type="paragraph" w:customStyle="1" w:styleId="45">
    <w:name w:val="Título das Imagens"/>
    <w:basedOn w:val="28"/>
    <w:qFormat/>
    <w:uiPriority w:val="0"/>
    <w:pPr>
      <w:keepNext/>
    </w:pPr>
    <w:rPr>
      <w:i/>
      <w:color w:val="000000" w:themeColor="text1"/>
      <w14:textFill>
        <w14:solidFill>
          <w14:schemeClr w14:val="tx1"/>
        </w14:solidFill>
      </w14:textFill>
    </w:rPr>
  </w:style>
  <w:style w:type="paragraph" w:customStyle="1" w:styleId="46">
    <w:name w:val="Fonte das imagens"/>
    <w:basedOn w:val="1"/>
    <w:link w:val="64"/>
    <w:qFormat/>
    <w:uiPriority w:val="0"/>
    <w:pPr>
      <w:spacing w:line="240" w:lineRule="auto"/>
      <w:ind w:firstLine="0"/>
      <w:jc w:val="center"/>
    </w:pPr>
    <w:rPr>
      <w:sz w:val="20"/>
      <w:szCs w:val="20"/>
    </w:rPr>
  </w:style>
  <w:style w:type="paragraph" w:customStyle="1" w:styleId="47">
    <w:name w:val="Elementos Pré-textuais"/>
    <w:basedOn w:val="1"/>
    <w:next w:val="48"/>
    <w:qFormat/>
    <w:uiPriority w:val="0"/>
    <w:pPr>
      <w:pageBreakBefore/>
      <w:ind w:firstLine="0"/>
      <w:jc w:val="center"/>
    </w:pPr>
    <w:rPr>
      <w:b/>
      <w:caps/>
    </w:rPr>
  </w:style>
  <w:style w:type="paragraph" w:customStyle="1" w:styleId="48">
    <w:name w:val="Resumo"/>
    <w:basedOn w:val="1"/>
    <w:qFormat/>
    <w:uiPriority w:val="0"/>
    <w:pPr>
      <w:ind w:firstLine="0"/>
    </w:pPr>
  </w:style>
  <w:style w:type="paragraph" w:customStyle="1" w:styleId="49">
    <w:name w:val="Referências"/>
    <w:basedOn w:val="1"/>
    <w:link w:val="57"/>
    <w:qFormat/>
    <w:uiPriority w:val="0"/>
    <w:pPr>
      <w:spacing w:after="240" w:line="240" w:lineRule="auto"/>
      <w:ind w:firstLine="0"/>
      <w:jc w:val="left"/>
    </w:pPr>
  </w:style>
  <w:style w:type="character" w:customStyle="1" w:styleId="50">
    <w:name w:val="Rodapé Char"/>
    <w:basedOn w:val="11"/>
    <w:link w:val="27"/>
    <w:qFormat/>
    <w:uiPriority w:val="99"/>
    <w:rPr>
      <w:rFonts w:ascii="Arial" w:hAnsi="Arial"/>
      <w:color w:val="000000" w:themeColor="text1"/>
      <w:sz w:val="20"/>
      <w14:textFill>
        <w14:solidFill>
          <w14:schemeClr w14:val="tx1"/>
        </w14:solidFill>
      </w14:textFill>
    </w:rPr>
  </w:style>
  <w:style w:type="character" w:customStyle="1" w:styleId="51">
    <w:name w:val="Texto de comentário Char"/>
    <w:basedOn w:val="11"/>
    <w:link w:val="20"/>
    <w:qFormat/>
    <w:uiPriority w:val="0"/>
    <w:rPr>
      <w:rFonts w:ascii="Arial" w:hAnsi="Arial" w:eastAsiaTheme="minorEastAsia"/>
      <w:sz w:val="20"/>
      <w:szCs w:val="20"/>
    </w:rPr>
  </w:style>
  <w:style w:type="character" w:customStyle="1" w:styleId="52">
    <w:name w:val="Texto de nota de rodapé Char"/>
    <w:basedOn w:val="11"/>
    <w:link w:val="31"/>
    <w:semiHidden/>
    <w:uiPriority w:val="99"/>
    <w:rPr>
      <w:rFonts w:ascii="Arial" w:hAnsi="Arial"/>
      <w:color w:val="000000" w:themeColor="text1"/>
      <w:sz w:val="20"/>
      <w:szCs w:val="20"/>
      <w14:textFill>
        <w14:solidFill>
          <w14:schemeClr w14:val="tx1"/>
        </w14:solidFill>
      </w14:textFill>
    </w:rPr>
  </w:style>
  <w:style w:type="paragraph" w:styleId="53">
    <w:name w:val="Quote"/>
    <w:basedOn w:val="1"/>
    <w:next w:val="1"/>
    <w:link w:val="54"/>
    <w:qFormat/>
    <w:uiPriority w:val="29"/>
    <w:pPr>
      <w:tabs>
        <w:tab w:val="left" w:pos="284"/>
        <w:tab w:val="left" w:pos="851"/>
      </w:tabs>
      <w:spacing w:line="240" w:lineRule="auto"/>
      <w:ind w:left="2268" w:firstLine="0"/>
    </w:pPr>
    <w:rPr>
      <w:rFonts w:cs="Arial"/>
      <w:color w:val="auto"/>
      <w:sz w:val="20"/>
      <w:szCs w:val="20"/>
    </w:rPr>
  </w:style>
  <w:style w:type="character" w:customStyle="1" w:styleId="54">
    <w:name w:val="Citação Char"/>
    <w:basedOn w:val="11"/>
    <w:link w:val="53"/>
    <w:uiPriority w:val="29"/>
    <w:rPr>
      <w:rFonts w:ascii="Arial" w:hAnsi="Arial" w:cs="Arial"/>
      <w:sz w:val="20"/>
      <w:szCs w:val="20"/>
    </w:rPr>
  </w:style>
  <w:style w:type="paragraph" w:customStyle="1" w:styleId="55">
    <w:name w:val="Elementos da capa"/>
    <w:basedOn w:val="1"/>
    <w:qFormat/>
    <w:uiPriority w:val="0"/>
    <w:pPr>
      <w:ind w:firstLine="0"/>
      <w:jc w:val="center"/>
    </w:pPr>
    <w:rPr>
      <w:rFonts w:cs="Arial"/>
      <w:b/>
      <w:caps/>
      <w:szCs w:val="24"/>
      <w:lang w:eastAsia="pt-BR"/>
    </w:rPr>
  </w:style>
  <w:style w:type="paragraph" w:customStyle="1" w:styleId="56">
    <w:name w:val="Natureza do trabalho"/>
    <w:basedOn w:val="1"/>
    <w:qFormat/>
    <w:uiPriority w:val="0"/>
    <w:pPr>
      <w:spacing w:line="240" w:lineRule="auto"/>
      <w:ind w:left="4536" w:firstLine="0"/>
    </w:pPr>
    <w:rPr>
      <w:rFonts w:cs="Arial"/>
      <w:szCs w:val="24"/>
    </w:rPr>
  </w:style>
  <w:style w:type="character" w:customStyle="1" w:styleId="57">
    <w:name w:val="Referências Char"/>
    <w:basedOn w:val="11"/>
    <w:link w:val="49"/>
    <w:locked/>
    <w:uiPriority w:val="0"/>
    <w:rPr>
      <w:rFonts w:ascii="Arial" w:hAnsi="Arial"/>
      <w:color w:val="000000" w:themeColor="text1"/>
      <w:sz w:val="24"/>
      <w14:textFill>
        <w14:solidFill>
          <w14:schemeClr w14:val="tx1"/>
        </w14:solidFill>
      </w14:textFill>
    </w:rPr>
  </w:style>
  <w:style w:type="paragraph" w:customStyle="1" w:styleId="58">
    <w:name w:val="Banca examinadora"/>
    <w:basedOn w:val="1"/>
    <w:qFormat/>
    <w:uiPriority w:val="0"/>
    <w:pPr>
      <w:ind w:firstLine="0"/>
      <w:jc w:val="center"/>
    </w:pPr>
  </w:style>
  <w:style w:type="paragraph" w:customStyle="1" w:styleId="59">
    <w:name w:val="Epigrafe até 3 linhas"/>
    <w:basedOn w:val="1"/>
    <w:qFormat/>
    <w:uiPriority w:val="0"/>
    <w:pPr>
      <w:ind w:left="4536" w:firstLine="0"/>
    </w:pPr>
  </w:style>
  <w:style w:type="paragraph" w:customStyle="1" w:styleId="60">
    <w:name w:val="Epigrafe mais de 3 linhas"/>
    <w:basedOn w:val="59"/>
    <w:qFormat/>
    <w:uiPriority w:val="0"/>
    <w:pPr>
      <w:spacing w:line="240" w:lineRule="auto"/>
    </w:pPr>
    <w:rPr>
      <w:sz w:val="20"/>
    </w:rPr>
  </w:style>
  <w:style w:type="paragraph" w:styleId="61">
    <w:name w:val="List Paragraph"/>
    <w:basedOn w:val="1"/>
    <w:qFormat/>
    <w:uiPriority w:val="34"/>
    <w:pPr>
      <w:spacing w:after="120" w:line="264" w:lineRule="auto"/>
      <w:ind w:left="720" w:firstLine="0"/>
      <w:contextualSpacing/>
      <w:jc w:val="left"/>
    </w:pPr>
    <w:rPr>
      <w:rFonts w:asciiTheme="minorHAnsi" w:hAnsiTheme="minorHAnsi" w:eastAsiaTheme="minorEastAsia"/>
      <w:color w:val="auto"/>
      <w:sz w:val="21"/>
      <w:szCs w:val="21"/>
    </w:rPr>
  </w:style>
  <w:style w:type="paragraph" w:customStyle="1" w:styleId="62">
    <w:name w:val="Texto"/>
    <w:basedOn w:val="23"/>
    <w:link w:val="63"/>
    <w:qFormat/>
    <w:uiPriority w:val="0"/>
    <w:pPr>
      <w:ind w:firstLine="708"/>
    </w:pPr>
    <w:rPr>
      <w:rFonts w:ascii="Arial" w:hAnsi="Arial" w:eastAsia="Times New Roman" w:cs="Arial"/>
      <w:lang w:eastAsia="pt-BR"/>
    </w:rPr>
  </w:style>
  <w:style w:type="character" w:customStyle="1" w:styleId="63">
    <w:name w:val="Texto Char"/>
    <w:basedOn w:val="11"/>
    <w:link w:val="62"/>
    <w:qFormat/>
    <w:uiPriority w:val="0"/>
    <w:rPr>
      <w:rFonts w:ascii="Arial" w:hAnsi="Arial" w:eastAsia="Times New Roman" w:cs="Arial"/>
      <w:color w:val="000000" w:themeColor="text1"/>
      <w:sz w:val="24"/>
      <w:szCs w:val="24"/>
      <w:lang w:eastAsia="pt-BR"/>
      <w14:textFill>
        <w14:solidFill>
          <w14:schemeClr w14:val="tx1"/>
        </w14:solidFill>
      </w14:textFill>
    </w:rPr>
  </w:style>
  <w:style w:type="character" w:customStyle="1" w:styleId="64">
    <w:name w:val="Fonte das imagens Char"/>
    <w:basedOn w:val="11"/>
    <w:link w:val="46"/>
    <w:uiPriority w:val="0"/>
    <w:rPr>
      <w:rFonts w:ascii="Arial" w:hAnsi="Arial"/>
      <w:color w:val="000000" w:themeColor="text1"/>
      <w:sz w:val="20"/>
      <w:szCs w:val="20"/>
      <w14:textFill>
        <w14:solidFill>
          <w14:schemeClr w14:val="tx1"/>
        </w14:solidFill>
      </w14:textFill>
    </w:rPr>
  </w:style>
  <w:style w:type="character" w:customStyle="1" w:styleId="65">
    <w:name w:val="Assunto do comentário Char"/>
    <w:basedOn w:val="51"/>
    <w:link w:val="26"/>
    <w:semiHidden/>
    <w:uiPriority w:val="99"/>
    <w:rPr>
      <w:rFonts w:ascii="Arial" w:hAnsi="Arial" w:eastAsiaTheme="minorEastAsia"/>
      <w:b/>
      <w:bCs/>
      <w:color w:val="000000" w:themeColor="text1"/>
      <w:sz w:val="20"/>
      <w:szCs w:val="20"/>
      <w14:textFill>
        <w14:solidFill>
          <w14:schemeClr w14:val="tx1"/>
        </w14:solidFill>
      </w14:textFill>
    </w:rPr>
  </w:style>
  <w:style w:type="character" w:customStyle="1" w:styleId="66">
    <w:name w:val="Texto de balão Char"/>
    <w:basedOn w:val="11"/>
    <w:link w:val="30"/>
    <w:semiHidden/>
    <w:uiPriority w:val="99"/>
    <w:rPr>
      <w:rFonts w:ascii="Segoe UI" w:hAnsi="Segoe UI" w:cs="Segoe UI"/>
      <w:color w:val="000000" w:themeColor="text1"/>
      <w:sz w:val="18"/>
      <w:szCs w:val="18"/>
      <w14:textFill>
        <w14:solidFill>
          <w14:schemeClr w14:val="tx1"/>
        </w14:solidFill>
      </w14:textFill>
    </w:rPr>
  </w:style>
  <w:style w:type="character" w:customStyle="1" w:styleId="67">
    <w:name w:val="Unresolved Mention"/>
    <w:basedOn w:val="11"/>
    <w:semiHidden/>
    <w:unhideWhenUsed/>
    <w:uiPriority w:val="99"/>
    <w:rPr>
      <w:color w:val="605E5C"/>
      <w:shd w:val="clear" w:color="auto" w:fill="E1DFDD"/>
    </w:rPr>
  </w:style>
  <w:style w:type="paragraph" w:customStyle="1" w:styleId="68">
    <w:name w:val="TOC Heading"/>
    <w:basedOn w:val="2"/>
    <w:next w:val="1"/>
    <w:unhideWhenUsed/>
    <w:qFormat/>
    <w:uiPriority w:val="39"/>
    <w:pPr>
      <w:pageBreakBefore w:val="0"/>
      <w:numPr>
        <w:ilvl w:val="0"/>
        <w:numId w:val="0"/>
      </w:numPr>
      <w:spacing w:before="240" w:line="259" w:lineRule="auto"/>
      <w:jc w:val="left"/>
      <w:outlineLvl w:val="9"/>
    </w:pPr>
    <w:rPr>
      <w:rFonts w:asciiTheme="majorHAnsi" w:hAnsiTheme="majorHAnsi"/>
      <w:b w:val="0"/>
      <w:caps w:val="0"/>
      <w:color w:val="2F5597" w:themeColor="accent1" w:themeShade="BF"/>
      <w:sz w:val="32"/>
      <w:lang w:eastAsia="pt-B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C3D86-4755-4386-9EAA-D0A74BA7C06B}">
  <ds:schemaRefs/>
</ds:datastoreItem>
</file>

<file path=customXml/itemProps3.xml><?xml version="1.0" encoding="utf-8"?>
<ds:datastoreItem xmlns:ds="http://schemas.openxmlformats.org/officeDocument/2006/customXml" ds:itemID="{C9F93CEB-8B40-49C2-9559-ACBDB3940E03}">
  <ds:schemaRefs/>
</ds:datastoreItem>
</file>

<file path=customXml/itemProps4.xml><?xml version="1.0" encoding="utf-8"?>
<ds:datastoreItem xmlns:ds="http://schemas.openxmlformats.org/officeDocument/2006/customXml" ds:itemID="{FE9D23DB-2816-4719-8003-AA2718D8FA81}">
  <ds:schemaRefs/>
</ds:datastoreItem>
</file>

<file path=customXml/itemProps5.xml><?xml version="1.0" encoding="utf-8"?>
<ds:datastoreItem xmlns:ds="http://schemas.openxmlformats.org/officeDocument/2006/customXml" ds:itemID="{BD5B7501-A9AF-4DF5-95C4-E355D43DE9C0}">
  <ds:schemaRefs/>
</ds:datastoreItem>
</file>

<file path=docProps/app.xml><?xml version="1.0" encoding="utf-8"?>
<Properties xmlns="http://schemas.openxmlformats.org/officeDocument/2006/extended-properties" xmlns:vt="http://schemas.openxmlformats.org/officeDocument/2006/docPropsVTypes">
  <Template>Normal</Template>
  <Pages>34</Pages>
  <Words>850</Words>
  <Characters>6314</Characters>
  <Lines>75</Lines>
  <Paragraphs>21</Paragraphs>
  <TotalTime>107</TotalTime>
  <ScaleCrop>false</ScaleCrop>
  <LinksUpToDate>false</LinksUpToDate>
  <CharactersWithSpaces>7081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2022-08-20T12:27:00Z</dcterms:created>
  <dc:creator>Aline</dc:creator>
  <cp:lastModifiedBy>Suporte</cp:lastModifiedBy>
  <cp:lastPrinted>2022-09-01T12:12:00Z</cp:lastPrinted>
  <dcterms:modified xsi:type="dcterms:W3CDTF">2026-06-10T02:19:24Z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y fmtid="{D5CDD505-2E9C-101B-9397-08002B2CF9AE}" pid="23" name="KSOTemplateDocerSaveRecord">
    <vt:lpwstr>eyJoZGlkIjoiNzgyNTQwY2RlMDIwNzkxMTA1ZGEyZjUwMTQ2ODA2NjAifQ==</vt:lpwstr>
  </property>
  <property fmtid="{D5CDD505-2E9C-101B-9397-08002B2CF9AE}" pid="24" name="KSOProductBuildVer">
    <vt:lpwstr>1046-12.1.0.26880</vt:lpwstr>
  </property>
  <property fmtid="{D5CDD505-2E9C-101B-9397-08002B2CF9AE}" pid="25" name="ICV">
    <vt:lpwstr>60D2B67C7D6D4C088F719B42896B8AFA_12</vt:lpwstr>
  </property>
</Properties>
</file>