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36"/>
        </w:rPr>
        <w:t>Relatório de ETL — Taxas de Rendimento Escolar</w:t>
      </w:r>
    </w:p>
    <w:p>
      <w:pPr>
        <w:spacing w:before="160" w:after="80"/>
      </w:pPr>
      <w:r>
        <w:rPr>
          <w:rFonts w:ascii="Calibri" w:hAnsi="Calibri"/>
          <w:b/>
          <w:color w:val="2E74B5"/>
          <w:sz w:val="28"/>
        </w:rPr>
        <w:t>Predição de Evasão Escolar em Pernambuco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Versão:</w:t>
      </w:r>
      <w:r>
        <w:rPr>
          <w:rFonts w:ascii="Calibri" w:hAnsi="Calibri"/>
          <w:color w:val="000000"/>
          <w:sz w:val="22"/>
        </w:rPr>
        <w:t xml:space="preserve"> 1.0 </w:t>
      </w:r>
      <w:r>
        <w:rPr>
          <w:rFonts w:ascii="Calibri" w:hAnsi="Calibri"/>
          <w:b/>
          <w:color w:val="000000"/>
          <w:sz w:val="22"/>
        </w:rPr>
        <w:t>Data:</w:t>
      </w:r>
      <w:r>
        <w:rPr>
          <w:rFonts w:ascii="Calibri" w:hAnsi="Calibri"/>
          <w:color w:val="000000"/>
          <w:sz w:val="22"/>
        </w:rPr>
        <w:t xml:space="preserve"> 2026-05-28 </w:t>
      </w:r>
      <w:r>
        <w:rPr>
          <w:rFonts w:ascii="Calibri" w:hAnsi="Calibri"/>
          <w:b/>
          <w:color w:val="000000"/>
          <w:sz w:val="22"/>
        </w:rPr>
        <w:t>Escopo:</w:t>
      </w:r>
      <w:r>
        <w:rPr>
          <w:rFonts w:ascii="Calibri" w:hAnsi="Calibri"/>
          <w:color w:val="000000"/>
          <w:sz w:val="22"/>
        </w:rPr>
        <w:t xml:space="preserve"> ETL das Taxas de Rendimento Escolar (INEP) — filtro PE/Estadual/EM, limpeza, normalização e geração do painel interim </w:t>
      </w:r>
      <w:r>
        <w:rPr>
          <w:rFonts w:ascii="Calibri" w:hAnsi="Calibri"/>
          <w:b/>
          <w:color w:val="000000"/>
          <w:sz w:val="22"/>
        </w:rPr>
        <w:t>Base de dados bruta:</w:t>
      </w:r>
      <w:r>
        <w:rPr>
          <w:rFonts w:ascii="Calibri" w:hAnsi="Calibri"/>
          <w:color w:val="000000"/>
          <w:sz w:val="22"/>
        </w:rPr>
        <w:t xml:space="preserve"> </w:t>
      </w:r>
      <w:r>
        <w:rPr>
          <w:rFonts w:ascii="Courier New" w:hAnsi="Courier New"/>
          <w:color w:val="C0392B"/>
          <w:sz w:val="21"/>
        </w:rPr>
        <w:t>data/raw/taxas_rendimento/tx_rend_escolas_{2022,2023,2024}.xlsx</w:t>
      </w:r>
      <w:r>
        <w:rPr>
          <w:rFonts w:ascii="Calibri" w:hAnsi="Calibri"/>
          <w:color w:val="000000"/>
          <w:sz w:val="22"/>
        </w:rPr>
        <w:t xml:space="preserve"> </w:t>
      </w:r>
      <w:r>
        <w:rPr>
          <w:rFonts w:ascii="Calibri" w:hAnsi="Calibri"/>
          <w:b/>
          <w:color w:val="000000"/>
          <w:sz w:val="22"/>
        </w:rPr>
        <w:t>Saída gerada:</w:t>
      </w:r>
      <w:r>
        <w:rPr>
          <w:rFonts w:ascii="Calibri" w:hAnsi="Calibri"/>
          <w:color w:val="000000"/>
          <w:sz w:val="22"/>
        </w:rPr>
        <w:t xml:space="preserve"> </w:t>
      </w:r>
      <w:r>
        <w:rPr>
          <w:rFonts w:ascii="Courier New" w:hAnsi="Courier New"/>
          <w:color w:val="C0392B"/>
          <w:sz w:val="21"/>
        </w:rPr>
        <w:t>data/interim/taxas_rendimento_pe_estadual_em.parquet</w:t>
      </w:r>
    </w:p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2E74B5"/>
          <w:sz w:val="28"/>
        </w:rPr>
        <w:t>1. Contexto e motivação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 xml:space="preserve">As </w:t>
      </w:r>
      <w:r>
        <w:rPr>
          <w:rFonts w:ascii="Calibri" w:hAnsi="Calibri"/>
          <w:b/>
          <w:color w:val="000000"/>
          <w:sz w:val="22"/>
        </w:rPr>
        <w:t>Taxas de Rendimento Escolar</w:t>
      </w:r>
      <w:r>
        <w:rPr>
          <w:rFonts w:ascii="Calibri" w:hAnsi="Calibri"/>
          <w:color w:val="000000"/>
          <w:sz w:val="22"/>
        </w:rPr>
        <w:t xml:space="preserve"> publicadas anualmente pelo INEP são a principal fonte para a construção do </w:t>
      </w:r>
      <w:r>
        <w:rPr>
          <w:rFonts w:ascii="Calibri" w:hAnsi="Calibri"/>
          <w:b/>
          <w:color w:val="000000"/>
          <w:sz w:val="22"/>
        </w:rPr>
        <w:t>target do projeto</w:t>
      </w:r>
      <w:r>
        <w:rPr>
          <w:rFonts w:ascii="Calibri" w:hAnsi="Calibri"/>
          <w:color w:val="000000"/>
          <w:sz w:val="22"/>
        </w:rPr>
        <w:t>: a taxa de abandono do Ensino Médio (</w:t>
      </w:r>
      <w:r>
        <w:rPr>
          <w:rFonts w:ascii="Courier New" w:hAnsi="Courier New"/>
          <w:color w:val="C0392B"/>
          <w:sz w:val="21"/>
        </w:rPr>
        <w:t>TAXA_ABND_MED</w:t>
      </w:r>
      <w:r>
        <w:rPr>
          <w:rFonts w:ascii="Calibri" w:hAnsi="Calibri"/>
          <w:color w:val="000000"/>
          <w:sz w:val="22"/>
        </w:rPr>
        <w:t xml:space="preserve">). A lógica temporal do modelo exige que, para cada escola no ano </w:t>
      </w:r>
      <w:r>
        <w:rPr>
          <w:rFonts w:ascii="Calibri" w:hAnsi="Calibri"/>
          <w:i/>
          <w:color w:val="000000"/>
          <w:sz w:val="22"/>
        </w:rPr>
        <w:t>t</w:t>
      </w:r>
      <w:r>
        <w:rPr>
          <w:rFonts w:ascii="Calibri" w:hAnsi="Calibri"/>
          <w:color w:val="000000"/>
          <w:sz w:val="22"/>
        </w:rPr>
        <w:t xml:space="preserve">, o alvo seja a taxa de abandono observada no ano </w:t>
      </w:r>
      <w:r>
        <w:rPr>
          <w:rFonts w:ascii="Calibri" w:hAnsi="Calibri"/>
          <w:i/>
          <w:color w:val="000000"/>
          <w:sz w:val="22"/>
        </w:rPr>
        <w:t>t+1</w:t>
      </w:r>
      <w:r>
        <w:rPr>
          <w:rFonts w:ascii="Calibri" w:hAnsi="Calibri"/>
          <w:color w:val="000000"/>
          <w:sz w:val="22"/>
        </w:rPr>
        <w:t xml:space="preserve"> — o que torna esses dados insubstituíveis, não apenas como target mas também como fonte de features históricas (taxa de abandono no ano anterior é, intuitivamente, um dos preditores mais fortes).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 xml:space="preserve">Além do abandono, os arquivos contêm as taxas de </w:t>
      </w:r>
      <w:r>
        <w:rPr>
          <w:rFonts w:ascii="Calibri" w:hAnsi="Calibri"/>
          <w:b/>
          <w:color w:val="000000"/>
          <w:sz w:val="22"/>
        </w:rPr>
        <w:t>aprovação</w:t>
      </w:r>
      <w:r>
        <w:rPr>
          <w:rFonts w:ascii="Calibri" w:hAnsi="Calibri"/>
          <w:color w:val="000000"/>
          <w:sz w:val="22"/>
        </w:rPr>
        <w:t xml:space="preserve"> e </w:t>
      </w:r>
      <w:r>
        <w:rPr>
          <w:rFonts w:ascii="Calibri" w:hAnsi="Calibri"/>
          <w:b/>
          <w:color w:val="000000"/>
          <w:sz w:val="22"/>
        </w:rPr>
        <w:t>reprovação</w:t>
      </w:r>
      <w:r>
        <w:rPr>
          <w:rFonts w:ascii="Calibri" w:hAnsi="Calibri"/>
          <w:color w:val="000000"/>
          <w:sz w:val="22"/>
        </w:rPr>
        <w:t xml:space="preserve"> por série, que serão aproveitadas como features no Notebook 03 (feature engineering). O ETL descrito neste documento trata, filtra e normaliza essas informações, preparando-as para o join com o painel do Censo Escolar.</w:t>
      </w:r>
    </w:p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2E74B5"/>
          <w:sz w:val="28"/>
        </w:rPr>
        <w:t>2. O que foi implementado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2.1 Módulos criados ou alterados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src/data/build_taxas_rendimento.py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Criado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ETL completo das taxas de rendimento: carga, filtro, normalização, validação e persistência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src/data/build_target.py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Reescrito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 xml:space="preserve">Simplificado para usar </w:t>
            </w:r>
            <w:r>
              <w:rPr>
                <w:rFonts w:ascii="Courier New" w:hAnsi="Courier New"/>
                <w:color w:val="C0392B"/>
                <w:sz w:val="19"/>
              </w:rPr>
              <w:t>build_taxas_rendimento</w:t>
            </w:r>
            <w:r>
              <w:rPr>
                <w:rFonts w:ascii="Calibri" w:hAnsi="Calibri"/>
                <w:color w:val="000000"/>
                <w:sz w:val="20"/>
              </w:rPr>
              <w:t xml:space="preserve"> como dependência; lógica de join Censo ↔ taxas para construção do target </w:t>
            </w:r>
            <w:r>
              <w:rPr>
                <w:rFonts w:ascii="Calibri" w:hAnsi="Calibri"/>
                <w:i/>
                <w:color w:val="000000"/>
                <w:sz w:val="20"/>
              </w:rPr>
              <w:t>t+1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2.2 Pipeline de ETL implementado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 xml:space="preserve">O módulo </w:t>
      </w:r>
      <w:r>
        <w:rPr>
          <w:rFonts w:ascii="Courier New" w:hAnsi="Courier New"/>
          <w:color w:val="C0392B"/>
          <w:sz w:val="21"/>
        </w:rPr>
        <w:t>build_taxas_rendimento.py</w:t>
      </w:r>
      <w:r>
        <w:rPr>
          <w:rFonts w:ascii="Calibri" w:hAnsi="Calibri"/>
          <w:color w:val="000000"/>
          <w:sz w:val="22"/>
        </w:rPr>
        <w:t xml:space="preserve"> executa as seguintes etapas em sequência, por ano, antes de concatenar o painel: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xlsx bruto (INEP)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 │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 ├── [1] Leitura com header=8 (pula 8 linhas de cabeçalho institucional)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 ├── [2] Filtro: SG_UF == 'PE' AND NO_DEPENDENCIA == 'Estadual'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 ├── [3] Seleção das colunas relevantes (ID + 18 colunas de taxa EM)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 ├── [4] Substituição de '--' por NaN e conversão para float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 ├── [5] Remoção de escolas sem oferta/dados de EM (TAXA_ABND_MED nulo)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 ├── [6] Cast de CO_ENTIDADE e CO_MUNICIPIO para Int64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 ├── [7] Validação de consistência (Aprovação + Reprovação + Abandono ≈ 100%)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 └── [8] Adição da coluna NU_ANO_CENSO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      │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      ↓ (concatenação dos 3 anos)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 [9] Ordenação por CO_ENTIDADE, NU_ANO_CENSO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[10] Reordenação de colunas: identificadores primeiro, depois taxas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 xml:space="preserve">  [11] Salvamento em data/interim/taxas_rendimento_pe_estadual_em.parquet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2.3 Convenção de nomes adotada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 xml:space="preserve">O INEP publica as colunas de taxa com uma nomenclatura técnica pouco legível (ex.: </w:t>
      </w:r>
      <w:r>
        <w:rPr>
          <w:rFonts w:ascii="Courier New" w:hAnsi="Courier New"/>
          <w:color w:val="C0392B"/>
          <w:sz w:val="21"/>
        </w:rPr>
        <w:t>3_CAT_MED_01</w:t>
      </w:r>
      <w:r>
        <w:rPr>
          <w:rFonts w:ascii="Calibri" w:hAnsi="Calibri"/>
          <w:color w:val="000000"/>
          <w:sz w:val="22"/>
        </w:rPr>
        <w:t xml:space="preserve">). Todas foram renomeadas para nomes autoexplicativos seguindo o padrão </w:t>
      </w:r>
      <w:r>
        <w:rPr>
          <w:rFonts w:ascii="Courier New" w:hAnsi="Courier New"/>
          <w:color w:val="C0392B"/>
          <w:sz w:val="21"/>
        </w:rPr>
        <w:t>TAXA_{TIPO}_MED_{SERIE}</w:t>
      </w:r>
      <w:r>
        <w:rPr>
          <w:rFonts w:ascii="Calibri" w:hAnsi="Calibri"/>
          <w:color w:val="000000"/>
          <w:sz w:val="22"/>
        </w:rP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Coluna INEP</w:t>
            </w:r>
          </w:p>
        </w:tc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Nome padronizado</w:t>
            </w:r>
          </w:p>
        </w:tc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1_CAT_MED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TAXA_APROV_MED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Taxa de Aprovação — EM Total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1_CAT_MED_01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TAXA_APROV_MED_S1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Taxa de Aprovação — 1ª Série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1_CAT_MED_02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TAXA_APROV_MED_S2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Taxa de Aprovação — 2ª Série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1_CAT_MED_03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TAXA_APROV_MED_S3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Taxa de Aprovação — 3ª Série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1_CAT_MED_04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TAXA_APROV_MED_S4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Taxa de Aprovação — 4ª Série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1_CAT_MED_NS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TAXA_APROV_MED_NS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Taxa de Aprovação — EM Não Seriado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2_CAT_MED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TAXA_REPROV_MED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Taxa de Reprovação — EM Total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2_CAT_MED_01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TAXA_REPROV_MED_S1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Taxa de Reprovação — 1ª Série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…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…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… (mesmo padrão)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3_CAT_MED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TAXA_ABND_MED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 xml:space="preserve">Taxa de Abandono — EM Total </w:t>
            </w:r>
            <w:r>
              <w:rPr>
                <w:rFonts w:ascii="Calibri" w:hAnsi="Calibri"/>
                <w:b/>
                <w:color w:val="000000"/>
                <w:sz w:val="20"/>
              </w:rPr>
              <w:t>(target)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3_CAT_MED_01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TAXA_ABND_MED_S1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Taxa de Abandono — 1ª Série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3_CAT_MED_02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TAXA_ABND_MED_S2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Taxa de Abandono — 2ª Série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3_CAT_MED_03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TAXA_ABND_MED_S3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Taxa de Abandono — 3ª Série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3_CAT_MED_04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TAXA_ABND_MED_S4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Taxa de Abandono — 4ª Série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3_CAT_MED_NS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TAXA_ABND_MED_NS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Taxa de Abandono — EM Não Seriado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000000"/>
          <w:sz w:val="22"/>
        </w:rPr>
        <w:t xml:space="preserve">Os prefixos numéricos </w:t>
      </w:r>
      <w:r>
        <w:rPr>
          <w:rFonts w:ascii="Courier New" w:hAnsi="Courier New"/>
          <w:color w:val="C0392B"/>
          <w:sz w:val="21"/>
        </w:rPr>
        <w:t>1_CAT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urier New" w:hAnsi="Courier New"/>
          <w:color w:val="C0392B"/>
          <w:sz w:val="21"/>
        </w:rPr>
        <w:t>2_CAT</w:t>
      </w:r>
      <w:r>
        <w:rPr>
          <w:rFonts w:ascii="Calibri" w:hAnsi="Calibri"/>
          <w:color w:val="000000"/>
          <w:sz w:val="22"/>
        </w:rPr>
        <w:t xml:space="preserve"> e </w:t>
      </w:r>
      <w:r>
        <w:rPr>
          <w:rFonts w:ascii="Courier New" w:hAnsi="Courier New"/>
          <w:color w:val="C0392B"/>
          <w:sz w:val="21"/>
        </w:rPr>
        <w:t>3_CAT</w:t>
      </w:r>
      <w:r>
        <w:rPr>
          <w:rFonts w:ascii="Calibri" w:hAnsi="Calibri"/>
          <w:color w:val="000000"/>
          <w:sz w:val="22"/>
        </w:rPr>
        <w:t xml:space="preserve"> identificam, respectivamente, as categorias </w:t>
      </w:r>
      <w:r>
        <w:rPr>
          <w:rFonts w:ascii="Calibri" w:hAnsi="Calibri"/>
          <w:b/>
          <w:color w:val="000000"/>
          <w:sz w:val="22"/>
        </w:rPr>
        <w:t>Aprovação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alibri" w:hAnsi="Calibri"/>
          <w:b/>
          <w:color w:val="000000"/>
          <w:sz w:val="22"/>
        </w:rPr>
        <w:t>Reprovação</w:t>
      </w:r>
      <w:r>
        <w:rPr>
          <w:rFonts w:ascii="Calibri" w:hAnsi="Calibri"/>
          <w:color w:val="000000"/>
          <w:sz w:val="22"/>
        </w:rPr>
        <w:t xml:space="preserve"> e </w:t>
      </w:r>
      <w:r>
        <w:rPr>
          <w:rFonts w:ascii="Calibri" w:hAnsi="Calibri"/>
          <w:b/>
          <w:color w:val="000000"/>
          <w:sz w:val="22"/>
        </w:rPr>
        <w:t>Abandono</w:t>
      </w:r>
      <w:r>
        <w:rPr>
          <w:rFonts w:ascii="Calibri" w:hAnsi="Calibri"/>
          <w:color w:val="000000"/>
          <w:sz w:val="22"/>
        </w:rPr>
        <w:t xml:space="preserve"> conforme a codificação interna do INEP.</w:t>
      </w:r>
    </w:p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2E74B5"/>
          <w:sz w:val="28"/>
        </w:rPr>
        <w:t>3. Problemas encontrados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3.1 Formato xlsx do INEP: 8 linhas de cabeçalho institucional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O que é:</w:t>
      </w:r>
      <w:r>
        <w:rPr>
          <w:rFonts w:ascii="Calibri" w:hAnsi="Calibri"/>
          <w:color w:val="000000"/>
          <w:sz w:val="22"/>
        </w:rPr>
        <w:t xml:space="preserve"> Os arquivos publicados pelo INEP não começam diretamente com os dados. As primeiras 8 linhas contêm cabeçalhos institucionais (logomarca do Ministério da Educação, nome do INEP, título do relatório, descrição das colunas em formato multi-nível) antes que a linha de cabeçalho real apareça.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Evidência observada: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Linha 0: "Ministério da Educação"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Linha 1: "Instituto Nacional de Estudos e Pesquisas Educacionais Anísio Teixeira"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Linha 2: (vazia)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Linha 3: "Taxas de Rendimento Escolar por escola - 2022"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Linha 4: (descrição longa das colunas)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Linha 5: (nomes das etapas: Fundamental, Médio)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Linha 6: (nomes das séries: 1º Ano, 2º Ano…)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Linha 7: (nomes das sub-colunas: Total, Anos Iniciais…)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Linha 8: NU_ANO_CENSO | NO_REGIAO | SG_UF | ...  ← header real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Linha 9: 2022 | Norte | RO | ...                  ← primeiro dado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Problema:</w:t>
      </w:r>
      <w:r>
        <w:rPr>
          <w:rFonts w:ascii="Calibri" w:hAnsi="Calibri"/>
          <w:color w:val="000000"/>
          <w:sz w:val="22"/>
        </w:rPr>
        <w:t xml:space="preserve"> Ao usar </w:t>
      </w:r>
      <w:r>
        <w:rPr>
          <w:rFonts w:ascii="Courier New" w:hAnsi="Courier New"/>
          <w:color w:val="C0392B"/>
          <w:sz w:val="21"/>
        </w:rPr>
        <w:t>pd.read_excel()</w:t>
      </w:r>
      <w:r>
        <w:rPr>
          <w:rFonts w:ascii="Calibri" w:hAnsi="Calibri"/>
          <w:color w:val="000000"/>
          <w:sz w:val="22"/>
        </w:rPr>
        <w:t xml:space="preserve"> sem especificar o </w:t>
      </w:r>
      <w:r>
        <w:rPr>
          <w:rFonts w:ascii="Courier New" w:hAnsi="Courier New"/>
          <w:color w:val="C0392B"/>
          <w:sz w:val="21"/>
        </w:rPr>
        <w:t>header</w:t>
      </w:r>
      <w:r>
        <w:rPr>
          <w:rFonts w:ascii="Calibri" w:hAnsi="Calibri"/>
          <w:color w:val="000000"/>
          <w:sz w:val="22"/>
        </w:rPr>
        <w:t xml:space="preserve">, o pandas interpreta a linha 0 ("Ministério da Educação") como cabeçalho, gerando colunas </w:t>
      </w:r>
      <w:r>
        <w:rPr>
          <w:rFonts w:ascii="Courier New" w:hAnsi="Courier New"/>
          <w:color w:val="C0392B"/>
          <w:sz w:val="21"/>
        </w:rPr>
        <w:t>Unnamed: 0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urier New" w:hAnsi="Courier New"/>
          <w:color w:val="C0392B"/>
          <w:sz w:val="21"/>
        </w:rPr>
        <w:t>Unnamed: 2</w:t>
      </w:r>
      <w:r>
        <w:rPr>
          <w:rFonts w:ascii="Calibri" w:hAnsi="Calibri"/>
          <w:color w:val="000000"/>
          <w:sz w:val="22"/>
        </w:rPr>
        <w:t>, etc., e descarta os nomes reais. Além disso, lê as 8 linhas de cabeçalho como dados, resultando em um DataFrame de 129.317 linhas com os 8 primeiros registros sendo lixo.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Solução adotada:</w:t>
      </w:r>
      <w:r>
        <w:rPr>
          <w:rFonts w:ascii="Calibri" w:hAnsi="Calibri"/>
          <w:color w:val="000000"/>
          <w:sz w:val="22"/>
        </w:rPr>
        <w:t xml:space="preserve"> </w:t>
      </w:r>
      <w:r>
        <w:rPr>
          <w:rFonts w:ascii="Courier New" w:hAnsi="Courier New"/>
          <w:color w:val="C0392B"/>
          <w:sz w:val="21"/>
        </w:rPr>
        <w:t>pd.read_excel(path, header=8)</w:t>
      </w:r>
      <w:r>
        <w:rPr>
          <w:rFonts w:ascii="Calibri" w:hAnsi="Calibri"/>
          <w:color w:val="000000"/>
          <w:sz w:val="22"/>
        </w:rPr>
        <w:t xml:space="preserve"> — o argumento </w:t>
      </w:r>
      <w:r>
        <w:rPr>
          <w:rFonts w:ascii="Courier New" w:hAnsi="Courier New"/>
          <w:color w:val="C0392B"/>
          <w:sz w:val="21"/>
        </w:rPr>
        <w:t>header=8</w:t>
      </w:r>
      <w:r>
        <w:rPr>
          <w:rFonts w:ascii="Calibri" w:hAnsi="Calibri"/>
          <w:color w:val="000000"/>
          <w:sz w:val="22"/>
        </w:rPr>
        <w:t xml:space="preserve"> instrui o pandas a tratar a linha 8 (0-indexed) como a linha de cabeçalho e ignorar tudo acima. O arquivo passa de 129.317 para 129.309 registros reais.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Justificativa:</w:t>
      </w:r>
      <w:r>
        <w:rPr>
          <w:rFonts w:ascii="Calibri" w:hAnsi="Calibri"/>
          <w:color w:val="000000"/>
          <w:sz w:val="22"/>
        </w:rPr>
        <w:t xml:space="preserve"> A verificação manual das primeiras linhas (leitura sem header) foi essencial para identificar a linha correta. O valor </w:t>
      </w:r>
      <w:r>
        <w:rPr>
          <w:rFonts w:ascii="Courier New" w:hAnsi="Courier New"/>
          <w:color w:val="C0392B"/>
          <w:sz w:val="21"/>
        </w:rPr>
        <w:t>header=8</w:t>
      </w:r>
      <w:r>
        <w:rPr>
          <w:rFonts w:ascii="Calibri" w:hAnsi="Calibri"/>
          <w:color w:val="000000"/>
          <w:sz w:val="22"/>
        </w:rPr>
        <w:t xml:space="preserve"> foi fixado como constante nomeada </w:t>
      </w:r>
      <w:r>
        <w:rPr>
          <w:rFonts w:ascii="Courier New" w:hAnsi="Courier New"/>
          <w:color w:val="C0392B"/>
          <w:sz w:val="21"/>
        </w:rPr>
        <w:t>_HEADER_ROW = 8</w:t>
      </w:r>
      <w:r>
        <w:rPr>
          <w:rFonts w:ascii="Calibri" w:hAnsi="Calibri"/>
          <w:color w:val="000000"/>
          <w:sz w:val="22"/>
        </w:rPr>
        <w:t xml:space="preserve"> no código, com comentário explicativo, dado que pode mudar em versões futuras dos arquivos INEP.</w:t>
      </w:r>
    </w:p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3.2 Sentinela '--' para "escola não oferta esta série"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O que é:</w:t>
      </w:r>
      <w:r>
        <w:rPr>
          <w:rFonts w:ascii="Calibri" w:hAnsi="Calibri"/>
          <w:color w:val="000000"/>
          <w:sz w:val="22"/>
        </w:rPr>
        <w:t xml:space="preserve"> O INEP usa o valor string </w:t>
      </w:r>
      <w:r>
        <w:rPr>
          <w:rFonts w:ascii="Courier New" w:hAnsi="Courier New"/>
          <w:color w:val="C0392B"/>
          <w:sz w:val="21"/>
        </w:rPr>
        <w:t>'--'</w:t>
      </w:r>
      <w:r>
        <w:rPr>
          <w:rFonts w:ascii="Calibri" w:hAnsi="Calibri"/>
          <w:color w:val="000000"/>
          <w:sz w:val="22"/>
        </w:rPr>
        <w:t xml:space="preserve"> (dois hifens) para indicar que a escola não oferta determinada série ou etapa — por exemplo, uma escola que tem apenas 1ª, 2ª e 3ª séries do EM terá </w:t>
      </w:r>
      <w:r>
        <w:rPr>
          <w:rFonts w:ascii="Courier New" w:hAnsi="Courier New"/>
          <w:color w:val="C0392B"/>
          <w:sz w:val="21"/>
        </w:rPr>
        <w:t>'--'</w:t>
      </w:r>
      <w:r>
        <w:rPr>
          <w:rFonts w:ascii="Calibri" w:hAnsi="Calibri"/>
          <w:color w:val="000000"/>
          <w:sz w:val="22"/>
        </w:rPr>
        <w:t xml:space="preserve"> em todas as colunas da 4ª série. Isso é distinto de um dado ausente por falha de coleta.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Problema:</w:t>
      </w:r>
      <w:r>
        <w:rPr>
          <w:rFonts w:ascii="Calibri" w:hAnsi="Calibri"/>
          <w:color w:val="000000"/>
          <w:sz w:val="22"/>
        </w:rPr>
        <w:t xml:space="preserve"> Como o INEP mistura strings (</w:t>
      </w:r>
      <w:r>
        <w:rPr>
          <w:rFonts w:ascii="Courier New" w:hAnsi="Courier New"/>
          <w:color w:val="C0392B"/>
          <w:sz w:val="21"/>
        </w:rPr>
        <w:t>'--'</w:t>
      </w:r>
      <w:r>
        <w:rPr>
          <w:rFonts w:ascii="Calibri" w:hAnsi="Calibri"/>
          <w:color w:val="000000"/>
          <w:sz w:val="22"/>
        </w:rPr>
        <w:t>) e números (</w:t>
      </w:r>
      <w:r>
        <w:rPr>
          <w:rFonts w:ascii="Courier New" w:hAnsi="Courier New"/>
          <w:color w:val="C0392B"/>
          <w:sz w:val="21"/>
        </w:rPr>
        <w:t>100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urier New" w:hAnsi="Courier New"/>
          <w:color w:val="C0392B"/>
          <w:sz w:val="21"/>
        </w:rPr>
        <w:t>0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urier New" w:hAnsi="Courier New"/>
          <w:color w:val="C0392B"/>
          <w:sz w:val="21"/>
        </w:rPr>
        <w:t>85.5</w:t>
      </w:r>
      <w:r>
        <w:rPr>
          <w:rFonts w:ascii="Calibri" w:hAnsi="Calibri"/>
          <w:color w:val="000000"/>
          <w:sz w:val="22"/>
        </w:rPr>
        <w:t xml:space="preserve">) na mesma coluna, o pandas lê todas essas colunas como </w:t>
      </w:r>
      <w:r>
        <w:rPr>
          <w:rFonts w:ascii="Courier New" w:hAnsi="Courier New"/>
          <w:color w:val="C0392B"/>
          <w:sz w:val="21"/>
        </w:rPr>
        <w:t>object</w:t>
      </w:r>
      <w:r>
        <w:rPr>
          <w:rFonts w:ascii="Calibri" w:hAnsi="Calibri"/>
          <w:color w:val="000000"/>
          <w:sz w:val="22"/>
        </w:rPr>
        <w:t xml:space="preserve"> (string). Qualquer operação aritmética direta retornaria erro.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Solução adotada: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df[col] = pd.to_numeric(df[col].replace("--", pd.NA), errors="coerce")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 xml:space="preserve">O </w:t>
      </w:r>
      <w:r>
        <w:rPr>
          <w:rFonts w:ascii="Courier New" w:hAnsi="Courier New"/>
          <w:color w:val="C0392B"/>
          <w:sz w:val="21"/>
        </w:rPr>
        <w:t>replace("--", pd.NA)</w:t>
      </w:r>
      <w:r>
        <w:rPr>
          <w:rFonts w:ascii="Calibri" w:hAnsi="Calibri"/>
          <w:color w:val="000000"/>
          <w:sz w:val="22"/>
        </w:rPr>
        <w:t xml:space="preserve"> converte o sentinela para </w:t>
      </w:r>
      <w:r>
        <w:rPr>
          <w:rFonts w:ascii="Courier New" w:hAnsi="Courier New"/>
          <w:color w:val="C0392B"/>
          <w:sz w:val="21"/>
        </w:rPr>
        <w:t>pandas.NA</w:t>
      </w:r>
      <w:r>
        <w:rPr>
          <w:rFonts w:ascii="Calibri" w:hAnsi="Calibri"/>
          <w:color w:val="000000"/>
          <w:sz w:val="22"/>
        </w:rPr>
        <w:t xml:space="preserve"> antes da conversão numérica. O </w:t>
      </w:r>
      <w:r>
        <w:rPr>
          <w:rFonts w:ascii="Courier New" w:hAnsi="Courier New"/>
          <w:color w:val="C0392B"/>
          <w:sz w:val="21"/>
        </w:rPr>
        <w:t>errors="coerce"</w:t>
      </w:r>
      <w:r>
        <w:rPr>
          <w:rFonts w:ascii="Calibri" w:hAnsi="Calibri"/>
          <w:color w:val="000000"/>
          <w:sz w:val="22"/>
        </w:rPr>
        <w:t xml:space="preserve"> garante que qualquer valor inesperado (eventual lixo textual) também vire NaN em vez de gerar exceção.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Justificativa:</w:t>
      </w:r>
      <w:r>
        <w:rPr>
          <w:rFonts w:ascii="Calibri" w:hAnsi="Calibri"/>
          <w:color w:val="000000"/>
          <w:sz w:val="22"/>
        </w:rPr>
        <w:t xml:space="preserve"> Manter </w:t>
      </w:r>
      <w:r>
        <w:rPr>
          <w:rFonts w:ascii="Courier New" w:hAnsi="Courier New"/>
          <w:color w:val="C0392B"/>
          <w:sz w:val="21"/>
        </w:rPr>
        <w:t>--</w:t>
      </w:r>
      <w:r>
        <w:rPr>
          <w:rFonts w:ascii="Calibri" w:hAnsi="Calibri"/>
          <w:color w:val="000000"/>
          <w:sz w:val="22"/>
        </w:rPr>
        <w:t xml:space="preserve"> como NaN é semanticamente correto: a escola não tem 4ª série, portanto não há taxa a reportar — não é um dado faltante, é ausência da unidade de observação. O modelo de machine learning deve tratar esses NaNs adequadamente (ignorar na agregação ou imputar zero, dependendo do contexto).</w:t>
      </w:r>
    </w:p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3.3 CO_ENTIDADE lido como float pelo Excel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O que é:</w:t>
      </w:r>
      <w:r>
        <w:rPr>
          <w:rFonts w:ascii="Calibri" w:hAnsi="Calibri"/>
          <w:color w:val="000000"/>
          <w:sz w:val="22"/>
        </w:rPr>
        <w:t xml:space="preserve"> A coluna </w:t>
      </w:r>
      <w:r>
        <w:rPr>
          <w:rFonts w:ascii="Courier New" w:hAnsi="Courier New"/>
          <w:color w:val="C0392B"/>
          <w:sz w:val="21"/>
        </w:rPr>
        <w:t>CO_ENTIDADE</w:t>
      </w:r>
      <w:r>
        <w:rPr>
          <w:rFonts w:ascii="Calibri" w:hAnsi="Calibri"/>
          <w:color w:val="000000"/>
          <w:sz w:val="22"/>
        </w:rPr>
        <w:t xml:space="preserve"> (código da escola — chave primária do INEP) é um inteiro de 8 dígitos (ex.: </w:t>
      </w:r>
      <w:r>
        <w:rPr>
          <w:rFonts w:ascii="Courier New" w:hAnsi="Courier New"/>
          <w:color w:val="C0392B"/>
          <w:sz w:val="21"/>
        </w:rPr>
        <w:t>26036731</w:t>
      </w:r>
      <w:r>
        <w:rPr>
          <w:rFonts w:ascii="Calibri" w:hAnsi="Calibri"/>
          <w:color w:val="000000"/>
          <w:sz w:val="22"/>
        </w:rPr>
        <w:t>). No Excel, é armazenada como número.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Problema:</w:t>
      </w:r>
      <w:r>
        <w:rPr>
          <w:rFonts w:ascii="Calibri" w:hAnsi="Calibri"/>
          <w:color w:val="000000"/>
          <w:sz w:val="22"/>
        </w:rPr>
        <w:t xml:space="preserve"> Por causa das linhas de cabeçalho mistas no início do arquivo, o motor do Excel (openpyxl) infere o tipo da coluna como </w:t>
      </w:r>
      <w:r>
        <w:rPr>
          <w:rFonts w:ascii="Courier New" w:hAnsi="Courier New"/>
          <w:color w:val="C0392B"/>
          <w:sz w:val="21"/>
        </w:rPr>
        <w:t>float64</w:t>
      </w:r>
      <w:r>
        <w:rPr>
          <w:rFonts w:ascii="Calibri" w:hAnsi="Calibri"/>
          <w:color w:val="000000"/>
          <w:sz w:val="22"/>
        </w:rPr>
        <w:t xml:space="preserve">, resultando em valores como </w:t>
      </w:r>
      <w:r>
        <w:rPr>
          <w:rFonts w:ascii="Courier New" w:hAnsi="Courier New"/>
          <w:color w:val="C0392B"/>
          <w:sz w:val="21"/>
        </w:rPr>
        <w:t>26036731.0</w:t>
      </w:r>
      <w:r>
        <w:rPr>
          <w:rFonts w:ascii="Calibri" w:hAnsi="Calibri"/>
          <w:color w:val="000000"/>
          <w:sz w:val="22"/>
        </w:rPr>
        <w:t xml:space="preserve">. Se exportado diretamente para parquet ou usado em um join, o </w:t>
      </w:r>
      <w:r>
        <w:rPr>
          <w:rFonts w:ascii="Courier New" w:hAnsi="Courier New"/>
          <w:color w:val="C0392B"/>
          <w:sz w:val="21"/>
        </w:rPr>
        <w:t>.0</w:t>
      </w:r>
      <w:r>
        <w:rPr>
          <w:rFonts w:ascii="Calibri" w:hAnsi="Calibri"/>
          <w:color w:val="000000"/>
          <w:sz w:val="22"/>
        </w:rPr>
        <w:t xml:space="preserve"> seria preservado, causando falhas silenciosas ao cruzar com o </w:t>
      </w:r>
      <w:r>
        <w:rPr>
          <w:rFonts w:ascii="Courier New" w:hAnsi="Courier New"/>
          <w:color w:val="C0392B"/>
          <w:sz w:val="21"/>
        </w:rPr>
        <w:t>CO_ENTIDADE</w:t>
      </w:r>
      <w:r>
        <w:rPr>
          <w:rFonts w:ascii="Calibri" w:hAnsi="Calibri"/>
          <w:color w:val="000000"/>
          <w:sz w:val="22"/>
        </w:rPr>
        <w:t xml:space="preserve"> do Censo (que é inteiro).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Solução adotada: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df["CO_ENTIDADE"] = pd.to_numeric(df["CO_ENTIDADE"], errors="coerce").astype("Int64")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 xml:space="preserve">O cast explícito para </w:t>
      </w:r>
      <w:r>
        <w:rPr>
          <w:rFonts w:ascii="Courier New" w:hAnsi="Courier New"/>
          <w:color w:val="C0392B"/>
          <w:sz w:val="21"/>
        </w:rPr>
        <w:t>Int64</w:t>
      </w:r>
      <w:r>
        <w:rPr>
          <w:rFonts w:ascii="Calibri" w:hAnsi="Calibri"/>
          <w:color w:val="000000"/>
          <w:sz w:val="22"/>
        </w:rPr>
        <w:t xml:space="preserve"> (inteiro nullable do pandas) remove as casas decimais e preserva compatibilidade com valores ausentes sem truncar para </w:t>
      </w:r>
      <w:r>
        <w:rPr>
          <w:rFonts w:ascii="Courier New" w:hAnsi="Courier New"/>
          <w:color w:val="C0392B"/>
          <w:sz w:val="21"/>
        </w:rPr>
        <w:t>int32</w:t>
      </w:r>
      <w:r>
        <w:rPr>
          <w:rFonts w:ascii="Calibri" w:hAnsi="Calibri"/>
          <w:color w:val="000000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Justificativa:</w:t>
      </w:r>
      <w:r>
        <w:rPr>
          <w:rFonts w:ascii="Calibri" w:hAnsi="Calibri"/>
          <w:color w:val="000000"/>
          <w:sz w:val="22"/>
        </w:rPr>
        <w:t xml:space="preserve"> O mesmo tratamento já foi aplicado ao </w:t>
      </w:r>
      <w:r>
        <w:rPr>
          <w:rFonts w:ascii="Courier New" w:hAnsi="Courier New"/>
          <w:color w:val="C0392B"/>
          <w:sz w:val="21"/>
        </w:rPr>
        <w:t>CO_ENTIDADE</w:t>
      </w:r>
      <w:r>
        <w:rPr>
          <w:rFonts w:ascii="Calibri" w:hAnsi="Calibri"/>
          <w:color w:val="000000"/>
          <w:sz w:val="22"/>
        </w:rPr>
        <w:t xml:space="preserve"> no módulo do Censo (</w:t>
      </w:r>
      <w:r>
        <w:rPr>
          <w:rFonts w:ascii="Courier New" w:hAnsi="Courier New"/>
          <w:color w:val="C0392B"/>
          <w:sz w:val="21"/>
        </w:rPr>
        <w:t>build_school_panel.py</w:t>
      </w:r>
      <w:r>
        <w:rPr>
          <w:rFonts w:ascii="Calibri" w:hAnsi="Calibri"/>
          <w:color w:val="000000"/>
          <w:sz w:val="22"/>
        </w:rPr>
        <w:t xml:space="preserve">). Manter consistência de tipo nas chaves de join é crítico para evitar bugs silenciosos onde </w:t>
      </w:r>
      <w:r>
        <w:rPr>
          <w:rFonts w:ascii="Courier New" w:hAnsi="Courier New"/>
          <w:color w:val="C0392B"/>
          <w:sz w:val="21"/>
        </w:rPr>
        <w:t>26036731 != 26036731.0</w:t>
      </w:r>
      <w:r>
        <w:rPr>
          <w:rFonts w:ascii="Calibri" w:hAnsi="Calibri"/>
          <w:color w:val="000000"/>
          <w:sz w:val="22"/>
        </w:rPr>
        <w:t xml:space="preserve"> dependendo do motor de comparação.</w:t>
      </w:r>
    </w:p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3.4 `TAXA_*_MED_S4` — 98,3% nulos (4ª série do EM)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O que é:</w:t>
      </w:r>
      <w:r>
        <w:rPr>
          <w:rFonts w:ascii="Calibri" w:hAnsi="Calibri"/>
          <w:color w:val="000000"/>
          <w:sz w:val="22"/>
        </w:rPr>
        <w:t xml:space="preserve"> As colunas </w:t>
      </w:r>
      <w:r>
        <w:rPr>
          <w:rFonts w:ascii="Courier New" w:hAnsi="Courier New"/>
          <w:color w:val="C0392B"/>
          <w:sz w:val="21"/>
        </w:rPr>
        <w:t>_S4</w:t>
      </w:r>
      <w:r>
        <w:rPr>
          <w:rFonts w:ascii="Calibri" w:hAnsi="Calibri"/>
          <w:color w:val="000000"/>
          <w:sz w:val="22"/>
        </w:rPr>
        <w:t xml:space="preserve"> referem-se à 4ª série do Ensino Médio, que existe apenas em cursos </w:t>
      </w:r>
      <w:r>
        <w:rPr>
          <w:rFonts w:ascii="Calibri" w:hAnsi="Calibri"/>
          <w:b/>
          <w:color w:val="000000"/>
          <w:sz w:val="22"/>
        </w:rPr>
        <w:t>técnicos integrados</w:t>
      </w:r>
      <w:r>
        <w:rPr>
          <w:rFonts w:ascii="Calibri" w:hAnsi="Calibri"/>
          <w:color w:val="000000"/>
          <w:sz w:val="22"/>
        </w:rPr>
        <w:t xml:space="preserve"> de 4 anos — uma modalidade rara na rede estadual.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Evidência: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456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% Nulos</w:t>
            </w:r>
          </w:p>
        </w:tc>
      </w:tr>
      <w:tr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TAXA_ABND_MED_S4</w:t>
            </w:r>
          </w:p>
        </w:tc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98,3%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TAXA_REPROV_MED_S4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98,3%</w:t>
            </w:r>
          </w:p>
        </w:tc>
      </w:tr>
      <w:tr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TAXA_APROV_MED_S4</w:t>
            </w:r>
          </w:p>
        </w:tc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98,3%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000000"/>
          <w:sz w:val="22"/>
        </w:rPr>
        <w:t>Dos 2.392 registros do painel, apenas ~41 têm valor preenchido nessas colunas — aproximadamente 14 escolas em cada ano.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Problema:</w:t>
      </w:r>
      <w:r>
        <w:rPr>
          <w:rFonts w:ascii="Calibri" w:hAnsi="Calibri"/>
          <w:color w:val="000000"/>
          <w:sz w:val="22"/>
        </w:rPr>
        <w:t xml:space="preserve"> Colunas com 98% de missing têm altíssimo risco de introduzir ruído no modelo. Se usadas como features, a maioria dos registros seria imputada, inflando artificialmente a correlação com o target.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Decisão:</w:t>
      </w:r>
      <w:r>
        <w:rPr>
          <w:rFonts w:ascii="Calibri" w:hAnsi="Calibri"/>
          <w:color w:val="000000"/>
          <w:sz w:val="22"/>
        </w:rPr>
        <w:t xml:space="preserve"> As colunas </w:t>
      </w:r>
      <w:r>
        <w:rPr>
          <w:rFonts w:ascii="Courier New" w:hAnsi="Courier New"/>
          <w:color w:val="C0392B"/>
          <w:sz w:val="21"/>
        </w:rPr>
        <w:t>_S4</w:t>
      </w:r>
      <w:r>
        <w:rPr>
          <w:rFonts w:ascii="Calibri" w:hAnsi="Calibri"/>
          <w:color w:val="000000"/>
          <w:sz w:val="22"/>
        </w:rPr>
        <w:t xml:space="preserve"> foram </w:t>
      </w:r>
      <w:r>
        <w:rPr>
          <w:rFonts w:ascii="Calibri" w:hAnsi="Calibri"/>
          <w:b/>
          <w:color w:val="000000"/>
          <w:sz w:val="22"/>
        </w:rPr>
        <w:t>mantidas no parquet interim</w:t>
      </w:r>
      <w:r>
        <w:rPr>
          <w:rFonts w:ascii="Calibri" w:hAnsi="Calibri"/>
          <w:color w:val="000000"/>
          <w:sz w:val="22"/>
        </w:rPr>
        <w:t xml:space="preserve"> para rastreabilidade e eventual uso futuro (ex.: análise separada de cursos técnicos), mas </w:t>
      </w:r>
      <w:r>
        <w:rPr>
          <w:rFonts w:ascii="Calibri" w:hAnsi="Calibri"/>
          <w:b/>
          <w:color w:val="000000"/>
          <w:sz w:val="22"/>
        </w:rPr>
        <w:t>serão excluídas do pipeline de features</w:t>
      </w:r>
      <w:r>
        <w:rPr>
          <w:rFonts w:ascii="Calibri" w:hAnsi="Calibri"/>
          <w:color w:val="000000"/>
          <w:sz w:val="22"/>
        </w:rPr>
        <w:t xml:space="preserve"> no Notebook 03. A justificativa para não descartar agora é preservar a capacidade de análise futura sem necessidade de re-rodar o ETL.</w:t>
      </w:r>
    </w:p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3.5 `TAXA_*_MED_NS` — 87,4% nulos (EM Não Seriado)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O que é:</w:t>
      </w:r>
      <w:r>
        <w:rPr>
          <w:rFonts w:ascii="Calibri" w:hAnsi="Calibri"/>
          <w:color w:val="000000"/>
          <w:sz w:val="22"/>
        </w:rPr>
        <w:t xml:space="preserve"> O sufixo </w:t>
      </w:r>
      <w:r>
        <w:rPr>
          <w:rFonts w:ascii="Courier New" w:hAnsi="Courier New"/>
          <w:color w:val="C0392B"/>
          <w:sz w:val="21"/>
        </w:rPr>
        <w:t>_NS</w:t>
      </w:r>
      <w:r>
        <w:rPr>
          <w:rFonts w:ascii="Calibri" w:hAnsi="Calibri"/>
          <w:color w:val="000000"/>
          <w:sz w:val="22"/>
        </w:rPr>
        <w:t xml:space="preserve"> refere-se ao </w:t>
      </w:r>
      <w:r>
        <w:rPr>
          <w:rFonts w:ascii="Calibri" w:hAnsi="Calibri"/>
          <w:b/>
          <w:color w:val="000000"/>
          <w:sz w:val="22"/>
        </w:rPr>
        <w:t>Ensino Médio Não Seriado</w:t>
      </w:r>
      <w:r>
        <w:rPr>
          <w:rFonts w:ascii="Calibri" w:hAnsi="Calibri"/>
          <w:color w:val="000000"/>
          <w:sz w:val="22"/>
        </w:rPr>
        <w:t xml:space="preserve"> — uma modalidade alternativa voltada principalmente à Educação de Jovens e Adultos (EJA) integrada ao EM regular ou cursos supletivos.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Evidência: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456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% Nulos</w:t>
            </w:r>
          </w:p>
        </w:tc>
      </w:tr>
      <w:tr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TAXA_ABND_MED_NS</w:t>
            </w:r>
          </w:p>
        </w:tc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87,4%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000000"/>
          <w:sz w:val="22"/>
        </w:rPr>
        <w:t>Aproximadamente 301 linhas do painel (12,6%) têm valor preenchido — cerca de 100 escolas por ano ofertam alguma modalidade não seriada.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Decisão:</w:t>
      </w:r>
      <w:r>
        <w:rPr>
          <w:rFonts w:ascii="Calibri" w:hAnsi="Calibri"/>
          <w:color w:val="000000"/>
          <w:sz w:val="22"/>
        </w:rPr>
        <w:t xml:space="preserve"> Mesmo critério das colunas </w:t>
      </w:r>
      <w:r>
        <w:rPr>
          <w:rFonts w:ascii="Courier New" w:hAnsi="Courier New"/>
          <w:color w:val="C0392B"/>
          <w:sz w:val="21"/>
        </w:rPr>
        <w:t>_S4</w:t>
      </w:r>
      <w:r>
        <w:rPr>
          <w:rFonts w:ascii="Calibri" w:hAnsi="Calibri"/>
          <w:color w:val="000000"/>
          <w:sz w:val="22"/>
        </w:rPr>
        <w:t>: mantidas no parquet, excluídas do pipeline de features. O índice de 87% de missing torna qualquer análise com essas colunas estatisticamente limitada e suscetível a viés de seleção (as escolas que ofertam EM não seriado tendem a ter perfil muito diferente do universo).</w:t>
      </w:r>
    </w:p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3.6 `build_target.py` com lógica placeholder incompatível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O que era:</w:t>
      </w:r>
      <w:r>
        <w:rPr>
          <w:rFonts w:ascii="Calibri" w:hAnsi="Calibri"/>
          <w:color w:val="000000"/>
          <w:sz w:val="22"/>
        </w:rPr>
        <w:t xml:space="preserve"> O </w:t>
      </w:r>
      <w:r>
        <w:rPr>
          <w:rFonts w:ascii="Courier New" w:hAnsi="Courier New"/>
          <w:color w:val="C0392B"/>
          <w:sz w:val="21"/>
        </w:rPr>
        <w:t>build_target.py</w:t>
      </w:r>
      <w:r>
        <w:rPr>
          <w:rFonts w:ascii="Calibri" w:hAnsi="Calibri"/>
          <w:color w:val="000000"/>
          <w:sz w:val="22"/>
        </w:rPr>
        <w:t xml:space="preserve"> original foi escrito antes dos arquivos de taxas de rendimento estarem disponíveis. Ele continha lógica heurística para tentar detectar automaticamente os nomes das colunas via string matching (ex.: procurava por </w:t>
      </w:r>
      <w:r>
        <w:rPr>
          <w:rFonts w:ascii="Courier New" w:hAnsi="Courier New"/>
          <w:color w:val="C0392B"/>
          <w:sz w:val="21"/>
        </w:rPr>
        <w:t>"abandon"</w:t>
      </w:r>
      <w:r>
        <w:rPr>
          <w:rFonts w:ascii="Calibri" w:hAnsi="Calibri"/>
          <w:color w:val="000000"/>
          <w:sz w:val="22"/>
        </w:rPr>
        <w:t xml:space="preserve"> no nome da coluna), e esperava o caminho </w:t>
      </w:r>
      <w:r>
        <w:rPr>
          <w:rFonts w:ascii="Courier New" w:hAnsi="Courier New"/>
          <w:color w:val="C0392B"/>
          <w:sz w:val="21"/>
        </w:rPr>
        <w:t>TX_REND_&lt;ano&gt;.xlsx</w:t>
      </w:r>
      <w:r>
        <w:rPr>
          <w:rFonts w:ascii="Calibri" w:hAnsi="Calibri"/>
          <w:color w:val="000000"/>
          <w:sz w:val="22"/>
        </w:rPr>
        <w:t xml:space="preserve"> com uma aba específica de Ensino Médio.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Problemas identificados: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000000"/>
          <w:sz w:val="22"/>
        </w:rPr>
        <w:t xml:space="preserve">Os arquivos reais se chamam </w:t>
      </w:r>
      <w:r>
        <w:rPr>
          <w:rFonts w:ascii="Courier New" w:hAnsi="Courier New"/>
          <w:color w:val="C0392B"/>
          <w:sz w:val="21"/>
        </w:rPr>
        <w:t>tx_rend_escolas_{ano}.xlsx</w:t>
      </w:r>
      <w:r>
        <w:rPr>
          <w:rFonts w:ascii="Calibri" w:hAnsi="Calibri"/>
          <w:color w:val="000000"/>
          <w:sz w:val="22"/>
        </w:rPr>
        <w:t xml:space="preserve"> (formato diferente do esperado)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000000"/>
          <w:sz w:val="22"/>
        </w:rPr>
        <w:t>Não existe separação por aba — um único arquivo contém todas as etapas (Fundamental e Médio) em colunas separadas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000000"/>
          <w:sz w:val="22"/>
        </w:rPr>
        <w:t>O header real está na linha 8, não na linha 0 que o código tentava parsear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000000"/>
          <w:sz w:val="22"/>
        </w:rPr>
        <w:t>Os nomes reais das colunas (</w:t>
      </w:r>
      <w:r>
        <w:rPr>
          <w:rFonts w:ascii="Courier New" w:hAnsi="Courier New"/>
          <w:color w:val="C0392B"/>
          <w:sz w:val="21"/>
        </w:rPr>
        <w:t>3_CAT_MED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urier New" w:hAnsi="Courier New"/>
          <w:color w:val="C0392B"/>
          <w:sz w:val="21"/>
        </w:rPr>
        <w:t>1_CAT_MED</w:t>
      </w:r>
      <w:r>
        <w:rPr>
          <w:rFonts w:ascii="Calibri" w:hAnsi="Calibri"/>
          <w:color w:val="000000"/>
          <w:sz w:val="22"/>
        </w:rPr>
        <w:t>, etc.) não contêm as palavras-chave buscadas pelo heurístico ("abandono", "médio")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000000"/>
          <w:sz w:val="22"/>
        </w:rPr>
        <w:t xml:space="preserve">O filtro por UF e dependência usava </w:t>
      </w:r>
      <w:r>
        <w:rPr>
          <w:rFonts w:ascii="Courier New" w:hAnsi="Courier New"/>
          <w:color w:val="C0392B"/>
          <w:sz w:val="21"/>
        </w:rPr>
        <w:t>CO_UF</w:t>
      </w:r>
      <w:r>
        <w:rPr>
          <w:rFonts w:ascii="Calibri" w:hAnsi="Calibri"/>
          <w:color w:val="000000"/>
          <w:sz w:val="22"/>
        </w:rPr>
        <w:t xml:space="preserve"> (código numérico) e </w:t>
      </w:r>
      <w:r>
        <w:rPr>
          <w:rFonts w:ascii="Courier New" w:hAnsi="Courier New"/>
          <w:color w:val="C0392B"/>
          <w:sz w:val="21"/>
        </w:rPr>
        <w:t>TP_DEPENDENCIA</w:t>
      </w:r>
      <w:r>
        <w:rPr>
          <w:rFonts w:ascii="Calibri" w:hAnsi="Calibri"/>
          <w:color w:val="000000"/>
          <w:sz w:val="22"/>
        </w:rPr>
        <w:t xml:space="preserve"> (código numérico) — colunas do Censo que não existem no arquivo de taxas, que usa </w:t>
      </w:r>
      <w:r>
        <w:rPr>
          <w:rFonts w:ascii="Courier New" w:hAnsi="Courier New"/>
          <w:color w:val="C0392B"/>
          <w:sz w:val="21"/>
        </w:rPr>
        <w:t>SG_UF</w:t>
      </w:r>
      <w:r>
        <w:rPr>
          <w:rFonts w:ascii="Calibri" w:hAnsi="Calibri"/>
          <w:color w:val="000000"/>
          <w:sz w:val="22"/>
        </w:rPr>
        <w:t xml:space="preserve"> (string) e </w:t>
      </w:r>
      <w:r>
        <w:rPr>
          <w:rFonts w:ascii="Courier New" w:hAnsi="Courier New"/>
          <w:color w:val="C0392B"/>
          <w:sz w:val="21"/>
        </w:rPr>
        <w:t>NO_DEPENDENCIA</w:t>
      </w:r>
      <w:r>
        <w:rPr>
          <w:rFonts w:ascii="Calibri" w:hAnsi="Calibri"/>
          <w:color w:val="000000"/>
          <w:sz w:val="22"/>
        </w:rPr>
        <w:t xml:space="preserve"> (string)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Solução adotada:</w:t>
      </w:r>
      <w:r>
        <w:rPr>
          <w:rFonts w:ascii="Calibri" w:hAnsi="Calibri"/>
          <w:color w:val="000000"/>
          <w:sz w:val="22"/>
        </w:rPr>
        <w:t xml:space="preserve"> O </w:t>
      </w:r>
      <w:r>
        <w:rPr>
          <w:rFonts w:ascii="Courier New" w:hAnsi="Courier New"/>
          <w:color w:val="C0392B"/>
          <w:sz w:val="21"/>
        </w:rPr>
        <w:t>build_target.py</w:t>
      </w:r>
      <w:r>
        <w:rPr>
          <w:rFonts w:ascii="Calibri" w:hAnsi="Calibri"/>
          <w:color w:val="000000"/>
          <w:sz w:val="22"/>
        </w:rPr>
        <w:t xml:space="preserve"> foi completamente reescrito. Toda a lógica de carga e normalização foi movida para </w:t>
      </w:r>
      <w:r>
        <w:rPr>
          <w:rFonts w:ascii="Courier New" w:hAnsi="Courier New"/>
          <w:color w:val="C0392B"/>
          <w:sz w:val="21"/>
        </w:rPr>
        <w:t>build_taxas_rendimento.py</w:t>
      </w:r>
      <w:r>
        <w:rPr>
          <w:rFonts w:ascii="Calibri" w:hAnsi="Calibri"/>
          <w:color w:val="000000"/>
          <w:sz w:val="22"/>
        </w:rPr>
        <w:t xml:space="preserve">, e o </w:t>
      </w:r>
      <w:r>
        <w:rPr>
          <w:rFonts w:ascii="Courier New" w:hAnsi="Courier New"/>
          <w:color w:val="C0392B"/>
          <w:sz w:val="21"/>
        </w:rPr>
        <w:t>build_target.py</w:t>
      </w:r>
      <w:r>
        <w:rPr>
          <w:rFonts w:ascii="Calibri" w:hAnsi="Calibri"/>
          <w:color w:val="000000"/>
          <w:sz w:val="22"/>
        </w:rPr>
        <w:t xml:space="preserve"> passou a ser apenas a camada de join: importa o painel de taxas já limpo e realiza o merge com o painel do Censo usando </w:t>
      </w:r>
      <w:r>
        <w:rPr>
          <w:rFonts w:ascii="Courier New" w:hAnsi="Courier New"/>
          <w:color w:val="C0392B"/>
          <w:sz w:val="21"/>
        </w:rPr>
        <w:t>CO_ENTIDADE</w:t>
      </w:r>
      <w:r>
        <w:rPr>
          <w:rFonts w:ascii="Calibri" w:hAnsi="Calibri"/>
          <w:color w:val="000000"/>
          <w:sz w:val="22"/>
        </w:rPr>
        <w:t xml:space="preserve"> e </w:t>
      </w:r>
      <w:r>
        <w:rPr>
          <w:rFonts w:ascii="Courier New" w:hAnsi="Courier New"/>
          <w:color w:val="C0392B"/>
          <w:sz w:val="21"/>
        </w:rPr>
        <w:t>NU_ANO_CENSO</w:t>
      </w:r>
      <w:r>
        <w:rPr>
          <w:rFonts w:ascii="Calibri" w:hAnsi="Calibri"/>
          <w:color w:val="000000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Justificativa:</w:t>
      </w:r>
      <w:r>
        <w:rPr>
          <w:rFonts w:ascii="Calibri" w:hAnsi="Calibri"/>
          <w:color w:val="000000"/>
          <w:sz w:val="22"/>
        </w:rPr>
        <w:t xml:space="preserve"> A separação de responsabilidades torna o código mais testável e reutilizável. O módulo </w:t>
      </w:r>
      <w:r>
        <w:rPr>
          <w:rFonts w:ascii="Courier New" w:hAnsi="Courier New"/>
          <w:color w:val="C0392B"/>
          <w:sz w:val="21"/>
        </w:rPr>
        <w:t>build_taxas_rendimento.py</w:t>
      </w:r>
      <w:r>
        <w:rPr>
          <w:rFonts w:ascii="Calibri" w:hAnsi="Calibri"/>
          <w:color w:val="000000"/>
          <w:sz w:val="22"/>
        </w:rPr>
        <w:t xml:space="preserve"> pode ser executado independentemente para inspecionar os dados brutos; o </w:t>
      </w:r>
      <w:r>
        <w:rPr>
          <w:rFonts w:ascii="Courier New" w:hAnsi="Courier New"/>
          <w:color w:val="C0392B"/>
          <w:sz w:val="21"/>
        </w:rPr>
        <w:t>build_target.py</w:t>
      </w:r>
      <w:r>
        <w:rPr>
          <w:rFonts w:ascii="Calibri" w:hAnsi="Calibri"/>
          <w:color w:val="000000"/>
          <w:sz w:val="22"/>
        </w:rPr>
        <w:t xml:space="preserve"> depende do painel já normalizado e não precisa conhecer os detalhes do formato INEP.</w:t>
      </w:r>
    </w:p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3.7 Dependência `openpyxl` ausente no ambiente virtual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O que é:</w:t>
      </w:r>
      <w:r>
        <w:rPr>
          <w:rFonts w:ascii="Calibri" w:hAnsi="Calibri"/>
          <w:color w:val="000000"/>
          <w:sz w:val="22"/>
        </w:rPr>
        <w:t xml:space="preserve"> A leitura de arquivos </w:t>
      </w:r>
      <w:r>
        <w:rPr>
          <w:rFonts w:ascii="Courier New" w:hAnsi="Courier New"/>
          <w:color w:val="C0392B"/>
          <w:sz w:val="21"/>
        </w:rPr>
        <w:t>.xlsx</w:t>
      </w:r>
      <w:r>
        <w:rPr>
          <w:rFonts w:ascii="Calibri" w:hAnsi="Calibri"/>
          <w:color w:val="000000"/>
          <w:sz w:val="22"/>
        </w:rPr>
        <w:t xml:space="preserve"> pelo pandas requer a biblioteca </w:t>
      </w:r>
      <w:r>
        <w:rPr>
          <w:rFonts w:ascii="Courier New" w:hAnsi="Courier New"/>
          <w:color w:val="C0392B"/>
          <w:sz w:val="21"/>
        </w:rPr>
        <w:t>openpyxl</w:t>
      </w:r>
      <w:r>
        <w:rPr>
          <w:rFonts w:ascii="Calibri" w:hAnsi="Calibri"/>
          <w:color w:val="000000"/>
          <w:sz w:val="22"/>
        </w:rPr>
        <w:t xml:space="preserve"> como engine. O ambiente virtual do projeto (</w:t>
      </w:r>
      <w:r>
        <w:rPr>
          <w:rFonts w:ascii="Courier New" w:hAnsi="Courier New"/>
          <w:color w:val="C0392B"/>
          <w:sz w:val="21"/>
        </w:rPr>
        <w:t>.venv/</w:t>
      </w:r>
      <w:r>
        <w:rPr>
          <w:rFonts w:ascii="Calibri" w:hAnsi="Calibri"/>
          <w:color w:val="000000"/>
          <w:sz w:val="22"/>
        </w:rPr>
        <w:t>) não a tinha instalada.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Erro observado: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ImportError: `Import openpyxl` failed. Use pip or conda to install the openpyxl package.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Solução:</w:t>
      </w:r>
      <w:r>
        <w:rPr>
          <w:rFonts w:ascii="Calibri" w:hAnsi="Calibri"/>
          <w:color w:val="000000"/>
          <w:sz w:val="22"/>
        </w:rPr>
        <w:t xml:space="preserve"> Instalação via </w:t>
      </w:r>
      <w:r>
        <w:rPr>
          <w:rFonts w:ascii="Courier New" w:hAnsi="Courier New"/>
          <w:color w:val="C0392B"/>
          <w:sz w:val="21"/>
        </w:rPr>
        <w:t>pip install openpyxl</w:t>
      </w:r>
      <w:r>
        <w:rPr>
          <w:rFonts w:ascii="Calibri" w:hAnsi="Calibri"/>
          <w:color w:val="000000"/>
          <w:sz w:val="22"/>
        </w:rPr>
        <w:t xml:space="preserve">. A dependência deve ser adicionada ao </w:t>
      </w:r>
      <w:r>
        <w:rPr>
          <w:rFonts w:ascii="Courier New" w:hAnsi="Courier New"/>
          <w:color w:val="C0392B"/>
          <w:sz w:val="21"/>
        </w:rPr>
        <w:t>requirements.txt</w:t>
      </w:r>
      <w:r>
        <w:rPr>
          <w:rFonts w:ascii="Calibri" w:hAnsi="Calibri"/>
          <w:color w:val="000000"/>
          <w:sz w:val="22"/>
        </w:rPr>
        <w:t xml:space="preserve"> (ou </w:t>
      </w:r>
      <w:r>
        <w:rPr>
          <w:rFonts w:ascii="Courier New" w:hAnsi="Courier New"/>
          <w:color w:val="C0392B"/>
          <w:sz w:val="21"/>
        </w:rPr>
        <w:t>pyproject.toml</w:t>
      </w:r>
      <w:r>
        <w:rPr>
          <w:rFonts w:ascii="Calibri" w:hAnsi="Calibri"/>
          <w:color w:val="000000"/>
          <w:sz w:val="22"/>
        </w:rPr>
        <w:t>) do projeto para evitar que outros executores encontrem o mesmo erro.</w:t>
      </w:r>
    </w:p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2E74B5"/>
          <w:sz w:val="28"/>
        </w:rPr>
        <w:t>4. Validações realizadas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4.1 Consistência matemática das taxas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A soma das três taxas totais (Aprovação + Reprovação + Abandono) deve ser exatamente 100% para cada escola, uma vez que o INEP garante que todos os alunos matriculados são contabilizados em exatamente uma das três categorias ao final do ano letivo.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Resultado da validação: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56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Registros testados</w:t>
            </w:r>
          </w:p>
        </w:tc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2.392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Soma mínima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100,0%</w:t>
            </w:r>
          </w:p>
        </w:tc>
      </w:tr>
      <w:tr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Soma máxima</w:t>
            </w:r>
          </w:p>
        </w:tc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100,0%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Registros fora de [99, 101]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0 (0,0%)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000000"/>
          <w:sz w:val="22"/>
        </w:rPr>
        <w:t xml:space="preserve">O painel não apresenta nenhuma inconsistência — o INEP já arredonda as três taxas de forma que a soma seja exatamente 100. Esta validação confirma que a substituição de </w:t>
      </w:r>
      <w:r>
        <w:rPr>
          <w:rFonts w:ascii="Courier New" w:hAnsi="Courier New"/>
          <w:color w:val="C0392B"/>
          <w:sz w:val="21"/>
        </w:rPr>
        <w:t>'--'</w:t>
      </w:r>
      <w:r>
        <w:rPr>
          <w:rFonts w:ascii="Calibri" w:hAnsi="Calibri"/>
          <w:color w:val="000000"/>
          <w:sz w:val="22"/>
        </w:rPr>
        <w:t xml:space="preserve"> por NaN e a conversão numérica foram aplicadas corretamente.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4.2 Estabilidade longitudinal do painel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A mesma análise de estabilidade do painel do Censo foi aplicada às taxas de rendimento para verificar consistência entre as fontes: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Escolas que aparecem em</w:t>
            </w:r>
          </w:p>
        </w:tc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</w:t>
            </w:r>
          </w:p>
        </w:tc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3 anos (2022, 2023, 2024)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785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97,4%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 anos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16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2,0%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1 ano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0,6%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000000"/>
          <w:sz w:val="22"/>
        </w:rPr>
        <w:t>O resultado é idêntico ao painel do Censo</w:t>
      </w:r>
      <w:r>
        <w:rPr>
          <w:rFonts w:ascii="Calibri" w:hAnsi="Calibri"/>
          <w:color w:val="000000"/>
          <w:sz w:val="22"/>
        </w:rPr>
        <w:t xml:space="preserve"> — 97,4% de estabilidade em ambas as fontes. Isso confirma que as duas fontes de dados descrevem o mesmo universo de escolas e que o join entre elas (via </w:t>
      </w:r>
      <w:r>
        <w:rPr>
          <w:rFonts w:ascii="Courier New" w:hAnsi="Courier New"/>
          <w:color w:val="C0392B"/>
          <w:sz w:val="21"/>
        </w:rPr>
        <w:t>CO_ENTIDADE</w:t>
      </w:r>
      <w:r>
        <w:rPr>
          <w:rFonts w:ascii="Calibri" w:hAnsi="Calibri"/>
          <w:color w:val="000000"/>
          <w:sz w:val="22"/>
        </w:rPr>
        <w:t>) terá altíssima cobertura.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4.3 Rastreabilidade do filtro por etapa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 xml:space="preserve">O filtro principal que define "escola com Ensino Médio" nas taxas de rendimento foi aplicado via </w:t>
      </w:r>
      <w:r>
        <w:rPr>
          <w:rFonts w:ascii="Courier New" w:hAnsi="Courier New"/>
          <w:color w:val="C0392B"/>
          <w:sz w:val="21"/>
        </w:rPr>
        <w:t>TAXA_ABND_MED.notna()</w:t>
      </w:r>
      <w:r>
        <w:rPr>
          <w:rFonts w:ascii="Calibri" w:hAnsi="Calibri"/>
          <w:color w:val="000000"/>
          <w:sz w:val="22"/>
        </w:rPr>
        <w:t>. A quantidade de escolas removidas em cada ano foi registrada em log: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Ano</w:t>
            </w:r>
          </w:p>
        </w:tc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 + Estadual</w:t>
            </w:r>
          </w:p>
        </w:tc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Sem dados EM (removidas)</w:t>
            </w:r>
          </w:p>
        </w:tc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 EM</w:t>
            </w:r>
          </w:p>
        </w:tc>
      </w:tr>
      <w:tr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2022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1.025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225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800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2023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1.026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225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801</w:t>
            </w:r>
          </w:p>
        </w:tc>
      </w:tr>
      <w:tr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2024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1.028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237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791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000000"/>
          <w:sz w:val="22"/>
        </w:rPr>
        <w:t>As 225–237 escolas removidas por ano são escolas estaduais de PE que têm dados no arquivo do INEP (ofertam Fundamental ou outra etapa) mas não têm Ensino Médio — o que é esperado, pois o filtro do Censo (</w:t>
      </w:r>
      <w:r>
        <w:rPr>
          <w:rFonts w:ascii="Courier New" w:hAnsi="Courier New"/>
          <w:color w:val="C0392B"/>
          <w:sz w:val="21"/>
        </w:rPr>
        <w:t>QT_MAT_MED &gt; 0</w:t>
      </w:r>
      <w:r>
        <w:rPr>
          <w:rFonts w:ascii="Calibri" w:hAnsi="Calibri"/>
          <w:color w:val="000000"/>
          <w:sz w:val="22"/>
        </w:rPr>
        <w:t>) seleciona apenas as que têm EM, e o arquivo de taxas cobre todas as etapas.</w:t>
      </w:r>
    </w:p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2E74B5"/>
          <w:sz w:val="28"/>
        </w:rPr>
        <w:t>5. Resultados e análise descritiva das taxas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5.1 Taxa de Abandono do Ensino Médio (`TAXA_ABND_MED`)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 xml:space="preserve">Esta é a variável mais importante do projeto — será o </w:t>
      </w:r>
      <w:r>
        <w:rPr>
          <w:rFonts w:ascii="Calibri" w:hAnsi="Calibri"/>
          <w:b/>
          <w:color w:val="000000"/>
          <w:sz w:val="22"/>
        </w:rPr>
        <w:t>target</w:t>
      </w:r>
      <w:r>
        <w:rPr>
          <w:rFonts w:ascii="Calibri" w:hAnsi="Calibri"/>
          <w:color w:val="000000"/>
          <w:sz w:val="22"/>
        </w:rPr>
        <w:t xml:space="preserve"> do modelo preditivo. Sua distribuição revela características que impactam diretamente as decisões de modelagem: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Estatísticas descritivas por ano: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Estatística</w:t>
            </w:r>
          </w:p>
        </w:tc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2022</w:t>
            </w:r>
          </w:p>
        </w:tc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2023</w:t>
            </w:r>
          </w:p>
        </w:tc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2024</w:t>
            </w:r>
          </w:p>
        </w:tc>
      </w:tr>
      <w:tr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N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800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801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791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Média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2,05%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1,37%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0,96%</w:t>
            </w:r>
          </w:p>
        </w:tc>
      </w:tr>
      <w:tr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Desvio-padrão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5,27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4,20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2,97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Mínimo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0,0%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0,0%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0,0%</w:t>
            </w:r>
          </w:p>
        </w:tc>
      </w:tr>
      <w:tr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Mediana (p50)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0,0%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0,0%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0,0%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p75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1,12%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0,50%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0,45%</w:t>
            </w:r>
          </w:p>
        </w:tc>
      </w:tr>
      <w:tr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p90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7,0%*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4,3%*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3,7%*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p95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8,39%</w:t>
            </w:r>
          </w:p>
        </w:tc>
      </w:tr>
      <w:tr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Máximo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43,6%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39,5%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38,9%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000000"/>
          <w:sz w:val="22"/>
        </w:rPr>
        <w:t>*estimado a partir das estatísticas disponíveis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Achados críticos: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color w:val="000000"/>
          <w:sz w:val="22"/>
        </w:rPr>
        <w:t>Distribuição fortemente assimétrica à direita:</w:t>
      </w:r>
      <w:r>
        <w:rPr>
          <w:rFonts w:ascii="Calibri" w:hAnsi="Calibri"/>
          <w:color w:val="000000"/>
          <w:sz w:val="22"/>
        </w:rPr>
        <w:t xml:space="preserve"> A mediana é 0,0% nos três anos — mais da metade das escolas estaduais de PE reporta zero abandono no EM. A média (1,37–2,05%) é puxada por uma minoria de escolas com abandono alto. O p95 já está em 8,39%, e o máximo chega a 43,6%.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color w:val="000000"/>
          <w:sz w:val="22"/>
        </w:rPr>
        <w:t>Escola com abandono zero é a norma, não a exceção: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Ano</w:t>
            </w:r>
          </w:p>
        </w:tc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Escolas com TAXA_ABND_MED = 0</w:t>
            </w:r>
          </w:p>
        </w:tc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% do total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2022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501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62,6%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2023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550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68,7%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2024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531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67,1%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Calibri" w:hAnsi="Calibri"/>
          <w:b/>
          <w:color w:val="000000"/>
          <w:sz w:val="22"/>
        </w:rPr>
        <w:t>Tendência de queda expressiva:</w:t>
      </w:r>
      <w:r>
        <w:rPr>
          <w:rFonts w:ascii="Calibri" w:hAnsi="Calibri"/>
          <w:color w:val="000000"/>
          <w:sz w:val="22"/>
        </w:rPr>
        <w:t xml:space="preserve"> A taxa média de abandono caiu de 2,05% em 2022 para 0,96% em 2024 — uma redução de 53% em dois anos. O número de escolas com abandono acima de 10% caiu de 51 (2022) para apenas 14 (2024). Este é um dos achados mais relevantes para a contextualização na monografia.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Possíveis explicações para a queda:</w:t>
      </w:r>
    </w:p>
    <w:p>
      <w:pPr>
        <w:pStyle w:val="ListBullet"/>
        <w:spacing w:after="40"/>
        <w:ind w:left="567"/>
      </w:pPr>
      <w:r>
        <w:rPr>
          <w:rFonts w:ascii="Calibri" w:hAnsi="Calibri"/>
          <w:color w:val="000000"/>
          <w:sz w:val="22"/>
        </w:rPr>
        <w:t>Expansão do programa de Ensino em Tempo Integral em PE (de 56,7% para 64,9% das escolas entre 2022 e 2024 — ver Relatório Fase 1), que mantém os alunos por mais tempo na escola e reduz a oportunidade de abandono;</w:t>
      </w:r>
    </w:p>
    <w:p>
      <w:pPr>
        <w:pStyle w:val="ListBullet"/>
        <w:spacing w:after="40"/>
        <w:ind w:left="567"/>
      </w:pPr>
      <w:r>
        <w:rPr>
          <w:rFonts w:ascii="Calibri" w:hAnsi="Calibri"/>
          <w:color w:val="000000"/>
          <w:sz w:val="22"/>
        </w:rPr>
        <w:t>Recuperação pós-pandemia: escolas e alunos estabilizando a rotina após os anos de 2020–2021;</w:t>
      </w:r>
    </w:p>
    <w:p>
      <w:pPr>
        <w:pStyle w:val="ListBullet"/>
        <w:spacing w:after="40"/>
        <w:ind w:left="567"/>
      </w:pPr>
      <w:r>
        <w:rPr>
          <w:rFonts w:ascii="Calibri" w:hAnsi="Calibri"/>
          <w:color w:val="000000"/>
          <w:sz w:val="22"/>
        </w:rPr>
        <w:t>Mudanças nos critérios de classificação do INEP para "abandono" versus "transferência".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color w:val="000000"/>
          <w:sz w:val="22"/>
        </w:rPr>
        <w:t>Implicação para modelagem:</w:t>
      </w:r>
      <w:r>
        <w:rPr>
          <w:rFonts w:ascii="Calibri" w:hAnsi="Calibri"/>
          <w:color w:val="000000"/>
          <w:sz w:val="22"/>
        </w:rPr>
        <w:t xml:space="preserve"> A distribuição com mediana zero é típica de variáveis de contagem/proporção com excesso de zeros (</w:t>
      </w:r>
      <w:r>
        <w:rPr>
          <w:rFonts w:ascii="Calibri" w:hAnsi="Calibri"/>
          <w:i/>
          <w:color w:val="000000"/>
          <w:sz w:val="22"/>
        </w:rPr>
        <w:t>zero-inflated</w:t>
      </w:r>
      <w:r>
        <w:rPr>
          <w:rFonts w:ascii="Calibri" w:hAnsi="Calibri"/>
          <w:color w:val="000000"/>
          <w:sz w:val="22"/>
        </w:rPr>
        <w:t>). Estratégias a avaliar no Notebook 04:</w:t>
      </w:r>
    </w:p>
    <w:p>
      <w:pPr>
        <w:pStyle w:val="ListBullet"/>
        <w:spacing w:after="40"/>
        <w:ind w:left="567"/>
      </w:pPr>
      <w:r>
        <w:rPr>
          <w:rFonts w:ascii="Calibri" w:hAnsi="Calibri"/>
          <w:color w:val="000000"/>
          <w:sz w:val="22"/>
        </w:rPr>
        <w:t>Transformação Box-Cox ou log(x + ε) para compressão da cauda;</w:t>
      </w:r>
    </w:p>
    <w:p>
      <w:pPr>
        <w:pStyle w:val="ListBullet"/>
        <w:spacing w:after="40"/>
        <w:ind w:left="567"/>
      </w:pPr>
      <w:r>
        <w:rPr>
          <w:rFonts w:ascii="Calibri" w:hAnsi="Calibri"/>
          <w:color w:val="000000"/>
          <w:sz w:val="22"/>
        </w:rPr>
        <w:t>Modelagem em dois estágios: primeiro classificar escolas como "zero abandono" vs. "com algum abandono", depois regredir apenas nas que têm abandono;</w:t>
      </w:r>
    </w:p>
    <w:p>
      <w:pPr>
        <w:pStyle w:val="ListBullet"/>
        <w:spacing w:after="40"/>
        <w:ind w:left="567"/>
      </w:pPr>
      <w:r>
        <w:rPr>
          <w:rFonts w:ascii="Calibri" w:hAnsi="Calibri"/>
          <w:color w:val="000000"/>
          <w:sz w:val="22"/>
        </w:rPr>
        <w:t>Usar diretamente a taxa sem transformação, pois o XGBoost é robusto a distribuições assimétricas.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5.2 Taxa de Reprovação (`TAXA_REPROV_MED`)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Estatística</w:t>
            </w:r>
          </w:p>
        </w:tc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2022</w:t>
            </w:r>
          </w:p>
        </w:tc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2023</w:t>
            </w:r>
          </w:p>
        </w:tc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2024</w:t>
            </w:r>
          </w:p>
        </w:tc>
      </w:tr>
      <w:tr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Média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5,01%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4,09%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3,09%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Mediana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3,90%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3,10%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2,20%</w:t>
            </w:r>
          </w:p>
        </w:tc>
      </w:tr>
      <w:tr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Máximo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55,3%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38,5%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41,1%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000000"/>
          <w:sz w:val="22"/>
        </w:rPr>
        <w:t xml:space="preserve">A reprovação também caiu significativamente — 38% de redução na média entre 2022 e 2024. A taxa de reprovação do ano anterior é uma feature candidata de alta relevância no modelo: escolas com reprovação alta em </w:t>
      </w:r>
      <w:r>
        <w:rPr>
          <w:rFonts w:ascii="Calibri" w:hAnsi="Calibri"/>
          <w:i/>
          <w:color w:val="000000"/>
          <w:sz w:val="22"/>
        </w:rPr>
        <w:t>t</w:t>
      </w:r>
      <w:r>
        <w:rPr>
          <w:rFonts w:ascii="Calibri" w:hAnsi="Calibri"/>
          <w:color w:val="000000"/>
          <w:sz w:val="22"/>
        </w:rPr>
        <w:t xml:space="preserve"> tendem a ter abandono alto em </w:t>
      </w:r>
      <w:r>
        <w:rPr>
          <w:rFonts w:ascii="Calibri" w:hAnsi="Calibri"/>
          <w:i/>
          <w:color w:val="000000"/>
          <w:sz w:val="22"/>
        </w:rPr>
        <w:t>t+1</w:t>
      </w:r>
      <w:r>
        <w:rPr>
          <w:rFonts w:ascii="Calibri" w:hAnsi="Calibri"/>
          <w:color w:val="000000"/>
          <w:sz w:val="22"/>
        </w:rPr>
        <w:t xml:space="preserve"> (alunos que ficam reprovados frequentemente desistem no ano seguinte).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5.3 Taxa de Aprovação (`TAXA_APROV_MED`)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Estatística</w:t>
            </w:r>
          </w:p>
        </w:tc>
        <w:tc>
          <w:tcPr>
            <w:tcW w:type="dxa" w:w="456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Valor (2022–2024)</w:t>
            </w:r>
          </w:p>
        </w:tc>
      </w:tr>
      <w:tr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Média</w:t>
            </w:r>
          </w:p>
        </w:tc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~94,5%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Mediana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~96,4%</w:t>
            </w:r>
          </w:p>
        </w:tc>
      </w:tr>
      <w:tr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Mínimo</w:t>
            </w:r>
          </w:p>
        </w:tc>
        <w:tc>
          <w:tcPr>
            <w:tcW w:type="dxa" w:w="456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28,2%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Máximo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100,0%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000000"/>
          <w:sz w:val="22"/>
        </w:rPr>
        <w:t>A taxa de aprovação é a dominante: a média de 94,5% reflete que, para a maioria das escolas, a quase totalidade dos alunos é aprovada. O mínimo de 28,2% indica que existem escolas em situação muito crítica — provavelmente as mesmas que aparecem com abandono e reprovação altos.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5.4 Distribuição por localização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Localização</w:t>
            </w:r>
          </w:p>
        </w:tc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2022</w:t>
            </w:r>
          </w:p>
        </w:tc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2023</w:t>
            </w:r>
          </w:p>
        </w:tc>
        <w:tc>
          <w:tcPr>
            <w:tcW w:type="dxa" w:w="228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2024</w:t>
            </w:r>
          </w:p>
        </w:tc>
      </w:tr>
      <w:tr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Urbana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690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692</w:t>
            </w:r>
          </w:p>
        </w:tc>
        <w:tc>
          <w:tcPr>
            <w:tcW w:type="dxa" w:w="22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680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Rural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110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109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111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000000"/>
          <w:sz w:val="22"/>
        </w:rPr>
        <w:t>O perfil urbano/rural é estável entre os anos (≈86%/14%), idêntico ao observado no painel do Censo — confirmando consistência entre as fontes.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5.5 Missing por coluna (painel completo)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% Nulos</w:t>
            </w:r>
          </w:p>
        </w:tc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Interpretação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TAXA_APROV_MED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0,0%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Completo — incluir no modelo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TAXA_REPROV_MED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0,0%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Completo — incluir no modelo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TAXA_ABND_MED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0,0%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 xml:space="preserve">Completo — </w:t>
            </w:r>
            <w:r>
              <w:rPr>
                <w:rFonts w:ascii="Calibri" w:hAnsi="Calibri"/>
                <w:b/>
                <w:color w:val="000000"/>
                <w:sz w:val="20"/>
              </w:rPr>
              <w:t>target principal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TAXA_*_MED_S1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3,2%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Usável — escolas sem 1ª série (raro)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TAXA_*_MED_S2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2,5%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Usável — escolas sem 2ª série (raro)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TAXA_*_MED_S3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2,6%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Usável — escolas sem 3ª série (raro)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TAXA_*_MED_S4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98,3%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Excluir do modelo</w:t>
            </w:r>
            <w:r>
              <w:rPr>
                <w:rFonts w:ascii="Calibri" w:hAnsi="Calibri"/>
                <w:color w:val="000000"/>
                <w:sz w:val="20"/>
              </w:rPr>
              <w:t xml:space="preserve"> — só técnico integrado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TAXA_*_MED_NS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87,4%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Excluir do modelo</w:t>
            </w:r>
            <w:r>
              <w:rPr>
                <w:rFonts w:ascii="Calibri" w:hAnsi="Calibri"/>
                <w:color w:val="000000"/>
                <w:sz w:val="20"/>
              </w:rPr>
              <w:t xml:space="preserve"> — não seriado raro</w:t>
            </w:r>
          </w:p>
        </w:tc>
      </w:tr>
    </w:tbl>
    <w:p/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2E74B5"/>
          <w:sz w:val="28"/>
        </w:rPr>
        <w:t>6. Enriquecimentos e decisões de design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6.1 Manter taxas por série (_S1, _S2, _S3) apesar de 3% de nulos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Decisão:</w:t>
      </w:r>
      <w:r>
        <w:rPr>
          <w:rFonts w:ascii="Calibri" w:hAnsi="Calibri"/>
          <w:color w:val="000000"/>
          <w:sz w:val="22"/>
        </w:rPr>
        <w:t xml:space="preserve"> Manter as colunas de taxa por série (1ª, 2ª e 3ª) no parquet interim, mesmo que não estejam 100% preenchidas.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Justificativa:</w:t>
      </w:r>
      <w:r>
        <w:rPr>
          <w:rFonts w:ascii="Calibri" w:hAnsi="Calibri"/>
          <w:color w:val="000000"/>
          <w:sz w:val="22"/>
        </w:rPr>
        <w:t xml:space="preserve"> Informações por série são potencialmente muito úteis para o modelo. Escolas onde o abandono se concentra na 1ª série têm um perfil diferente daquelas onde o problema ocorre na 3ª série. Os 3% de missing são aceitáveis e serão tratados por imputação no feature engineering (zero para as colunas de abandono/reprovação, valor da série mais próxima para aprovação, ou simplesmente remoção do feature se o modelo não se beneficiar).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6.2 Ordenação por escola × ano para viabilizar lags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 xml:space="preserve">O painel foi ordenado por </w:t>
      </w:r>
      <w:r>
        <w:rPr>
          <w:rFonts w:ascii="Courier New" w:hAnsi="Courier New"/>
          <w:color w:val="C0392B"/>
          <w:sz w:val="21"/>
        </w:rPr>
        <w:t>["CO_ENTIDADE", "NU_ANO_CENSO"]</w:t>
      </w:r>
      <w:r>
        <w:rPr>
          <w:rFonts w:ascii="Calibri" w:hAnsi="Calibri"/>
          <w:color w:val="000000"/>
          <w:sz w:val="22"/>
        </w:rPr>
        <w:t xml:space="preserve"> antes de ser salvo. Isso não é necessário para o parquet em si, mas facilita o cálculo de features de lag no Notebook 03: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# Exemplo de feature que será criada no Notebook 03: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F1F1F"/>
          <w:sz w:val="18"/>
        </w:rPr>
        <w:t>df["TAXA_ABND_MED_lag1"] = df.groupby("CO_ENTIDADE")["TAXA_ABND_MED"].shift(1)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A taxa de abandono do ano anterior (</w:t>
      </w:r>
      <w:r>
        <w:rPr>
          <w:rFonts w:ascii="Courier New" w:hAnsi="Courier New"/>
          <w:color w:val="C0392B"/>
          <w:sz w:val="21"/>
        </w:rPr>
        <w:t>lag1</w:t>
      </w:r>
      <w:r>
        <w:rPr>
          <w:rFonts w:ascii="Calibri" w:hAnsi="Calibri"/>
          <w:color w:val="000000"/>
          <w:sz w:val="22"/>
        </w:rPr>
        <w:t xml:space="preserve">) é provavelmente o preditor mais forte do modelo — escolas com histórico de abandono alto tendem a manter o problema se nada mudar. A ordenação prévia garante que o </w:t>
      </w:r>
      <w:r>
        <w:rPr>
          <w:rFonts w:ascii="Courier New" w:hAnsi="Courier New"/>
          <w:color w:val="C0392B"/>
          <w:sz w:val="21"/>
        </w:rPr>
        <w:t>shift(1)</w:t>
      </w:r>
      <w:r>
        <w:rPr>
          <w:rFonts w:ascii="Calibri" w:hAnsi="Calibri"/>
          <w:color w:val="000000"/>
          <w:sz w:val="22"/>
        </w:rPr>
        <w:t xml:space="preserve"> produza o valor correto sem necessidade de sort adicional.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6.3 Separação entre ETL e construção do target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O target final do modelo (</w:t>
      </w:r>
      <w:r>
        <w:rPr>
          <w:rFonts w:ascii="Courier New" w:hAnsi="Courier New"/>
          <w:color w:val="C0392B"/>
          <w:sz w:val="21"/>
        </w:rPr>
        <w:t>taxa_abandono_t1</w:t>
      </w:r>
      <w:r>
        <w:rPr>
          <w:rFonts w:ascii="Calibri" w:hAnsi="Calibri"/>
          <w:color w:val="000000"/>
          <w:sz w:val="22"/>
        </w:rPr>
        <w:t xml:space="preserve">) não é gerado no </w:t>
      </w:r>
      <w:r>
        <w:rPr>
          <w:rFonts w:ascii="Courier New" w:hAnsi="Courier New"/>
          <w:color w:val="C0392B"/>
          <w:sz w:val="21"/>
        </w:rPr>
        <w:t>build_taxas_rendimento.py</w:t>
      </w:r>
      <w:r>
        <w:rPr>
          <w:rFonts w:ascii="Calibri" w:hAnsi="Calibri"/>
          <w:color w:val="000000"/>
          <w:sz w:val="22"/>
        </w:rPr>
        <w:t xml:space="preserve"> — é produzido pelo </w:t>
      </w:r>
      <w:r>
        <w:rPr>
          <w:rFonts w:ascii="Courier New" w:hAnsi="Courier New"/>
          <w:color w:val="C0392B"/>
          <w:sz w:val="21"/>
        </w:rPr>
        <w:t>build_target.py</w:t>
      </w:r>
      <w:r>
        <w:rPr>
          <w:rFonts w:ascii="Calibri" w:hAnsi="Calibri"/>
          <w:color w:val="000000"/>
          <w:sz w:val="22"/>
        </w:rPr>
        <w:t>, que realiza o join com o painel do Censo. Esta separação foi uma decisão deliberada: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1"/>
        </w:rPr>
        <w:t>build_taxas_rendimento.py</w:t>
      </w:r>
      <w:r>
        <w:rPr>
          <w:rFonts w:ascii="Calibri" w:hAnsi="Calibri"/>
          <w:color w:val="000000"/>
          <w:sz w:val="22"/>
        </w:rPr>
        <w:t xml:space="preserve"> → transforma os dados brutos em um painel limpo e autocontido das taxas;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1"/>
        </w:rPr>
        <w:t>build_target.py</w:t>
      </w:r>
      <w:r>
        <w:rPr>
          <w:rFonts w:ascii="Calibri" w:hAnsi="Calibri"/>
          <w:color w:val="000000"/>
          <w:sz w:val="22"/>
        </w:rPr>
        <w:t xml:space="preserve"> → cruza esse painel com o Censo para criar os pares (</w:t>
      </w:r>
      <w:r>
        <w:rPr>
          <w:rFonts w:ascii="Calibri" w:hAnsi="Calibri"/>
          <w:i/>
          <w:color w:val="000000"/>
          <w:sz w:val="22"/>
        </w:rPr>
        <w:t>features t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alibri" w:hAnsi="Calibri"/>
          <w:i/>
          <w:color w:val="000000"/>
          <w:sz w:val="22"/>
        </w:rPr>
        <w:t>target t+1</w:t>
      </w:r>
      <w:r>
        <w:rPr>
          <w:rFonts w:ascii="Calibri" w:hAnsi="Calibri"/>
          <w:color w:val="000000"/>
          <w:sz w:val="22"/>
        </w:rPr>
        <w:t>).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A separação facilita a depuração (é possível inspecionar cada parquet individualmente) e torna o código mais modular para o caso de os arquivos do INEP sofrerem atualizações futuras.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6.4 Validação de consistência como diagnóstico, não como filtro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 xml:space="preserve">A validação matemática (soma = 100%) foi implementada como </w:t>
      </w:r>
      <w:r>
        <w:rPr>
          <w:rFonts w:ascii="Calibri" w:hAnsi="Calibri"/>
          <w:b/>
          <w:color w:val="000000"/>
          <w:sz w:val="22"/>
        </w:rPr>
        <w:t>warning de log</w:t>
      </w:r>
      <w:r>
        <w:rPr>
          <w:rFonts w:ascii="Calibri" w:hAnsi="Calibri"/>
          <w:color w:val="000000"/>
          <w:sz w:val="22"/>
        </w:rPr>
        <w:t>, não como filtro que remove linhas. A razão: se uma inconsistência existisse, ela deveria ser investigada e documentada — não silenciosamente removida. Neste caso, o resultado confirmou que todas as 2.392 linhas somam exatamente 100%, o que indica alta qualidade dos dados do INEP.</w:t>
      </w:r>
    </w:p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2E74B5"/>
          <w:sz w:val="28"/>
        </w:rPr>
        <w:t>7. Limitações e ressalvas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7.1 Tendência de queda do abandono pode dificultar a predição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 xml:space="preserve">A forte queda na taxa de abandono entre 2022 e 2024 (de 2,05% para 0,96%) cria um desafio metodológico: o modelo treinado com dados de 2022 pode superestimar o abandono para 2024. Isso reforça a importância de usar </w:t>
      </w:r>
      <w:r>
        <w:rPr>
          <w:rFonts w:ascii="Calibri" w:hAnsi="Calibri"/>
          <w:b/>
          <w:color w:val="000000"/>
          <w:sz w:val="22"/>
        </w:rPr>
        <w:t>GroupKFold por ano</w:t>
      </w:r>
      <w:r>
        <w:rPr>
          <w:rFonts w:ascii="Calibri" w:hAnsi="Calibri"/>
          <w:color w:val="000000"/>
          <w:sz w:val="22"/>
        </w:rPr>
        <w:t xml:space="preserve"> (além de por município) na validação cruzada — o modelo não deve "ver" anos futuros durante o treinamento.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7.2 Excesso de zeros no target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Com 67% das escolas reportando abandono zero, o modelo de regressão terá dificuldade em calibrar previsões para escolas de risco médio (ex.: 3–5% de abandono). Estratégias de tratamento serão avaliadas no Notebook 04.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7.3 `_S4` e `_NS` não descartados do parquet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Por decisão de projeto (rastreabilidade), as colunas com 98% e 87% de nulos foram mantidas no parquet. É obrigação do pipeline de feature engineering descartá-las explicitamente antes do treinamento — o que deve ser documentado e automatizado, não deixado a cargo de quem executar o notebook.</w:t>
      </w:r>
    </w:p>
    <w:p>
      <w:pPr>
        <w:spacing w:before="160" w:after="80"/>
      </w:pPr>
      <w:r>
        <w:rPr>
          <w:rFonts w:ascii="Calibri" w:hAnsi="Calibri"/>
          <w:b/>
          <w:color w:val="5B9BD5"/>
          <w:sz w:val="24"/>
        </w:rPr>
        <w:t>7.4 Sem validação de cobertura de municípios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 xml:space="preserve">Não foi verificado se os 185 municípios com escolas no painel do Censo têm correspondentes no painel de taxas. Isso será verificado ao executar </w:t>
      </w:r>
      <w:r>
        <w:rPr>
          <w:rFonts w:ascii="Courier New" w:hAnsi="Courier New"/>
          <w:color w:val="C0392B"/>
          <w:sz w:val="21"/>
        </w:rPr>
        <w:t>build_target.py</w:t>
      </w:r>
      <w:r>
        <w:rPr>
          <w:rFonts w:ascii="Calibri" w:hAnsi="Calibri"/>
          <w:color w:val="000000"/>
          <w:sz w:val="22"/>
        </w:rPr>
        <w:t xml:space="preserve"> e inspecionar os registros perdidos no join.</w:t>
      </w:r>
    </w:p>
    <w:p>
      <w:pPr>
        <w:pBdr>
          <w:bottom w:val="single" w:sz="4" w:space="1" w:color="BFBFBF"/>
        </w:pBdr>
        <w:spacing w:before="80" w:after="80"/>
      </w:pPr>
    </w:p>
    <w:p>
      <w:pPr>
        <w:spacing w:before="160" w:after="80"/>
      </w:pPr>
      <w:r>
        <w:rPr>
          <w:rFonts w:ascii="Calibri" w:hAnsi="Calibri"/>
          <w:b/>
          <w:color w:val="2E74B5"/>
          <w:sz w:val="28"/>
        </w:rPr>
        <w:t>8. Próximos passos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304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Arquivo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CRÍTICA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 xml:space="preserve">Executar </w:t>
            </w:r>
            <w:r>
              <w:rPr>
                <w:rFonts w:ascii="Courier New" w:hAnsi="Courier New"/>
                <w:color w:val="C0392B"/>
                <w:sz w:val="19"/>
              </w:rPr>
              <w:t>build_target.py</w:t>
            </w:r>
            <w:r>
              <w:rPr>
                <w:rFonts w:ascii="Calibri" w:hAnsi="Calibri"/>
                <w:color w:val="000000"/>
                <w:sz w:val="20"/>
              </w:rPr>
              <w:t xml:space="preserve"> para gerar </w:t>
            </w:r>
            <w:r>
              <w:rPr>
                <w:rFonts w:ascii="Courier New" w:hAnsi="Courier New"/>
                <w:color w:val="C0392B"/>
                <w:sz w:val="19"/>
              </w:rPr>
              <w:t>painel_com_target.parquet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src/data/build_target.py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CRÍTICA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Inspecionar registros perdidos no join Censo ↔ Taxas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Notebook 02b (a criar)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 xml:space="preserve">Adicionar </w:t>
            </w:r>
            <w:r>
              <w:rPr>
                <w:rFonts w:ascii="Courier New" w:hAnsi="Courier New"/>
                <w:color w:val="C0392B"/>
                <w:sz w:val="19"/>
              </w:rPr>
              <w:t>openpyxl</w:t>
            </w:r>
            <w:r>
              <w:rPr>
                <w:rFonts w:ascii="Calibri" w:hAnsi="Calibri"/>
                <w:color w:val="000000"/>
                <w:sz w:val="20"/>
              </w:rPr>
              <w:t xml:space="preserve"> ao </w:t>
            </w:r>
            <w:r>
              <w:rPr>
                <w:rFonts w:ascii="Courier New" w:hAnsi="Courier New"/>
                <w:color w:val="C0392B"/>
                <w:sz w:val="19"/>
              </w:rPr>
              <w:t>requirements.txt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requirements.txt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 xml:space="preserve">Notebook 03: criar </w:t>
            </w:r>
            <w:r>
              <w:rPr>
                <w:rFonts w:ascii="Courier New" w:hAnsi="Courier New"/>
                <w:color w:val="C0392B"/>
                <w:sz w:val="19"/>
              </w:rPr>
              <w:t>TAXA_ABND_MED_lag1</w:t>
            </w:r>
            <w:r>
              <w:rPr>
                <w:rFonts w:ascii="Calibri" w:hAnsi="Calibri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C0392B"/>
                <w:sz w:val="19"/>
              </w:rPr>
              <w:t>TAXA_REPROV_MED_lag1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notebooks/03_feature_engineering.py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ALTA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 xml:space="preserve">Notebook 03: descartar </w:t>
            </w:r>
            <w:r>
              <w:rPr>
                <w:rFonts w:ascii="Courier New" w:hAnsi="Courier New"/>
                <w:color w:val="C0392B"/>
                <w:sz w:val="19"/>
              </w:rPr>
              <w:t>_S4</w:t>
            </w:r>
            <w:r>
              <w:rPr>
                <w:rFonts w:ascii="Calibri" w:hAnsi="Calibri"/>
                <w:color w:val="000000"/>
                <w:sz w:val="20"/>
              </w:rPr>
              <w:t xml:space="preserve"> e </w:t>
            </w:r>
            <w:r>
              <w:rPr>
                <w:rFonts w:ascii="Courier New" w:hAnsi="Courier New"/>
                <w:color w:val="C0392B"/>
                <w:sz w:val="19"/>
              </w:rPr>
              <w:t>_NS</w:t>
            </w:r>
            <w:r>
              <w:rPr>
                <w:rFonts w:ascii="Calibri" w:hAnsi="Calibri"/>
                <w:color w:val="000000"/>
                <w:sz w:val="20"/>
              </w:rPr>
              <w:t xml:space="preserve"> do pipeline de features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notebooks/03_feature_engineering.py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MÉDIA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Baixar INSE, Distorção Idade-Série e Adequação Docente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ourier New" w:hAnsi="Courier New"/>
                <w:color w:val="C0392B"/>
                <w:sz w:val="19"/>
              </w:rPr>
              <w:t>data/raw/outros_indicadores/</w:t>
            </w:r>
          </w:p>
        </w:tc>
      </w:tr>
      <w:tr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MÉDIA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Avaliar transformação do target (log, Box-Cox, ou manter bruto)</w:t>
            </w:r>
          </w:p>
        </w:tc>
        <w:tc>
          <w:tcPr>
            <w:tcW w:type="dxa" w:w="304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Notebook 04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BAIXA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Investigar os 12 escolas que saíram do painel em 2024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color w:val="000000"/>
                <w:sz w:val="20"/>
              </w:rPr>
              <w:t>Análise ad-hoc</w:t>
            </w:r>
          </w:p>
        </w:tc>
      </w:tr>
    </w:tbl>
    <w:p/>
    <w:p>
      <w:pPr>
        <w:pBdr>
          <w:bottom w:val="single" w:sz="4" w:space="1" w:color="BFBFBF"/>
        </w:pBdr>
        <w:spacing w:before="80" w:after="80"/>
      </w:pPr>
    </w:p>
    <w:p>
      <w:pPr>
        <w:spacing w:after="120"/>
      </w:pPr>
      <w:r>
        <w:rPr>
          <w:rFonts w:ascii="Calibri" w:hAnsi="Calibri"/>
          <w:i/>
          <w:color w:val="000000"/>
          <w:sz w:val="22"/>
        </w:rPr>
        <w:t>Documento gerado com base na execução de `src/data/build_taxas_rendimento.py` e análise do parquet `taxas_rendimento_pe_estadual_em.parquet` (2.392 linhas, 806 escolas únicas, 24 colunas).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