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Técnico — Fase 2</w:t>
      </w:r>
    </w:p>
    <w:p>
      <w:pPr>
        <w:pStyle w:val="Heading1"/>
      </w:pPr>
      <w:r>
        <w:t>ETL e Análises Descritivas dos Indicadores Complementares</w:t>
      </w:r>
    </w:p>
    <w:p>
      <w:pPr>
        <w:jc w:val="left"/>
      </w:pPr>
      <w:r>
        <w:rPr>
          <w:b/>
          <w:sz w:val="22"/>
        </w:rPr>
        <w:t xml:space="preserve">Versão: </w:t>
      </w:r>
      <w:r>
        <w:rPr>
          <w:sz w:val="22"/>
        </w:rPr>
        <w:t>1.0</w:t>
        <w:br/>
      </w:r>
      <w:r>
        <w:rPr>
          <w:b/>
          <w:sz w:val="22"/>
        </w:rPr>
        <w:t xml:space="preserve">Data: </w:t>
      </w:r>
      <w:r>
        <w:rPr>
          <w:sz w:val="22"/>
        </w:rPr>
        <w:t>2026-06-05</w:t>
        <w:br/>
      </w:r>
      <w:r>
        <w:rPr>
          <w:b/>
          <w:sz w:val="22"/>
        </w:rPr>
        <w:t xml:space="preserve">Escopo: </w:t>
      </w:r>
      <w:r>
        <w:rPr>
          <w:sz w:val="22"/>
        </w:rPr>
        <w:t>ETL de IRD, INSE, TDI e AFD + análises descritivas (C1–C6)</w:t>
        <w:br/>
      </w:r>
      <w:r>
        <w:rPr>
          <w:b/>
          <w:sz w:val="22"/>
        </w:rPr>
        <w:t xml:space="preserve">Fontes: </w:t>
      </w:r>
      <w:r>
        <w:rPr>
          <w:sz w:val="22"/>
        </w:rPr>
        <w:t>INEP — Microdados indicadores complementares da Educação Básica</w:t>
        <w:br/>
      </w:r>
      <w:r>
        <w:rPr>
          <w:b/>
          <w:sz w:val="22"/>
        </w:rPr>
        <w:t xml:space="preserve">Saídas: </w:t>
      </w:r>
      <w:r>
        <w:rPr>
          <w:sz w:val="22"/>
        </w:rPr>
        <w:t>data/interim/{ird,inse,tdi,afd}_pe_estadual.parquet · reports/figuras/C*.png</w:t>
        <w:br/>
      </w:r>
    </w:p>
    <w:p>
      <w:r>
        <w:br w:type="page"/>
      </w:r>
    </w:p>
    <w:p>
      <w:pPr>
        <w:pStyle w:val="Heading1"/>
      </w:pPr>
      <w:r>
        <w:t>1. Contexto e motivação</w:t>
      </w:r>
    </w:p>
    <w:p>
      <w:r>
        <w:t>A Fase 1 do projeto (EDA do Censo Escolar) produziu um painel de 806 escolas estaduais de EM em PE com features de infraestrutura, porte e localização. Para construir um modelo preditivo de evasão com poder explicativo real, é necessário incorporar indicadores que descrevam a qualidade do corpo docente e o perfil socioeconômico dos alunos — dimensões não cobertas pelo Censo.</w:t>
      </w:r>
    </w:p>
    <w:p>
      <w:r>
        <w:t>Esta fase adiciona quatro indicadores do INEP: Indicador de Regularidade do Docente (IRD), Nível Socioeconômico (INSE), Taxa de Distorção Idade-série (TDI) e Adequação da Formação Docente (AFD). Cada um recebeu um módulo ETL independente e foi analisado descritivamente antes de entrar no pipeline de feature engineering.</w:t>
      </w:r>
    </w:p>
    <w:p>
      <w:pPr>
        <w:pStyle w:val="Heading1"/>
      </w:pPr>
      <w:r>
        <w:t>2. Alterações na arquitetura do pipeline</w:t>
      </w:r>
    </w:p>
    <w:p>
      <w:pPr>
        <w:pStyle w:val="Heading2"/>
      </w:pPr>
      <w:r>
        <w:t>2.1 Refatoração do config.py — pasta única do Censo</w:t>
      </w:r>
    </w:p>
    <w:p>
      <w:r>
        <w:t>A estrutura anterior usava uma subpasta por ano (censo_2022/, censo_2023/, censo_2024/). Com a consolidação dos arquivos em uma única pasta censo/, o config.py foi atualizado:</w:t>
      </w:r>
    </w:p>
    <w:p>
      <w:pPr>
        <w:pStyle w:val="ListBullet"/>
      </w:pPr>
      <w:r>
        <w:t>CENSO_DIR = RAW_DIR / 'censo'  — nova constante para a pasta única</w:t>
      </w:r>
    </w:p>
    <w:p>
      <w:pPr>
        <w:pStyle w:val="ListBullet"/>
      </w:pPr>
      <w:r>
        <w:t>CENSO_DIRS = {ano: CENSO_DIR for ano in [2022, 2023, 2024]}  — mantém compatibilidade com load.py sem quebrar a API</w:t>
      </w:r>
    </w:p>
    <w:p>
      <w:r>
        <w:t>A função _resolver_caminho_csv_escola() em load.py não precisou de alteração: ela já busca pelo template microdados_ed_basica_{ano}.csv dentro da pasta informada, que agora é sempre a mesma para todos os anos.</w:t>
      </w:r>
    </w:p>
    <w:p>
      <w:pPr>
        <w:pStyle w:val="Heading2"/>
      </w:pPr>
      <w:r>
        <w:t>2.2 Novos caminhos em config.py</w:t>
      </w:r>
    </w:p>
    <w:p>
      <w:r>
        <w:t>Foram adicionadas quatro constantes de caminho para os novos indicadores: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Constante</w:t>
            </w:r>
          </w:p>
        </w:tc>
        <w:tc>
          <w:tcPr>
            <w:tcW w:type="dxa" w:w="3969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Caminho</w:t>
            </w:r>
          </w:p>
        </w:tc>
        <w:tc>
          <w:tcPr>
            <w:tcW w:type="dxa" w:w="2551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Indicador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IRD_DIR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data/raw/indicador_regularidade_docente/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IRD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INSE_DIR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data/raw/inse/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TDI_DIR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data/raw/taxa_distorcao_idade/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TDI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AFD_DIR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data/raw/adequacao_formacao_docente/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AFD</w:t>
            </w:r>
          </w:p>
        </w:tc>
      </w:tr>
    </w:tbl>
    <w:p/>
    <w:p>
      <w:pPr>
        <w:pStyle w:val="Heading2"/>
      </w:pPr>
      <w:r>
        <w:t>2.3 Módulos ETL criados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1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40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Saída parquet</w:t>
            </w:r>
          </w:p>
        </w:tc>
        <w:tc>
          <w:tcPr>
            <w:tcW w:type="dxa" w:w="113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Linhas</w:t>
            </w:r>
          </w:p>
        </w:tc>
        <w:tc>
          <w:tcPr>
            <w:tcW w:type="dxa" w:w="1701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Escolas únicas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src/data/build_ird.py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ird_pe_estadual.parquet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3.110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1.044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src/data/build_inse.py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inse_pe_estadual.parquet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874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874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src/data/build_tdi.py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tdi_pe_estadual.parquet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2.366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797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src/data/build_afd.py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afd_pe_estadual.parquet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2.392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806</w:t>
            </w:r>
          </w:p>
        </w:tc>
      </w:tr>
    </w:tbl>
    <w:p/>
    <w:p>
      <w:pPr>
        <w:pStyle w:val="Heading1"/>
      </w:pPr>
      <w:r>
        <w:t>3. Decisões de ETL por indicador</w:t>
      </w:r>
    </w:p>
    <w:p>
      <w:pPr>
        <w:pStyle w:val="Heading2"/>
      </w:pPr>
      <w:r>
        <w:t>3.1 IRD — Indicador de Regularidade do Docente</w:t>
      </w:r>
    </w:p>
    <w:p>
      <w:r>
        <w:t>Arquivos: IRD_ESCOLAS_{2022,2023,2024}.xlsx. Estrutura: 10 linhas de cabeçalho institucional antes dos dados reais (header=10 no pandas).</w:t>
      </w:r>
    </w:p>
    <w:p>
      <w:r>
        <w:t>Decisões:</w:t>
      </w:r>
    </w:p>
    <w:p>
      <w:pPr>
        <w:pStyle w:val="ListBullet"/>
      </w:pPr>
      <w:r>
        <w:t>Filtro: SG_UF == 'PE' e NO_DEPENDENCIA == 'Estadual'. Mesma lógica dos módulos anteriores.</w:t>
      </w:r>
    </w:p>
    <w:p>
      <w:pPr>
        <w:pStyle w:val="ListBullet"/>
      </w:pPr>
      <w:r>
        <w:t>Coluna relevante: EDU_BAS_CAT_0 → renomeada para IRD_MED. O IRD é calculado sobre toda a educação básica da escola, sem desagregação por etapa.</w:t>
      </w:r>
    </w:p>
    <w:p>
      <w:pPr>
        <w:pStyle w:val="ListBullet"/>
      </w:pPr>
      <w:r>
        <w:t>Sem filtro de EM no ETL: o IRD cobre todas as etapas; o filtro para escolas com EM ocorre no join com o painel. Por isso o painel IRD tem 1.044 escolas vs. 806 do Censo EM.</w:t>
      </w:r>
    </w:p>
    <w:p>
      <w:pPr>
        <w:pStyle w:val="ListBullet"/>
      </w:pPr>
      <w:r>
        <w:t>Sentinel '--' tratado como NaN; nenhum registro apresentou missings na coluna IRD_MED.</w:t>
      </w:r>
    </w:p>
    <w:p>
      <w:pPr>
        <w:pStyle w:val="Heading2"/>
      </w:pPr>
      <w:r>
        <w:t>3.2 INSE — Nível Socioeconômico</w:t>
      </w:r>
    </w:p>
    <w:p>
      <w:r>
        <w:t>Situação dos arquivos: o INSE é calculado nos ciclos do SAEB (bienal). Apenas o arquivo escola-level de 2021 (INSE_2021_escolas.xlsx) está disponível. O arquivo 2023 baixado (INSE_2023_estados.xlsx) é agregado por estado e não possui granularidade escolar — portanto não foi utilizado.</w:t>
      </w:r>
    </w:p>
    <w:p>
      <w:r>
        <w:t>Decisões:</w:t>
      </w:r>
    </w:p>
    <w:p>
      <w:pPr>
        <w:pStyle w:val="ListBullet"/>
      </w:pPr>
      <w:r>
        <w:t>Header: o arquivo 2021 já inicia com nomes de colunas na linha 0 (header=0).</w:t>
      </w:r>
    </w:p>
    <w:p>
      <w:pPr>
        <w:pStyle w:val="ListBullet"/>
      </w:pPr>
      <w:r>
        <w:t>Filtro: SG_UF == 'PE' e TP_TIPO_REDE == 2 (estadual no SAEB).</w:t>
      </w:r>
    </w:p>
    <w:p>
      <w:pPr>
        <w:pStyle w:val="ListBullet"/>
      </w:pPr>
      <w:r>
        <w:t>Coluna de identificação: ID_ESCOLA → renomeada para CO_ENTIDADE para compatibilidade com o painel do Censo.</w:t>
      </w:r>
    </w:p>
    <w:p>
      <w:pPr>
        <w:pStyle w:val="ListBullet"/>
      </w:pPr>
      <w:r>
        <w:t>INSE_CLASSIFICACAO contém texto ('Nível IV') — tratado como string (INSE_NIVEL), sem conversão numérica. Os demais campos são convertidos para float.</w:t>
      </w:r>
    </w:p>
    <w:p>
      <w:pPr>
        <w:pStyle w:val="ListBullet"/>
      </w:pPr>
      <w:r>
        <w:t>Uso no modelo: INSE de 2021 como atributo estático para todos os anos do painel (2022–2024). Cobertura: 94,8% das 806 escolas do painel EM.</w:t>
      </w:r>
    </w:p>
    <w:p>
      <w:pPr>
        <w:pStyle w:val="ListBullet"/>
      </w:pPr>
      <w:r>
        <w:t>Colunas exportadas: INSE_MEDIA, INSE_NIVEL, INSE_QTD_ALUNOS e percentuais por nível (PC_NIVEL_1 a 8).</w:t>
      </w:r>
    </w:p>
    <w:p>
      <w:pPr>
        <w:pStyle w:val="Heading2"/>
      </w:pPr>
      <w:r>
        <w:t>3.3 TDI — Taxa de Distorção Idade-série</w:t>
      </w:r>
    </w:p>
    <w:p>
      <w:r>
        <w:t>Arquivos: TDI_ESCOLAS_{2022,2023,2024}.xlsx. Estrutura: 8 linhas de cabeçalho (header=8).</w:t>
      </w:r>
    </w:p>
    <w:p>
      <w:r>
        <w:t>Decisões:</w:t>
      </w:r>
    </w:p>
    <w:p>
      <w:pPr>
        <w:pStyle w:val="ListBullet"/>
      </w:pPr>
      <w:r>
        <w:t>Colunas selecionadas: apenas as de Ensino Médio — MED_CAT_0 (total EM), MED_01_CAT_0 a MED_03_CAT_0 (séries 1–3) e MED_04_CAT_0 (4ª série, para escolas de educação profissional integrada).</w:t>
      </w:r>
    </w:p>
    <w:p>
      <w:pPr>
        <w:pStyle w:val="ListBullet"/>
      </w:pPr>
      <w:r>
        <w:t>Renomeação: MED_CAT_0 → TDI_MED; MED_0x_CAT_0 → TDI_MED_Sx.</w:t>
      </w:r>
    </w:p>
    <w:p>
      <w:pPr>
        <w:pStyle w:val="ListBullet"/>
      </w:pPr>
      <w:r>
        <w:t>Filtro de EM: escolas com TDI_MED nulo (sentinel '--') foram removidas. Isso exclui as ~237 escolas estaduais que não ofertam EM presentes no arquivo nacional.</w:t>
      </w:r>
    </w:p>
    <w:p>
      <w:pPr>
        <w:pStyle w:val="ListBullet"/>
      </w:pPr>
      <w:r>
        <w:t>MED_04_CAT_0 (S4): disponível mas com 98,3% de missing — mantida no parquet para rastreabilidade; não será usada como feature.</w:t>
      </w:r>
    </w:p>
    <w:p>
      <w:pPr>
        <w:pStyle w:val="Heading2"/>
      </w:pPr>
      <w:r>
        <w:t>3.4 AFD — Adequação da Formação Docente</w:t>
      </w:r>
    </w:p>
    <w:p>
      <w:r>
        <w:t>Arquivos: AFD_ESCOLAS_{2022,2023,2024}.xlsx. Estrutura: 10 linhas de cabeçalho (header=10). O arquivo é o mais amplo dos quatro — cada escola tem 44 colunas de grupos por etapa/modalidade; foram selecionadas apenas as 5 colunas de Ensino Médio.</w:t>
      </w:r>
    </w:p>
    <w:p>
      <w:r>
        <w:t>Decisões:</w:t>
      </w:r>
    </w:p>
    <w:p>
      <w:pPr>
        <w:pStyle w:val="ListBullet"/>
      </w:pPr>
      <w:r>
        <w:t>Colunas selecionadas: MED_CAT_1 a MED_CAT_5 → AFD_MED_G1 a AFD_MED_G5.</w:t>
      </w:r>
    </w:p>
    <w:p>
      <w:pPr>
        <w:pStyle w:val="ListBullet"/>
      </w:pPr>
      <w:r>
        <w:t>Semântica dos grupos: G1 = licenciatura na disciplina (ideal); G2 = bacharelado na área sem licença; G3 = licenciatura em outra área; G4 = outra formação superior; G5 = sem ensino superior.</w:t>
      </w:r>
    </w:p>
    <w:p>
      <w:pPr>
        <w:pStyle w:val="ListBullet"/>
      </w:pPr>
      <w:r>
        <w:t>Filtro de EM: escolas com todos os grupos nulos foram removidas (mesma lógica do TDI). Resultado: 800/801/791 escolas por ano, alinhado com o painel do Censo.</w:t>
      </w:r>
    </w:p>
    <w:p>
      <w:pPr>
        <w:pStyle w:val="ListBullet"/>
      </w:pPr>
      <w:r>
        <w:t>Sem missing nas colunas de EM após a remoção das escolas sem oferta.</w:t>
      </w:r>
    </w:p>
    <w:p>
      <w:pPr>
        <w:pStyle w:val="Heading1"/>
      </w:pPr>
      <w:r>
        <w:t>4. Análises descritivas — Notebook 04</w:t>
      </w:r>
    </w:p>
    <w:p>
      <w:r>
        <w:t>O notebook notebooks/04_analises_indicadores.py executa 6 análises (C1–C6) que cobrem distribuição, evolução temporal, disparidade urbana/rural, correlação com abandono e perfil de risco composto por município.</w:t>
      </w:r>
    </w:p>
    <w:p>
      <w:pPr>
        <w:pStyle w:val="Heading2"/>
      </w:pPr>
      <w:r>
        <w:t>C1 — IRD: Regularidade do Corpo Docente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85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Ano</w:t>
            </w:r>
          </w:p>
        </w:tc>
        <w:tc>
          <w:tcPr>
            <w:tcW w:type="dxa" w:w="85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113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Média</w:t>
            </w:r>
          </w:p>
        </w:tc>
        <w:tc>
          <w:tcPr>
            <w:tcW w:type="dxa" w:w="113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Mediana</w:t>
            </w:r>
          </w:p>
        </w:tc>
        <w:tc>
          <w:tcPr>
            <w:tcW w:type="dxa" w:w="113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DP</w:t>
            </w:r>
          </w:p>
        </w:tc>
        <w:tc>
          <w:tcPr>
            <w:tcW w:type="dxa" w:w="85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Mín</w:t>
            </w:r>
          </w:p>
        </w:tc>
        <w:tc>
          <w:tcPr>
            <w:tcW w:type="dxa" w:w="85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Máx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1.034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3,352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3,296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0,612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1,6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5,0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1.037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3,462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3,425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0,556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1,7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5,0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1.039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3,438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3,422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0,535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1,6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5,0</w:t>
            </w:r>
          </w:p>
        </w:tc>
      </w:tr>
    </w:tbl>
    <w:p/>
    <w:p>
      <w:r>
        <w:t>IRD cresceu de 3,35 → 3,44 entre 2022 e 2024, indicando leve melhora na estabilidade do corpo docente. Escolas rurais apresentam IRD significativamente maior que urbanas (3,62 vs. 3,36, Mann-Whitney p&lt;0,001) — resultado contraintuitivo que pode refletir menor rotatividade em municípios com poucas alternativas de emprego para docentes, ou perfil diferente de contratação nas escolas rurais da rede estadual.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4333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_i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33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C1 — Distribuição, evolução e disparidade urbana/rural do IRD</w:t>
      </w:r>
    </w:p>
    <w:p>
      <w:pPr>
        <w:pStyle w:val="Heading2"/>
      </w:pPr>
      <w:r>
        <w:t>C2 — INSE: Nível Socioeconômico</w:t>
      </w:r>
    </w:p>
    <w:p>
      <w:r>
        <w:t>Cobertura: 764 das 806 escolas do painel EM têm INSE (94,8%). As 42 escolas sem cobertura são provavelmente novas ou com turmas muito pequenas para o cálculo do SAEB. A distribuição é concentrada nos níveis III e IV (91,6%), consistente com o perfil socioeconômico da rede estadual pernambucana.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Nível INSE</w:t>
            </w:r>
          </w:p>
        </w:tc>
        <w:tc>
          <w:tcPr>
            <w:tcW w:type="dxa" w:w="85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85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5669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Interpretação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Nível 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0,1%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Muito baixo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Nível II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4,9%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Baixo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Nível III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380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43,5%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Médio-baixo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Nível IV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420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48,1%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Médio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Nível V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3,1%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Médio-alto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Nível VI–VII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0,3%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Alto / Muito alto</w:t>
            </w:r>
          </w:p>
        </w:tc>
      </w:tr>
    </w:tbl>
    <w:p/>
    <w:p>
      <w:r>
        <w:t>Escolas urbanas têm INSE médio 0,24 pontos acima das rurais (4,51 vs. 4,28, p&lt;0,001). A variável será usada como atributo estático no feature engineering — o INSE de 2021 serve de proxy para todos os anos do painel, assumindo estabilidade socioeconômica relativa entre escolas ao longo de 3 anos.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4333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in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33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C2 — Distribuição do INSE, frequência por nível e comparação urbana/rural</w:t>
      </w:r>
    </w:p>
    <w:p>
      <w:pPr>
        <w:pStyle w:val="Heading2"/>
      </w:pPr>
      <w:r>
        <w:t>C3 — TDI: Taxa de Distorção Idade-série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85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Ano</w:t>
            </w:r>
          </w:p>
        </w:tc>
        <w:tc>
          <w:tcPr>
            <w:tcW w:type="dxa" w:w="85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113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Média</w:t>
            </w:r>
          </w:p>
        </w:tc>
        <w:tc>
          <w:tcPr>
            <w:tcW w:type="dxa" w:w="113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Mediana</w:t>
            </w:r>
          </w:p>
        </w:tc>
        <w:tc>
          <w:tcPr>
            <w:tcW w:type="dxa" w:w="113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DP</w:t>
            </w:r>
          </w:p>
        </w:tc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Kruskal-Wallis</w:t>
            </w:r>
          </w:p>
        </w:tc>
      </w:tr>
      <w:tr>
        <w:tc>
          <w:tcPr>
            <w:tcW w:type="dxa" w:w="1567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788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24,1%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22,2%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13,6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567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789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22,5%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20,6%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12,4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H=16,32</w:t>
            </w:r>
          </w:p>
        </w:tc>
      </w:tr>
      <w:tr>
        <w:tc>
          <w:tcPr>
            <w:tcW w:type="dxa" w:w="1567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789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21,6%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19,9%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11,9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p=0,0003</w:t>
            </w:r>
          </w:p>
        </w:tc>
      </w:tr>
    </w:tbl>
    <w:p/>
    <w:p>
      <w:r>
        <w:t>A TDI caiu de forma consistente e estatisticamente significativa — queda de 2,5 pp em 3 anos. A 1ª série concentra a maior distorção (25,0% em 2024) e a 3ª série a menor (16,9%), padrão esperado: alunos com distorção tendem a evadir antes de chegar às séries finais. Escolas rurais têm TDI 12,4 pp acima das urbanas (32,3% vs. 19,9%, p&lt;0,001), a segunda maior disparidade encontrada nos indicadores.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4333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td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33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C3 — Distribuição da TDI, evolução urbana/rural e comparação por série</w:t>
      </w:r>
    </w:p>
    <w:p>
      <w:pPr>
        <w:pStyle w:val="Heading2"/>
      </w:pPr>
      <w:r>
        <w:t>C4 — AFD: Adequação da Formação Docente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85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Grupo</w:t>
            </w:r>
          </w:p>
        </w:tc>
        <w:tc>
          <w:tcPr>
            <w:tcW w:type="dxa" w:w="368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Significado</w:t>
            </w:r>
          </w:p>
        </w:tc>
        <w:tc>
          <w:tcPr>
            <w:tcW w:type="dxa" w:w="113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2022</w:t>
            </w:r>
          </w:p>
        </w:tc>
        <w:tc>
          <w:tcPr>
            <w:tcW w:type="dxa" w:w="113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2023</w:t>
            </w:r>
          </w:p>
        </w:tc>
        <w:tc>
          <w:tcPr>
            <w:tcW w:type="dxa" w:w="113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2024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Licenciatura na disciplina (ideal)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52,6%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55,5%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61,9%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Bacharelado na área (sem licença)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0,8%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0,9%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1,0%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Licenciatura em outra área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41,6%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38,9%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31,8%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Outra formação superior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2,0%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2,1%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2,0%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Sem ensino superior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3,0%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2,6%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3,3%</w:t>
            </w:r>
          </w:p>
        </w:tc>
      </w:tr>
    </w:tbl>
    <w:p/>
    <w:p>
      <w:r>
        <w:t>O G1 cresceu 9,3 pp em 3 anos — tendência positiva relevante para a rede. A disparidade urbana/rural no G1 é a maior encontrada nos quatro indicadores: 65,0% (urbana) vs. 43,3% (rural), diferença de 21,7 pp (p&lt;0,001). Escolas rurais têm proporcionalmente mais docentes com licenciatura fora da disciplina (G3), refletindo dificuldade de atrair especialistas para municípios pequenos.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4333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af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33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C4 — Composição dos grupos AFD, evolução do G1 e distribuição 2024</w:t>
      </w:r>
    </w:p>
    <w:p>
      <w:pPr>
        <w:pStyle w:val="Heading2"/>
      </w:pPr>
      <w:r>
        <w:t>C5 — Correlações com a taxa de abandono</w:t>
      </w:r>
    </w:p>
    <w:p>
      <w:r>
        <w:t>Base: 2.392 observações (escola × ano, join entre taxas de rendimento e indicadores). INSE foi vinculado apenas por CO_ENTIDADE (sem ano), resultando em 2.271 pares válidos.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98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1417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r Spearman</w:t>
            </w:r>
          </w:p>
        </w:tc>
        <w:tc>
          <w:tcPr>
            <w:tcW w:type="dxa" w:w="113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p-valor</w:t>
            </w:r>
          </w:p>
        </w:tc>
        <w:tc>
          <w:tcPr>
            <w:tcW w:type="dxa" w:w="85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340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Interpretação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TDI_MED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+0,300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&lt;0,001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2.366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Maior distorção → mais abandono (mais forte)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AFD_MED_G5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+0,239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&lt;0,001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2.392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Mais docentes sem superior → mais abandono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AFD_MED_G1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−0,169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&lt;0,001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2.392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Melhor formação → menos abandono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INSE_MEDIA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−0,141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&lt;0,001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2.271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Melhor INSE → menos abandono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IRD_MED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+0,047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0,022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2.370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Correlação fraca — interpretar com cautela</w:t>
            </w:r>
          </w:p>
        </w:tc>
      </w:tr>
    </w:tbl>
    <w:p/>
    <w:p>
      <w:r>
        <w:t>TDI e AFD_G5 têm as correlações mais fortes com abandono. O IRD apresenta correlação estatisticamente significativa mas com magnitude baixa (r=0,05) — pode ser que o indicador capture regularidade em toda a escola, diluindo o efeito específico sobre o EM. A combinação TDI + AFD_G1 + INSE representa o trio de maior potencial preditivo entre os novos indicadores.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0785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_correlaco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78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C5 — Scatter plots dos indicadores vs. taxa de abandono</w:t>
      </w:r>
    </w:p>
    <w:p>
      <w:pPr>
        <w:pStyle w:val="Heading2"/>
      </w:pPr>
      <w:r>
        <w:t>C6 — Perfil de risco composto por município (2024)</w:t>
      </w:r>
    </w:p>
    <w:p>
      <w:r>
        <w:t>Foi criado um índice de risco composto para os 78 municípios com pelo menos 3 escolas estaduais de EM. O índice agrega, com pesos iguais, quatro dimensões normalizadas [0,1]: abandono médio, TDI média, (1 − IRD normalizado) e (1 − INSE normalizado). Score final = média simples das 4 dimensões.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Município</w:t>
            </w:r>
          </w:p>
        </w:tc>
        <w:tc>
          <w:tcPr>
            <w:tcW w:type="dxa" w:w="85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N esc.</w:t>
            </w:r>
          </w:p>
        </w:tc>
        <w:tc>
          <w:tcPr>
            <w:tcW w:type="dxa" w:w="113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Abandono</w:t>
            </w:r>
          </w:p>
        </w:tc>
        <w:tc>
          <w:tcPr>
            <w:tcW w:type="dxa" w:w="85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TDI</w:t>
            </w:r>
          </w:p>
        </w:tc>
        <w:tc>
          <w:tcPr>
            <w:tcW w:type="dxa" w:w="85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IRD</w:t>
            </w:r>
          </w:p>
        </w:tc>
        <w:tc>
          <w:tcPr>
            <w:tcW w:type="dxa" w:w="85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INSE</w:t>
            </w:r>
          </w:p>
        </w:tc>
        <w:tc>
          <w:tcPr>
            <w:tcW w:type="dxa" w:w="85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Floresta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10,22%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49,11%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2,99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4,14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0,80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Itacuruba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4,83%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47,47%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3,67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4,40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0,50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Carnaubeira da Penha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4,61%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39,31%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4,07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4,02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0,49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Buíque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1,50%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33,71%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3,57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3,98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0,45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Tacaratu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4,21%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40,07%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4,06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4,17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0,45</w:t>
            </w:r>
          </w:p>
        </w:tc>
      </w:tr>
    </w:tbl>
    <w:p/>
    <w:p>
      <w:r>
        <w:t>Floresta se destaca com o maior score (0,80) puxado pela combinação de abandono elevado (10,22%) e TDI altíssima (49,11%). Os demais municípios de alto risco têm abandono individual baixo mas TDI estruturalmente alta — sinal de vulnerabilidade latente não capturada apenas pelo abandono.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9414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_risco_compos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41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C6 — Top 15 municípios de risco e scatter abandono × INSE</w:t>
      </w:r>
    </w:p>
    <w:p>
      <w:pPr>
        <w:pStyle w:val="Heading1"/>
      </w:pPr>
      <w:r>
        <w:t>5. Limitações e pontos de atenção</w:t>
      </w:r>
    </w:p>
    <w:p>
      <w:pPr>
        <w:pStyle w:val="ListBullet"/>
      </w:pPr>
      <w:r>
        <w:t>INSE disponível apenas para 2021 (escola-level). O arquivo 2023 baixado é estado-level e não foi utilizado. Recomenda-se baixar o INSE_2023_escolas.xlsx do site do INEP para ter dados mais recentes.</w:t>
      </w:r>
    </w:p>
    <w:p>
      <w:pPr>
        <w:pStyle w:val="ListBullet"/>
      </w:pPr>
      <w:r>
        <w:t>IRD cobre a educação básica integralmente, sem desagregação por etapa. Escolas com EM e EF podem ter o IRD 'diluído' por docentes de séries iniciais, reduzindo a precisão do indicador para o EM especificamente.</w:t>
      </w:r>
    </w:p>
    <w:p>
      <w:pPr>
        <w:pStyle w:val="ListBullet"/>
      </w:pPr>
      <w:r>
        <w:t>TDI_MED_S4 (4ª série) tem 98,3% de missing — manter no parquet por rastreabilidade mas excluir do feature engineering.</w:t>
      </w:r>
    </w:p>
    <w:p>
      <w:pPr>
        <w:pStyle w:val="ListBullet"/>
      </w:pPr>
      <w:r>
        <w:t>Correlações da análise C5 são bivariadas. Efeitos de confundimento (ex.: INSE e TDI são altamente correlacionados entre si) só serão resolvidos no modelo multivariado.</w:t>
      </w:r>
    </w:p>
    <w:p>
      <w:pPr>
        <w:pStyle w:val="ListBullet"/>
      </w:pPr>
      <w:r>
        <w:t>IRD com correlação fraca (r=0,05) com abandono. Avaliar descarte no feature engineering após teste de importância no XGBoost.</w:t>
      </w:r>
    </w:p>
    <w:p>
      <w:pPr>
        <w:pStyle w:val="Heading1"/>
      </w:pPr>
      <w:r>
        <w:t>6. Próximos passos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Prioridade</w:t>
            </w:r>
          </w:p>
        </w:tc>
        <w:tc>
          <w:tcPr>
            <w:tcW w:type="dxa" w:w="538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Ação</w:t>
            </w:r>
          </w:p>
        </w:tc>
        <w:tc>
          <w:tcPr>
            <w:tcW w:type="dxa" w:w="2551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Arquivo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Feature engineering: criar lags t-1 de TDI e AFD_G1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Notebook 05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Incorporar INSE como feature estática (join por CO_ENTIDADE)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Notebook 05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Construir dataset final (painel + target + todos indicadores)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build_target.py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MÉDIA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Baixar INSE_2023_escolas.xlsx para ampliar cobertura temporal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data/raw/inse/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MÉDIA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Avaliar descarte de IRD_MED após análise de importância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Notebook 05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BAIXA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Excluir TDI_MED_S4 (98,3% missing) do feature set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Notebook 05</w:t>
            </w:r>
          </w:p>
        </w:tc>
      </w:tr>
    </w:tbl>
    <w:p/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