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informações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quase dois terços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informações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informações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0BCC53AB">
      <w:pPr>
        <w:pStyle w:val="3"/>
        <w:ind w:firstLine="0"/>
        <w:rPr>
          <w:color w:val="2E75B5"/>
        </w:rPr>
      </w:pPr>
      <w:r>
        <w:rPr>
          <w:rFonts w:ascii="Arial" w:hAnsi="Arial"/>
          <w:sz w:val="22"/>
        </w:rPr>
        <w:t>Figura 13 – Ganho prático da lista de prioridade em relação à escolha ao acaso</w:t>
      </w:r>
    </w:p>
    <w:p w14:paraId="243493A6">
      <w:pPr>
        <w:pStyle w:val="3"/>
        <w:ind w:firstLine="0"/>
        <w:rPr>
          <w:color w:val="2E75B5"/>
        </w:rPr>
      </w:pPr>
      <w:r>
        <w:rPr>
          <w:rFonts w:ascii="Arial" w:hAnsi="Arial"/>
          <w:sz w:val="22"/>
        </w:rPr>
        <w:t>Figura 14 – Acerto e alcance da lista para diferentes tamanhos de lista</w:t>
      </w:r>
    </w:p>
    <w:p w14:paraId="145FB100">
      <w:pPr>
        <w:pStyle w:val="3"/>
        <w:ind w:firstLine="0"/>
        <w:rPr>
          <w:color w:val="2E75B5"/>
        </w:rPr>
      </w:pPr>
      <w:r>
        <w:rPr>
          <w:rFonts w:ascii="Arial" w:hAnsi="Arial"/>
          <w:sz w:val="22"/>
        </w:rPr>
        <w:t>Figura 15 – Contribuição de cada informação para as previsões do sistema</w:t>
      </w:r>
    </w:p>
    <w:p w14:paraId="44E8BD78">
      <w:pPr>
        <w:pStyle w:val="3"/>
        <w:ind w:firstLine="0"/>
        <w:rPr>
          <w:color w:val="2E75B5"/>
        </w:rPr>
      </w:pPr>
      <w:r>
        <w:rPr>
          <w:rFonts w:ascii="Arial" w:hAnsi="Arial"/>
          <w:sz w:val="22"/>
        </w:rPr>
        <w:t>Figura 16 – Peso e direção de cada informação nas previsões do sistema</w:t>
      </w:r>
    </w:p>
    <w:p w14:paraId="4F99997E">
      <w:pPr>
        <w:pStyle w:val="3"/>
        <w:ind w:firstLine="0"/>
        <w:rPr>
          <w:color w:val="2E75B5"/>
        </w:rPr>
      </w:pPr>
      <w:r>
        <w:rPr>
          <w:rFonts w:ascii="Arial" w:hAnsi="Arial"/>
          <w:sz w:val="22"/>
        </w:rPr>
        <w:t>Figura 17 – Explicação individual da escola de maior risco previsto</w:t>
      </w:r>
    </w:p>
    <w:p w14:paraId="1A68FE01">
      <w:pPr>
        <w:pStyle w:val="3"/>
        <w:ind w:firstLine="0"/>
        <w:rPr>
          <w:color w:val="2E75B5"/>
        </w:rPr>
      </w:pPr>
      <w:r>
        <w:rPr>
          <w:rFonts w:ascii="Arial" w:hAnsi="Arial"/>
          <w:sz w:val="22"/>
        </w:rPr>
        <w:t>Figura 18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informações da escola e o abandono previsto</w:t>
      </w:r>
    </w:p>
    <w:p w14:paraId="46589F6A">
      <w:pPr>
        <w:pStyle w:val="3"/>
        <w:ind w:firstLine="0"/>
        <w:rPr>
          <w:color w:val="2E75B5"/>
        </w:rPr>
      </w:pPr>
      <w:r>
        <w:rPr>
          <w:rFonts w:ascii="Arial" w:hAnsi="Arial"/>
          <w:sz w:val="22"/>
        </w:rPr>
        <w:t>Quadro 3 – Grupos de informações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5A45D9D">
      <w:pPr>
        <w:pStyle w:val="3"/>
        <w:ind w:firstLine="0"/>
        <w:rPr>
          <w:color w:val="2E75B5"/>
        </w:rPr>
      </w:pPr>
      <w:r>
        <w:rPr>
          <w:rFonts w:ascii="Arial" w:hAnsi="Arial"/>
          <w:sz w:val="22"/>
        </w:rPr>
        <w:t>Quadro 6 – Estatísticas descritivas das 23 informações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E3D8A33">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45D915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_Toc18408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_Toc18408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1BD9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_Toc5907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_Toc5907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2555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_Toc30988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_Toc30988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75CA1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_Toc8288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_Toc8288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3D465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_Toc20377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_Toc20377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3472D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_Toc27520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_Toc27520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3723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_Toc3972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_Toc3972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568B1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_Toc7933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_Toc7933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E3627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_Toc5620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_Toc5620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7CF6C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_Toc14622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Conceitos e Fatores Associados</w:t>
          </w:r>
          <w:r>
            <w:tab/>
          </w:r>
          <w:r>
            <w:fldChar w:fldCharType="begin"/>
          </w:r>
          <w:r>
            <w:instrText xml:space="preserve"> PAGEREF _Toc14622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396E2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_Toc3811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Sistemas de Previsão de Risco Aplicados à Educação</w:t>
          </w:r>
          <w:r>
            <w:tab/>
          </w:r>
          <w:r>
            <w:fldChar w:fldCharType="begin"/>
          </w:r>
          <w:r>
            <w:instrText xml:space="preserve"> PAGEREF _Toc3811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34797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_Toc2427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Explicação das Indicações</w:t>
          </w:r>
          <w:r>
            <w:tab/>
          </w:r>
          <w:r>
            <w:fldChar w:fldCharType="begin"/>
          </w:r>
          <w:r>
            <w:instrText xml:space="preserve"> PAGEREF _Toc2427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CFB2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_Toc14572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_Toc14572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BEA36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_Toc21535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_Toc21535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3A842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_Toc12383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 Adotado</w:t>
          </w:r>
          <w:r>
            <w:tab/>
          </w:r>
          <w:r>
            <w:fldChar w:fldCharType="begin"/>
          </w:r>
          <w:r>
            <w:instrText xml:space="preserve"> PAGEREF _Toc12383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8859A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_Toc21190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_Toc21190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018B8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_Toc17420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_Toc17420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37C51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_Toc11512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_Toc11512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EA33F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_Toc10605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_Toc10605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689D2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Informações</w:t>
          </w:r>
          <w:r>
            <w:tab/>
          </w:r>
          <w:r>
            <w:fldChar w:fldCharType="begin"/>
          </w:r>
          <w:r>
            <w:instrText xml:space="preserve"> PAGEREF _Toc1551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B6961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_Toc21269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_Toc21269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5FB8F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_Toc30832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_Toc30832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0540E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_Toc903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450DA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_Toc20346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_Toc20346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E6CE4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_Toc18409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266E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_Toc7671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_Toc7671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66F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_Toc8493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_Toc8493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EC668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_Toc32023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_Toc32023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58E4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_Toc6055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_Toc6055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2B4215">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_Toc24634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_Toc24634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390BE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_Toc5162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_Toc5162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B1FAF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_Toc3092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EE9B0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_Toc29464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_Toc29464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F943F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_Toc29684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_Toc29684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3B918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_Toc10520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_Toc10520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603EB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_Toc5681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_Toc5681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35840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_Toc20042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_Toc20042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1BA6E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_Toc30983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_Toc30983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DD4C9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_Toc19494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_Toc19494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B2559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_Toc13171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Informações Usadas</w:t>
          </w:r>
          <w:r>
            <w:tab/>
          </w:r>
          <w:r>
            <w:fldChar w:fldCharType="begin"/>
          </w:r>
          <w:r>
            <w:instrText xml:space="preserve"> PAGEREF _Toc13171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1A805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_Toc2938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E076A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_Toc2507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_Toc2507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CB1BB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_Toc11033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Informações Contínuas</w:t>
          </w:r>
          <w:r>
            <w:tab/>
          </w:r>
          <w:r>
            <w:fldChar w:fldCharType="begin"/>
          </w:r>
          <w:r>
            <w:instrText xml:space="preserve"> PAGEREF _Toc11033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CD44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_Toc9245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Informações de Sim ou Não</w:t>
          </w:r>
          <w:r>
            <w:tab/>
          </w:r>
          <w:r>
            <w:fldChar w:fldCharType="begin"/>
          </w:r>
          <w:r>
            <w:instrText xml:space="preserve"> PAGEREF _Toc9245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FFD77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_Toc19767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_Toc19767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0982F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_Toc21670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Informações Têm Valor para a Previsão</w:t>
          </w:r>
          <w:r>
            <w:tab/>
          </w:r>
          <w:r>
            <w:fldChar w:fldCharType="begin"/>
          </w:r>
          <w:r>
            <w:instrText xml:space="preserve"> PAGEREF _Toc21670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01760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_Toc14481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_Toc14481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C03C5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_Toc22236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_Toc22236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8BF50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_Toc13253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_Toc13253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25556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_Toc29661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91B4A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_Toc29838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_Toc29838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947F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_Toc8002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_Toc8002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A5C92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_Toc2496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_Toc2496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C90C0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_Toc30633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_Toc30633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3AD72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_Toc7730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_Toc7730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6207D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_Toc12405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_Toc12405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86300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_Toc9217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_Toc9217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C73B6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_Toc22158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_Toc22158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54E38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_Toc13001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_Toc13001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A273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_Toc12329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_Toc12329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7B80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_Toc30918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_Toc30918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9A4AD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_Toc14312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_Toc14312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1136B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_Toc24070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38 informações usadas pelo sistema</w:t>
          </w:r>
          <w:r>
            <w:tab/>
          </w:r>
          <w:r>
            <w:fldChar w:fldCharType="begin"/>
          </w:r>
          <w:r>
            <w:instrText xml:space="preserve"> PAGEREF _Toc24070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8408"/>
      <w:r>
        <w:rPr>
          <w:rFonts w:ascii="Arial" w:hAnsi="Arial" w:eastAsia="Arial" w:cs="Arial"/>
          <w:b w:val="0"/>
        </w:rPr>
        <w:t>Introdução</w:t>
      </w:r>
      <w:bookmarkEnd w:id="1"/>
    </w:p>
    <w:p w14:paraId="71BF03DA">
      <w:pPr>
        <w:pStyle w:val="4"/>
        <w:numPr>
          <w:ilvl w:val="1"/>
          <w:numId w:val="1"/>
        </w:numPr>
      </w:pPr>
      <w:bookmarkStart w:id="2" w:name="_Toc5907"/>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30988"/>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(P2): </w:t>
      </w:r>
      <w:r>
        <w:rPr>
          <w:rFonts w:ascii="Arial" w:hAnsi="Arial" w:eastAsia="Arial" w:cs="Arial"/>
        </w:rPr>
        <w:t>é possível identificar antecipadamente quais escolas estaduais de Ensino Médio de Pernambuco terão abandono elevado no ano seguinte, a partir de informações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8288"/>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informações observadas no ano corrente, e de justificar cada indicação de prioridade de forma compreensível para o gestor da Secretaria Estadual de Educação.</w:t>
      </w:r>
    </w:p>
    <w:p w14:paraId="7CBE78D8">
      <w:pPr>
        <w:pStyle w:val="4"/>
        <w:numPr>
          <w:ilvl w:val="1"/>
          <w:numId w:val="1"/>
        </w:numPr>
      </w:pPr>
      <w:bookmarkStart w:id="5" w:name="_Toc20377"/>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informações associadas ao abandono, com análise estatística de todas as informações usadas na previsão;</w:t>
      </w:r>
    </w:p>
    <w:p w14:paraId="7C382E87">
      <w:pPr>
        <w:pStyle w:val="3"/>
        <w:ind w:firstLine="0"/>
        <w:rPr>
          <w:color w:val="2E75B5"/>
        </w:rPr>
      </w:pPr>
      <w:r>
        <w:rPr>
          <w:rFonts w:ascii="Arial" w:hAnsi="Arial" w:eastAsia="Arial" w:cs="Arial"/>
          <w:b w:val="0"/>
        </w:rPr>
        <w:t>d) Definir o conjunto de informações da previsão, com regra explícita de casamento no tempo: informações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informações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7520"/>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informações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972"/>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informações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7933"/>
      <w:r>
        <w:rPr>
          <w:rFonts w:ascii="Arial" w:hAnsi="Arial" w:eastAsia="Arial" w:cs="Arial"/>
          <w:b w:val="0"/>
        </w:rPr>
        <w:t>Revisão Bibliográfica</w:t>
      </w:r>
      <w:bookmarkEnd w:id="8"/>
    </w:p>
    <w:p w14:paraId="39C81C03">
      <w:pPr>
        <w:pStyle w:val="4"/>
        <w:numPr>
          <w:ilvl w:val="1"/>
          <w:numId w:val="1"/>
        </w:numPr>
      </w:pPr>
      <w:bookmarkStart w:id="9" w:name="_Toc5620"/>
      <w:r>
        <w:rPr>
          <w:rFonts w:ascii="Arial" w:hAnsi="Arial" w:eastAsia="Arial" w:cs="Arial"/>
          <w:b w:val="0"/>
        </w:rPr>
        <w:t>Fundamentação Teórica</w:t>
      </w:r>
      <w:bookmarkEnd w:id="9"/>
    </w:p>
    <w:p w14:paraId="1319101A">
      <w:pPr>
        <w:pStyle w:val="2"/>
        <w:numPr>
          <w:ilvl w:val="0"/>
          <w:numId w:val="1"/>
        </w:numPr>
        <w:rPr>
          <w:color w:val="000000"/>
        </w:rPr>
      </w:pPr>
      <w:bookmarkStart w:id="10" w:name="_Toc21535"/>
      <w:r>
        <w:rPr>
          <w:rFonts w:ascii="Arial" w:hAnsi="Arial" w:eastAsia="Arial" w:cs="Arial"/>
          <w:b w:val="0"/>
        </w:rPr>
        <w:t>Método de Desenvolvimento</w:t>
      </w:r>
      <w:bookmarkEnd w:id="10"/>
    </w:p>
    <w:p w14:paraId="39EFBDEF">
      <w:pPr>
        <w:pStyle w:val="4"/>
        <w:numPr>
          <w:ilvl w:val="1"/>
          <w:numId w:val="1"/>
        </w:numPr>
      </w:pPr>
      <w:bookmarkStart w:id="11" w:name="_Toc12383"/>
      <w:r>
        <w:rPr>
          <w:rFonts w:ascii="Arial" w:hAnsi="Arial" w:eastAsia="Arial" w:cs="Arial"/>
          <w:b w:val="0"/>
        </w:rPr>
        <w:t>Processo de Desenvolvimento Adotado</w:t>
      </w:r>
      <w:bookmarkEnd w:id="11"/>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2" w:name="_Toc21190"/>
      <w:r>
        <w:rPr>
          <w:rFonts w:ascii="Arial" w:hAnsi="Arial" w:eastAsia="Arial" w:cs="Arial"/>
          <w:b w:val="0"/>
        </w:rPr>
        <w:t>Fases Executadas</w:t>
      </w:r>
      <w:bookmarkEnd w:id="12"/>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informação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informações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38 informações,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informação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bookmarkStart w:id="13" w:name="_Toc17420"/>
      <w:r>
        <w:rPr>
          <w:rFonts w:ascii="Arial" w:hAnsi="Arial" w:eastAsia="Arial" w:cs="Arial"/>
          <w:b w:val="0"/>
        </w:rPr>
        <w:t>Planejamento e Decisões</w:t>
      </w:r>
      <w:bookmarkEnd w:id="13"/>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4" w:name="_Toc11512"/>
      <w:r>
        <w:rPr>
          <w:rFonts w:ascii="Arial" w:hAnsi="Arial" w:eastAsia="Arial" w:cs="Arial"/>
          <w:b w:val="0"/>
        </w:rPr>
        <w:t>Leitura e Padronização dos Dados do Censo</w:t>
      </w:r>
      <w:bookmarkEnd w:id="14"/>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15" w:name="_Toc10605"/>
      <w:r>
        <w:rPr>
          <w:rFonts w:ascii="Arial" w:hAnsi="Arial" w:eastAsia="Arial" w:cs="Arial"/>
          <w:b w:val="0"/>
        </w:rPr>
        <w:t>Integração dos Indicadores Complementares</w:t>
      </w:r>
      <w:bookmarkEnd w:id="15"/>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16" w:name="_Toc1551"/>
      <w:r>
        <w:rPr>
          <w:rFonts w:ascii="Arial" w:hAnsi="Arial" w:eastAsia="Arial" w:cs="Arial"/>
          <w:b w:val="0"/>
        </w:rPr>
        <w:t>Seleção e Preparação das Informações</w:t>
      </w:r>
      <w:bookmarkEnd w:id="16"/>
    </w:p>
    <w:p w14:paraId="079F77C8">
      <w:pPr>
        <w:pStyle w:val="3"/>
        <w:ind w:firstLine="0"/>
        <w:rPr>
          <w:color w:val="2E75B5"/>
        </w:rPr>
      </w:pPr>
      <w:r>
        <w:rPr>
          <w:rFonts w:ascii="Arial" w:hAnsi="Arial" w:eastAsia="Arial" w:cs="Arial"/>
          <w:b w:val="0"/>
        </w:rPr>
        <w:t>A terceira fase construiu o conjunto usado na previsão e fixou a regra de casamento no tempo: as informações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informações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Informações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informações por escola. O sistema usa 39. A redução é deliberada: com 1.586 observações, manter centenas de colunas faria o sistema decorar a base em vez de aprender o padrão — ele acertaria o passado e erraria o ano seguinte. O Quadro 3 agrupa as informações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informações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informações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informações, que sustenta esses critérios e responde quais delas têm de fato valor para a previsão, está no Capítulo 6.</w:t>
      </w:r>
    </w:p>
    <w:p w14:paraId="4D9103D1">
      <w:pPr>
        <w:pStyle w:val="5"/>
        <w:numPr>
          <w:ilvl w:val="2"/>
          <w:numId w:val="1"/>
        </w:numPr>
      </w:pPr>
      <w:bookmarkStart w:id="17" w:name="_Toc21269"/>
      <w:r>
        <w:rPr>
          <w:rFonts w:ascii="Arial" w:hAnsi="Arial" w:eastAsia="Arial" w:cs="Arial"/>
          <w:b w:val="0"/>
        </w:rPr>
        <w:t>Construção e Ajuste do Modelo de Previsão</w:t>
      </w:r>
      <w:bookmarkEnd w:id="17"/>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informações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18" w:name="_Toc30832"/>
      <w:r>
        <w:rPr>
          <w:rFonts w:ascii="Arial" w:hAnsi="Arial" w:eastAsia="Arial" w:cs="Arial"/>
          <w:b w:val="0"/>
        </w:rPr>
        <w:t>Explicação das Previsões</w:t>
      </w:r>
      <w:bookmarkEnd w:id="18"/>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informação,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19" w:name="_Toc903"/>
      <w:r>
        <w:rPr>
          <w:rFonts w:ascii="Arial" w:hAnsi="Arial" w:eastAsia="Arial" w:cs="Arial"/>
          <w:b w:val="0"/>
        </w:rPr>
        <w:t>Construção do Painel de Priorização</w:t>
      </w:r>
      <w:bookmarkEnd w:id="19"/>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informações,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0" w:name="_Toc20346"/>
      <w:r>
        <w:rPr>
          <w:rFonts w:ascii="Arial" w:hAnsi="Arial" w:eastAsia="Arial" w:cs="Arial"/>
          <w:b w:val="0"/>
        </w:rPr>
        <w:t>Práticas de Engenharia de Software</w:t>
      </w:r>
      <w:bookmarkEnd w:id="20"/>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informação e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1" w:name="_Toc18409"/>
      <w:r>
        <w:rPr>
          <w:rFonts w:ascii="Arial" w:hAnsi="Arial" w:eastAsia="Arial" w:cs="Arial"/>
          <w:b w:val="0"/>
        </w:rPr>
        <w:t>Arquitetura do Software</w:t>
      </w:r>
      <w:bookmarkEnd w:id="21"/>
    </w:p>
    <w:p w14:paraId="527CA8A8">
      <w:pPr>
        <w:pStyle w:val="4"/>
        <w:numPr>
          <w:ilvl w:val="1"/>
          <w:numId w:val="1"/>
        </w:numPr>
      </w:pPr>
      <w:bookmarkStart w:id="22" w:name="_Toc7671"/>
      <w:r>
        <w:rPr>
          <w:rFonts w:ascii="Arial" w:hAnsi="Arial" w:eastAsia="Arial" w:cs="Arial"/>
          <w:b w:val="0"/>
        </w:rPr>
        <w:t>Aspectos Funcionais e Não-Funcionais</w:t>
      </w:r>
      <w:bookmarkEnd w:id="22"/>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3" w:name="_Toc8493"/>
      <w:r>
        <w:rPr>
          <w:rFonts w:ascii="Arial" w:hAnsi="Arial" w:eastAsia="Arial" w:cs="Arial"/>
          <w:b w:val="0"/>
        </w:rPr>
        <w:t>Visão Estrutural</w:t>
      </w:r>
      <w:bookmarkEnd w:id="23"/>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informações depende da camada de dados; a camada de modelo depende da de informações;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4" w:name="_Toc32023"/>
      <w:r>
        <w:rPr>
          <w:rFonts w:ascii="Arial" w:hAnsi="Arial" w:eastAsia="Arial" w:cs="Arial"/>
          <w:b w:val="0"/>
        </w:rPr>
        <w:t>Visão Comportamental</w:t>
      </w:r>
      <w:bookmarkEnd w:id="24"/>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informações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25" w:name="_Toc6055"/>
      <w:r>
        <w:rPr>
          <w:rFonts w:ascii="Arial" w:hAnsi="Arial" w:eastAsia="Arial" w:cs="Arial"/>
          <w:b w:val="0"/>
        </w:rPr>
        <w:t>Visão de Implementação e Implantação</w:t>
      </w:r>
      <w:bookmarkEnd w:id="25"/>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26" w:name="_Toc24634"/>
      <w:r>
        <w:rPr>
          <w:rFonts w:ascii="Arial" w:hAnsi="Arial" w:eastAsia="Arial" w:cs="Arial"/>
          <w:b w:val="0"/>
        </w:rPr>
        <w:t>Tecnologias e Aspectos de Implementação</w:t>
      </w:r>
      <w:bookmarkEnd w:id="26"/>
    </w:p>
    <w:p w14:paraId="6E080A24">
      <w:pPr>
        <w:pStyle w:val="4"/>
        <w:numPr>
          <w:ilvl w:val="1"/>
          <w:numId w:val="1"/>
        </w:numPr>
      </w:pPr>
      <w:bookmarkStart w:id="27" w:name="_Toc5162"/>
      <w:r>
        <w:rPr>
          <w:rFonts w:ascii="Arial" w:hAnsi="Arial" w:eastAsia="Arial" w:cs="Arial"/>
          <w:b w:val="0"/>
        </w:rPr>
        <w:t>Soluções de Tecnologia</w:t>
      </w:r>
      <w:bookmarkEnd w:id="27"/>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informações,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28" w:name="_Toc3092"/>
      <w:r>
        <w:rPr>
          <w:rFonts w:ascii="Arial" w:hAnsi="Arial" w:eastAsia="Arial" w:cs="Arial"/>
          <w:b w:val="0"/>
        </w:rPr>
        <w:t>Aspectos de Implementação</w:t>
      </w:r>
      <w:bookmarkEnd w:id="28"/>
    </w:p>
    <w:p w14:paraId="1D664FD8">
      <w:pPr>
        <w:pStyle w:val="5"/>
        <w:numPr>
          <w:ilvl w:val="2"/>
          <w:numId w:val="1"/>
        </w:numPr>
      </w:pPr>
      <w:bookmarkStart w:id="29" w:name="_Toc29464"/>
      <w:r>
        <w:rPr>
          <w:rFonts w:ascii="Arial" w:hAnsi="Arial" w:eastAsia="Arial" w:cs="Arial"/>
          <w:b w:val="0"/>
        </w:rPr>
        <w:t>Estrutura do Código</w:t>
      </w:r>
      <w:bookmarkEnd w:id="29"/>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informações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0" w:name="_Toc29684"/>
      <w:r>
        <w:rPr>
          <w:rFonts w:ascii="Arial" w:hAnsi="Arial" w:eastAsia="Arial" w:cs="Arial"/>
          <w:b w:val="0"/>
        </w:rPr>
        <w:t>Fluxo dos Dados</w:t>
      </w:r>
      <w:bookmarkEnd w:id="30"/>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1" w:name="_Toc10520"/>
      <w:r>
        <w:rPr>
          <w:rFonts w:ascii="Arial" w:hAnsi="Arial" w:eastAsia="Arial" w:cs="Arial"/>
          <w:b w:val="0"/>
        </w:rPr>
        <w:t>Painel Interativo</w:t>
      </w:r>
      <w:bookmarkEnd w:id="31"/>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2" w:name="_Toc5681"/>
      <w:r>
        <w:rPr>
          <w:rFonts w:ascii="Arial" w:hAnsi="Arial" w:eastAsia="Arial" w:cs="Arial"/>
          <w:b w:val="0"/>
        </w:rPr>
        <w:t>Testes Automatizados</w:t>
      </w:r>
      <w:bookmarkEnd w:id="32"/>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informação e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3" w:name="_Toc20042"/>
      <w:r>
        <w:rPr>
          <w:rFonts w:ascii="Arial" w:hAnsi="Arial" w:eastAsia="Arial" w:cs="Arial"/>
          <w:b w:val="0"/>
        </w:rPr>
        <w:t>Gerenciamento de Dependências</w:t>
      </w:r>
      <w:bookmarkEnd w:id="33"/>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4" w:name="_Toc30983"/>
      <w:r>
        <w:rPr>
          <w:rFonts w:ascii="Arial" w:hAnsi="Arial" w:eastAsia="Arial" w:cs="Arial"/>
          <w:b w:val="0"/>
        </w:rPr>
        <w:t>Testes e Análise dos Resultados</w:t>
      </w:r>
      <w:bookmarkEnd w:id="34"/>
    </w:p>
    <w:p w14:paraId="5264F51A">
      <w:pPr>
        <w:pStyle w:val="4"/>
        <w:numPr>
          <w:ilvl w:val="1"/>
          <w:numId w:val="1"/>
        </w:numPr>
      </w:pPr>
      <w:bookmarkStart w:id="35" w:name="_Toc19494"/>
      <w:r>
        <w:rPr>
          <w:rFonts w:ascii="Arial" w:hAnsi="Arial" w:eastAsia="Arial" w:cs="Arial"/>
          <w:b w:val="0"/>
        </w:rPr>
        <w:t>Testes de Software</w:t>
      </w:r>
      <w:bookmarkEnd w:id="35"/>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 informação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informação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36" w:name="_Toc13171"/>
      <w:r>
        <w:rPr>
          <w:rFonts w:ascii="Arial" w:hAnsi="Arial" w:eastAsia="Arial" w:cs="Arial"/>
          <w:b w:val="0"/>
        </w:rPr>
        <w:t>Caracterização dos Dados e Análise das Informações Usadas</w:t>
      </w:r>
      <w:bookmarkEnd w:id="36"/>
    </w:p>
    <w:p w14:paraId="4D464269">
      <w:pPr>
        <w:pStyle w:val="5"/>
        <w:numPr>
          <w:ilvl w:val="2"/>
          <w:numId w:val="1"/>
        </w:numPr>
      </w:pPr>
      <w:bookmarkStart w:id="37" w:name="_Toc2938"/>
      <w:r>
        <w:rPr>
          <w:rFonts w:ascii="Arial" w:hAnsi="Arial" w:eastAsia="Arial" w:cs="Arial"/>
          <w:b w:val="0"/>
        </w:rPr>
        <w:t>Base Construída</w:t>
      </w:r>
      <w:bookmarkEnd w:id="37"/>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informações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Anos que podem servir de origem (t = 2022, 2023)</w:t>
            </w:r>
          </w:p>
        </w:tc>
        <w:tc>
          <w:tcPr>
            <w:tcW w:w="5" w:type="dxa"/>
          </w:tcPr>
          <w:p w14:paraId="189ADD07">
            <w:r>
              <w:rPr>
                <w:rFonts w:ascii="Arial" w:hAnsi="Arial" w:eastAsia="Arial" w:cs="Arial"/>
                <w:b w:val="0"/>
                <w:sz w:val="16"/>
              </w:rPr>
              <w:t>O ano de 2024 não tem 2025 para observar: entra como alvo, não como origem</w:t>
            </w:r>
          </w:p>
        </w:tc>
        <w:tc>
          <w:tcPr>
            <w:tcW w:w="2" w:type="dxa"/>
          </w:tcPr>
          <w:p w14:paraId="386F678D">
            <w:r>
              <w:rPr>
                <w:rFonts w:ascii="Arial" w:hAnsi="Arial" w:eastAsia="Arial" w:cs="Arial"/>
                <w:b w:val="0"/>
                <w:sz w:val="16"/>
              </w:rPr>
              <w:t>−791 → 1.601</w:t>
            </w:r>
          </w:p>
        </w:tc>
        <w:tc>
          <w:tcPr>
            <w:tcW w:w="2" w:type="dxa"/>
          </w:tcPr>
          <w:p w14:paraId="63F28650">
            <w:r>
              <w:rPr>
                <w:rFonts w:ascii="Arial" w:hAnsi="Arial" w:eastAsia="Arial" w:cs="Arial"/>
                <w:b w:val="0"/>
                <w:sz w:val="16"/>
              </w:rPr>
              <w:t>804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Pares completos (t → t+1)</w:t>
            </w:r>
          </w:p>
        </w:tc>
        <w:tc>
          <w:tcPr>
            <w:tcW w:w="5" w:type="dxa"/>
          </w:tcPr>
          <w:p w14:paraId="189ADD07">
            <w:r>
              <w:rPr>
                <w:rFonts w:ascii="Arial" w:hAnsi="Arial" w:eastAsia="Arial" w:cs="Arial"/>
                <w:b w:val="0"/>
                <w:sz w:val="16"/>
              </w:rPr>
              <w:t>Escola sem abandono observado no ano seguinte — saiu da rede ou deixou de ofertar Ensino Médio</w:t>
            </w:r>
          </w:p>
        </w:tc>
        <w:tc>
          <w:tcPr>
            <w:tcW w:w="2" w:type="dxa"/>
          </w:tcPr>
          <w:p w14:paraId="386F678D">
            <w:r>
              <w:rPr>
                <w:rFonts w:ascii="Arial" w:hAnsi="Arial" w:eastAsia="Arial" w:cs="Arial"/>
                <w:b w:val="0"/>
                <w:sz w:val="16"/>
              </w:rPr>
              <w:t>−15 → 1.586</w:t>
            </w:r>
          </w:p>
        </w:tc>
        <w:tc>
          <w:tcPr>
            <w:tcW w:w="2" w:type="dxa"/>
          </w:tcPr>
          <w:p w14:paraId="63F28650">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E588503">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38" w:name="_Toc2507"/>
      <w:r>
        <w:rPr>
          <w:rFonts w:ascii="Arial" w:hAnsi="Arial" w:eastAsia="Arial" w:cs="Arial"/>
          <w:b w:val="0"/>
        </w:rPr>
        <w:t>O Que o Sistema Prevê</w:t>
      </w:r>
      <w:bookmarkEnd w:id="38"/>
    </w:p>
    <w:p w14:paraId="5A81BC93">
      <w:pPr>
        <w:pStyle w:val="3"/>
        <w:ind w:firstLine="0"/>
        <w:rPr>
          <w:color w:val="2E75B5"/>
        </w:rPr>
      </w:pPr>
      <w:r>
        <w:rPr>
          <w:rFonts w:ascii="Arial" w:hAnsi="Arial" w:eastAsia="Arial" w:cs="Arial"/>
          <w:b w:val="0"/>
        </w:rPr>
        <w:t>O sistema prevê uma única informação: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dessa informação condicionam todo o projeto. A primeira: em 68% das observações a taxa é exatamente zero — a maioria das escolas não registra abandono no ano. A segunda: o risco é muito desigual entre grupos. Em 2024 a taxa média foi de 0,6% nas 680 escolas urbanas, 0,9% nas 70 rurais e 6,6% nas 40 escolas indígenas e quilombolas.</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B902184">
      <w:pPr>
        <w:pStyle w:val="3"/>
        <w:ind w:firstLine="0"/>
        <w:rPr>
          <w:color w:val="2E75B5"/>
        </w:rPr>
      </w:pPr>
      <w:r>
        <w:rPr>
          <w:rFonts w:ascii="Arial" w:hAnsi="Arial" w:eastAsia="Arial" w:cs="Arial"/>
          <w:b w:val="0"/>
        </w:rPr>
        <w:t>Daí decorre o critério de avaliação usado no restante do capítulo. Um sistema que respondesse “zero” para todas as escolas erraria pouco na média e seria inútil ao gestor. O que se exige é outra coisa: colocar no topo da lista as escolas que de fato terão abandono alto. É a ordem que importa, não o valor exato da taxa.</w:t>
      </w:r>
    </w:p>
    <w:p w14:paraId="03D67557">
      <w:pPr>
        <w:pStyle w:val="5"/>
        <w:numPr>
          <w:ilvl w:val="2"/>
          <w:numId w:val="1"/>
        </w:numPr>
      </w:pPr>
      <w:bookmarkStart w:id="39" w:name="_Toc11033"/>
      <w:r>
        <w:rPr>
          <w:rFonts w:ascii="Arial" w:hAnsi="Arial" w:eastAsia="Arial" w:cs="Arial"/>
          <w:b w:val="0"/>
        </w:rPr>
        <w:t>Análise Estatística das Informações Contínuas</w:t>
      </w:r>
      <w:bookmarkEnd w:id="39"/>
    </w:p>
    <w:p w14:paraId="3503798E">
      <w:pPr>
        <w:pStyle w:val="3"/>
        <w:ind w:firstLine="0"/>
        <w:rPr>
          <w:color w:val="2E75B5"/>
        </w:rPr>
      </w:pPr>
      <w:r>
        <w:rPr>
          <w:rFonts w:ascii="Arial" w:hAnsi="Arial" w:eastAsia="Arial" w:cs="Arial"/>
          <w:b w:val="0"/>
        </w:rPr>
        <w:t>Cada uma das 39 informações foi analisada antes de entrar no sistema, com o tratamento adequado ao seu tipo: 23 são contínuas, 15 são de sim ou não e uma é categórica. Para as contínuas, o Quadro 6 apresenta o valor típico, a variação e a relação com o abandono do ano seguinte. Essa relação é resumida por um indicador que varia de −1 a +1: positivo significa que a informação acompanha o aumento do abandono; negativo, que acompanha a redução. Os asteriscos indicam a confiança do resultado (* 95%, ** 99%, *** 99,9%); sem asterisco, a relação não se distingue do acaso.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informações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Informação</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503798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informações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informações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0" w:name="_Toc9245"/>
      <w:r>
        <w:rPr>
          <w:rFonts w:ascii="Arial" w:hAnsi="Arial" w:eastAsia="Arial" w:cs="Arial"/>
          <w:b w:val="0"/>
        </w:rPr>
        <w:t>Análise Estatística das Informações de Sim ou Não</w:t>
      </w:r>
      <w:bookmarkEnd w:id="40"/>
    </w:p>
    <w:p w14:paraId="5679240A">
      <w:pPr>
        <w:pStyle w:val="3"/>
        <w:ind w:firstLine="0"/>
        <w:rPr>
          <w:color w:val="2E75B5"/>
        </w:rPr>
      </w:pPr>
      <w:r>
        <w:rPr>
          <w:rFonts w:ascii="Arial" w:hAnsi="Arial" w:eastAsia="Arial" w:cs="Arial"/>
          <w:b w:val="0"/>
        </w:rPr>
        <w:t>As 15 informações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5679240A">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8BB3842">
            <w:r>
              <w:rPr>
                <w:rFonts w:ascii="Arial" w:hAnsi="Arial" w:eastAsia="Arial" w:cs="Arial"/>
                <w:b/>
                <w:sz w:val="16"/>
              </w:rPr>
              <w:t>Atributo</w:t>
            </w:r>
          </w:p>
        </w:tc>
        <w:tc>
          <w:tcPr>
            <w:tcW w:w="2" w:type="dxa"/>
          </w:tcPr>
          <w:p w14:paraId="282597E9">
            <w:r>
              <w:rPr>
                <w:rFonts w:ascii="Arial" w:hAnsi="Arial" w:eastAsia="Arial" w:cs="Arial"/>
                <w:b/>
                <w:sz w:val="16"/>
              </w:rPr>
              <w:t>Escolas que têm</w:t>
            </w:r>
          </w:p>
        </w:tc>
        <w:tc>
          <w:tcPr>
            <w:tcW w:w="2" w:type="dxa"/>
          </w:tcPr>
          <w:p w14:paraId="1CEB1107">
            <w:r>
              <w:rPr>
                <w:rFonts w:ascii="Arial" w:hAnsi="Arial" w:eastAsia="Arial" w:cs="Arial"/>
                <w:b/>
                <w:sz w:val="16"/>
              </w:rPr>
              <w:t>Escolas que não têm</w:t>
            </w:r>
          </w:p>
        </w:tc>
        <w:tc>
          <w:tcPr>
            <w:tcW w:w="2" w:type="dxa"/>
          </w:tcPr>
          <w:p w14:paraId="5266E42C">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8A04792">
            <w:r>
              <w:rPr>
                <w:rFonts w:ascii="Arial" w:hAnsi="Arial" w:eastAsia="Arial" w:cs="Arial"/>
                <w:b/>
                <w:sz w:val="16"/>
              </w:rPr>
              <w:t>Diferença (p.p.)</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Localização diferenciada (indígena/quilombola)</w:t>
            </w:r>
          </w:p>
        </w:tc>
        <w:tc>
          <w:tcPr>
            <w:tcW w:w="2" w:type="dxa"/>
          </w:tcPr>
          <w:p w14:paraId="189ADD07">
            <w:r>
              <w:rPr>
                <w:rFonts w:ascii="Arial" w:hAnsi="Arial" w:eastAsia="Arial" w:cs="Arial"/>
                <w:b w:val="0"/>
                <w:sz w:val="16"/>
              </w:rPr>
              <w:t>81 (5,1%)</w:t>
            </w:r>
          </w:p>
        </w:tc>
        <w:tc>
          <w:tcPr>
            <w:tcW w:w="2" w:type="dxa"/>
          </w:tcPr>
          <w:p w14:paraId="386F678D">
            <w:r>
              <w:rPr>
                <w:rFonts w:ascii="Arial" w:hAnsi="Arial" w:eastAsia="Arial" w:cs="Arial"/>
                <w:b w:val="0"/>
                <w:sz w:val="16"/>
              </w:rPr>
              <w:t>1.505 (94,9%)</w:t>
            </w:r>
          </w:p>
        </w:tc>
        <w:tc>
          <w:tcPr>
            <w:tcW w:w="2" w:type="dxa"/>
          </w:tcPr>
          <w:p w14:paraId="63F28650">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086C4CE4">
            <w:r>
              <w:rPr>
                <w:rFonts w:ascii="Arial" w:hAnsi="Arial" w:eastAsia="Arial" w:cs="Arial"/>
                <w:b w:val="0"/>
                <w:sz w:val="16"/>
              </w:rPr>
              <w:t>8,25***</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Localização rural</w:t>
            </w:r>
          </w:p>
        </w:tc>
        <w:tc>
          <w:tcPr>
            <w:tcW w:w="2" w:type="dxa"/>
          </w:tcPr>
          <w:p w14:paraId="189ADD07">
            <w:r>
              <w:rPr>
                <w:rFonts w:ascii="Arial" w:hAnsi="Arial" w:eastAsia="Arial" w:cs="Arial"/>
                <w:b w:val="0"/>
                <w:sz w:val="16"/>
              </w:rPr>
              <w:t>218 (13,7%)</w:t>
            </w:r>
          </w:p>
        </w:tc>
        <w:tc>
          <w:tcPr>
            <w:tcW w:w="2" w:type="dxa"/>
          </w:tcPr>
          <w:p w14:paraId="386F678D">
            <w:r>
              <w:rPr>
                <w:rFonts w:ascii="Arial" w:hAnsi="Arial" w:eastAsia="Arial" w:cs="Arial"/>
                <w:b w:val="0"/>
                <w:sz w:val="16"/>
              </w:rPr>
              <w:t>1.368 (86,3%)</w:t>
            </w:r>
          </w:p>
        </w:tc>
        <w:tc>
          <w:tcPr>
            <w:tcW w:w="2" w:type="dxa"/>
          </w:tcPr>
          <w:p w14:paraId="63F28650">
            <w:r>
              <w:rPr>
                <w:rFonts w:ascii="Arial" w:hAnsi="Arial" w:eastAsia="Arial" w:cs="Arial"/>
                <w:b w:val="0"/>
                <w:sz w:val="16"/>
              </w:rPr>
              <w:t>3,74%</w:t>
            </w:r>
          </w:p>
        </w:tc>
        <w:tc>
          <w:tcPr>
            <w:tcW w:w="2" w:type="dxa"/>
          </w:tcPr>
          <w:p w14:paraId="086C4CE4">
            <w:r>
              <w:rPr>
                <w:rFonts w:ascii="Arial" w:hAnsi="Arial" w:eastAsia="Arial" w:cs="Arial"/>
                <w:b w:val="0"/>
                <w:sz w:val="16"/>
              </w:rPr>
              <w:t>0,70%</w:t>
            </w:r>
          </w:p>
        </w:tc>
        <w:tc>
          <w:tcPr>
            <w:tcW w:w="2" w:type="dxa"/>
          </w:tcPr>
          <w:p w14:paraId="086C4CE4">
            <w:r>
              <w:rPr>
                <w:rFonts w:ascii="Arial" w:hAnsi="Arial" w:eastAsia="Arial" w:cs="Arial"/>
                <w:b w:val="0"/>
                <w:sz w:val="16"/>
              </w:rPr>
              <w:t>3,04***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Biblioteca</w:t>
            </w:r>
          </w:p>
        </w:tc>
        <w:tc>
          <w:tcPr>
            <w:tcW w:w="2" w:type="dxa"/>
          </w:tcPr>
          <w:p w14:paraId="189ADD07">
            <w:r>
              <w:rPr>
                <w:rFonts w:ascii="Arial" w:hAnsi="Arial" w:eastAsia="Arial" w:cs="Arial"/>
                <w:b w:val="0"/>
                <w:sz w:val="16"/>
              </w:rPr>
              <w:t>1.438 (90,7%)</w:t>
            </w:r>
          </w:p>
        </w:tc>
        <w:tc>
          <w:tcPr>
            <w:tcW w:w="2" w:type="dxa"/>
          </w:tcPr>
          <w:p w14:paraId="386F678D">
            <w:r>
              <w:rPr>
                <w:rFonts w:ascii="Arial" w:hAnsi="Arial" w:eastAsia="Arial" w:cs="Arial"/>
                <w:b w:val="0"/>
                <w:sz w:val="16"/>
              </w:rPr>
              <w:t>148 (9,3%)</w:t>
            </w:r>
          </w:p>
        </w:tc>
        <w:tc>
          <w:tcPr>
            <w:tcW w:w="2" w:type="dxa"/>
          </w:tcPr>
          <w:p w14:paraId="63F28650">
            <w:r>
              <w:rPr>
                <w:rFonts w:ascii="Arial" w:hAnsi="Arial" w:eastAsia="Arial" w:cs="Arial"/>
                <w:b w:val="0"/>
                <w:sz w:val="16"/>
              </w:rPr>
              <w:t>0,93%</w:t>
            </w:r>
          </w:p>
        </w:tc>
        <w:tc>
          <w:tcPr>
            <w:tcW w:w="2" w:type="dxa"/>
          </w:tcPr>
          <w:p w14:paraId="086C4CE4">
            <w:r>
              <w:rPr>
                <w:rFonts w:ascii="Arial" w:hAnsi="Arial" w:eastAsia="Arial" w:cs="Arial"/>
                <w:b w:val="0"/>
                <w:sz w:val="16"/>
              </w:rPr>
              <w:t>3,01%</w:t>
            </w:r>
          </w:p>
        </w:tc>
        <w:tc>
          <w:tcPr>
            <w:tcW w:w="2" w:type="dxa"/>
          </w:tcPr>
          <w:p w14:paraId="086C4CE4">
            <w:r>
              <w:rPr>
                <w:rFonts w:ascii="Arial" w:hAnsi="Arial" w:eastAsia="Arial" w:cs="Arial"/>
                <w:b w:val="0"/>
                <w:sz w:val="16"/>
              </w:rPr>
              <w:t>−2,08**</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Laboratório de informática</w:t>
            </w:r>
          </w:p>
        </w:tc>
        <w:tc>
          <w:tcPr>
            <w:tcW w:w="2" w:type="dxa"/>
          </w:tcPr>
          <w:p w14:paraId="189ADD07">
            <w:r>
              <w:rPr>
                <w:rFonts w:ascii="Arial" w:hAnsi="Arial" w:eastAsia="Arial" w:cs="Arial"/>
                <w:b w:val="0"/>
                <w:sz w:val="16"/>
              </w:rPr>
              <w:t>1.228 (77,4%)</w:t>
            </w:r>
          </w:p>
        </w:tc>
        <w:tc>
          <w:tcPr>
            <w:tcW w:w="2" w:type="dxa"/>
          </w:tcPr>
          <w:p w14:paraId="386F678D">
            <w:r>
              <w:rPr>
                <w:rFonts w:ascii="Arial" w:hAnsi="Arial" w:eastAsia="Arial" w:cs="Arial"/>
                <w:b w:val="0"/>
                <w:sz w:val="16"/>
              </w:rPr>
              <w:t>358 (22,6%)</w:t>
            </w:r>
          </w:p>
        </w:tc>
        <w:tc>
          <w:tcPr>
            <w:tcW w:w="2" w:type="dxa"/>
          </w:tcPr>
          <w:p w14:paraId="63F28650">
            <w:r>
              <w:rPr>
                <w:rFonts w:ascii="Arial" w:hAnsi="Arial" w:eastAsia="Arial" w:cs="Arial"/>
                <w:b w:val="0"/>
                <w:sz w:val="16"/>
              </w:rPr>
              <w:t>0,74%</w:t>
            </w:r>
          </w:p>
        </w:tc>
        <w:tc>
          <w:tcPr>
            <w:tcW w:w="2" w:type="dxa"/>
          </w:tcPr>
          <w:p w14:paraId="086C4CE4">
            <w:r>
              <w:rPr>
                <w:rFonts w:ascii="Arial" w:hAnsi="Arial" w:eastAsia="Arial" w:cs="Arial"/>
                <w:b w:val="0"/>
                <w:sz w:val="16"/>
              </w:rPr>
              <w:t>2,44%</w:t>
            </w:r>
          </w:p>
        </w:tc>
        <w:tc>
          <w:tcPr>
            <w:tcW w:w="2" w:type="dxa"/>
          </w:tcPr>
          <w:p w14:paraId="086C4CE4">
            <w:r>
              <w:rPr>
                <w:rFonts w:ascii="Arial" w:hAnsi="Arial" w:eastAsia="Arial" w:cs="Arial"/>
                <w:b w:val="0"/>
                <w:sz w:val="16"/>
              </w:rPr>
              <w:t>−1,71***</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Banda larga</w:t>
            </w:r>
          </w:p>
        </w:tc>
        <w:tc>
          <w:tcPr>
            <w:tcW w:w="2" w:type="dxa"/>
          </w:tcPr>
          <w:p w14:paraId="189ADD07">
            <w:r>
              <w:rPr>
                <w:rFonts w:ascii="Arial" w:hAnsi="Arial" w:eastAsia="Arial" w:cs="Arial"/>
                <w:b w:val="0"/>
                <w:sz w:val="16"/>
              </w:rPr>
              <w:t>1.393 (87,8%)</w:t>
            </w:r>
          </w:p>
        </w:tc>
        <w:tc>
          <w:tcPr>
            <w:tcW w:w="2" w:type="dxa"/>
          </w:tcPr>
          <w:p w14:paraId="386F678D">
            <w:r>
              <w:rPr>
                <w:rFonts w:ascii="Arial" w:hAnsi="Arial" w:eastAsia="Arial" w:cs="Arial"/>
                <w:b w:val="0"/>
                <w:sz w:val="16"/>
              </w:rPr>
              <w:t>193 (12,2%)</w:t>
            </w:r>
          </w:p>
        </w:tc>
        <w:tc>
          <w:tcPr>
            <w:tcW w:w="2" w:type="dxa"/>
          </w:tcPr>
          <w:p w14:paraId="63F28650">
            <w:r>
              <w:rPr>
                <w:rFonts w:ascii="Arial" w:hAnsi="Arial" w:eastAsia="Arial" w:cs="Arial"/>
                <w:b w:val="0"/>
                <w:sz w:val="16"/>
              </w:rPr>
              <w:t>0,95%</w:t>
            </w:r>
          </w:p>
        </w:tc>
        <w:tc>
          <w:tcPr>
            <w:tcW w:w="2" w:type="dxa"/>
          </w:tcPr>
          <w:p w14:paraId="086C4CE4">
            <w:r>
              <w:rPr>
                <w:rFonts w:ascii="Arial" w:hAnsi="Arial" w:eastAsia="Arial" w:cs="Arial"/>
                <w:b w:val="0"/>
                <w:sz w:val="16"/>
              </w:rPr>
              <w:t>2,34%</w:t>
            </w:r>
          </w:p>
        </w:tc>
        <w:tc>
          <w:tcPr>
            <w:tcW w:w="2" w:type="dxa"/>
          </w:tcPr>
          <w:p w14:paraId="086C4CE4">
            <w:r>
              <w:rPr>
                <w:rFonts w:ascii="Arial" w:hAnsi="Arial" w:eastAsia="Arial" w:cs="Arial"/>
                <w:b w:val="0"/>
                <w:sz w:val="16"/>
              </w:rPr>
              <w:t>−1,39</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Quadra de esportes</w:t>
            </w:r>
          </w:p>
        </w:tc>
        <w:tc>
          <w:tcPr>
            <w:tcW w:w="2" w:type="dxa"/>
          </w:tcPr>
          <w:p w14:paraId="189ADD07">
            <w:r>
              <w:rPr>
                <w:rFonts w:ascii="Arial" w:hAnsi="Arial" w:eastAsia="Arial" w:cs="Arial"/>
                <w:b w:val="0"/>
                <w:sz w:val="16"/>
              </w:rPr>
              <w:t>1.120 (70,6%)</w:t>
            </w:r>
          </w:p>
        </w:tc>
        <w:tc>
          <w:tcPr>
            <w:tcW w:w="2" w:type="dxa"/>
          </w:tcPr>
          <w:p w14:paraId="386F678D">
            <w:r>
              <w:rPr>
                <w:rFonts w:ascii="Arial" w:hAnsi="Arial" w:eastAsia="Arial" w:cs="Arial"/>
                <w:b w:val="0"/>
                <w:sz w:val="16"/>
              </w:rPr>
              <w:t>466 (29,4%)</w:t>
            </w:r>
          </w:p>
        </w:tc>
        <w:tc>
          <w:tcPr>
            <w:tcW w:w="2" w:type="dxa"/>
          </w:tcPr>
          <w:p w14:paraId="63F28650">
            <w:r>
              <w:rPr>
                <w:rFonts w:ascii="Arial" w:hAnsi="Arial" w:eastAsia="Arial" w:cs="Arial"/>
                <w:b w:val="0"/>
                <w:sz w:val="16"/>
              </w:rPr>
              <w:t>0,79%</w:t>
            </w:r>
          </w:p>
        </w:tc>
        <w:tc>
          <w:tcPr>
            <w:tcW w:w="2" w:type="dxa"/>
          </w:tcPr>
          <w:p w14:paraId="086C4CE4">
            <w:r>
              <w:rPr>
                <w:rFonts w:ascii="Arial" w:hAnsi="Arial" w:eastAsia="Arial" w:cs="Arial"/>
                <w:b w:val="0"/>
                <w:sz w:val="16"/>
              </w:rPr>
              <w:t>1,93%</w:t>
            </w:r>
          </w:p>
        </w:tc>
        <w:tc>
          <w:tcPr>
            <w:tcW w:w="2" w:type="dxa"/>
          </w:tcPr>
          <w:p w14:paraId="086C4CE4">
            <w:r>
              <w:rPr>
                <w:rFonts w:ascii="Arial" w:hAnsi="Arial" w:eastAsia="Arial" w:cs="Arial"/>
                <w:b w:val="0"/>
                <w:sz w:val="16"/>
              </w:rPr>
              <w:t>−1,14*</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Laboratório de ciências</w:t>
            </w:r>
          </w:p>
        </w:tc>
        <w:tc>
          <w:tcPr>
            <w:tcW w:w="2" w:type="dxa"/>
          </w:tcPr>
          <w:p w14:paraId="189ADD07">
            <w:r>
              <w:rPr>
                <w:rFonts w:ascii="Arial" w:hAnsi="Arial" w:eastAsia="Arial" w:cs="Arial"/>
                <w:b w:val="0"/>
                <w:sz w:val="16"/>
              </w:rPr>
              <w:t>705 (44,5%)</w:t>
            </w:r>
          </w:p>
        </w:tc>
        <w:tc>
          <w:tcPr>
            <w:tcW w:w="2" w:type="dxa"/>
          </w:tcPr>
          <w:p w14:paraId="386F678D">
            <w:r>
              <w:rPr>
                <w:rFonts w:ascii="Arial" w:hAnsi="Arial" w:eastAsia="Arial" w:cs="Arial"/>
                <w:b w:val="0"/>
                <w:sz w:val="16"/>
              </w:rPr>
              <w:t>881 (55,5%)</w:t>
            </w:r>
          </w:p>
        </w:tc>
        <w:tc>
          <w:tcPr>
            <w:tcW w:w="2" w:type="dxa"/>
          </w:tcPr>
          <w:p w14:paraId="63F28650">
            <w:r>
              <w:rPr>
                <w:rFonts w:ascii="Arial" w:hAnsi="Arial" w:eastAsia="Arial" w:cs="Arial"/>
                <w:b w:val="0"/>
                <w:sz w:val="16"/>
              </w:rPr>
              <w:t>0,53%</w:t>
            </w:r>
          </w:p>
        </w:tc>
        <w:tc>
          <w:tcPr>
            <w:tcW w:w="2" w:type="dxa"/>
          </w:tcPr>
          <w:p w14:paraId="086C4CE4">
            <w:r>
              <w:rPr>
                <w:rFonts w:ascii="Arial" w:hAnsi="Arial" w:eastAsia="Arial" w:cs="Arial"/>
                <w:b w:val="0"/>
                <w:sz w:val="16"/>
              </w:rPr>
              <w:t>1,59%</w:t>
            </w:r>
          </w:p>
        </w:tc>
        <w:tc>
          <w:tcPr>
            <w:tcW w:w="2" w:type="dxa"/>
          </w:tcPr>
          <w:p w14:paraId="086C4CE4">
            <w:r>
              <w:rPr>
                <w:rFonts w:ascii="Arial" w:hAnsi="Arial" w:eastAsia="Arial" w:cs="Arial"/>
                <w:b w:val="0"/>
                <w:sz w:val="16"/>
              </w:rPr>
              <w:t>−1,06***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Esgoto em rede pública</w:t>
            </w:r>
          </w:p>
        </w:tc>
        <w:tc>
          <w:tcPr>
            <w:tcW w:w="2" w:type="dxa"/>
          </w:tcPr>
          <w:p w14:paraId="189ADD07">
            <w:r>
              <w:rPr>
                <w:rFonts w:ascii="Arial" w:hAnsi="Arial" w:eastAsia="Arial" w:cs="Arial"/>
                <w:b w:val="0"/>
                <w:sz w:val="16"/>
              </w:rPr>
              <w:t>952 (60,0%)</w:t>
            </w:r>
          </w:p>
        </w:tc>
        <w:tc>
          <w:tcPr>
            <w:tcW w:w="2" w:type="dxa"/>
          </w:tcPr>
          <w:p w14:paraId="386F678D">
            <w:r>
              <w:rPr>
                <w:rFonts w:ascii="Arial" w:hAnsi="Arial" w:eastAsia="Arial" w:cs="Arial"/>
                <w:b w:val="0"/>
                <w:sz w:val="16"/>
              </w:rPr>
              <w:t>634 (40,0%)</w:t>
            </w:r>
          </w:p>
        </w:tc>
        <w:tc>
          <w:tcPr>
            <w:tcW w:w="2" w:type="dxa"/>
          </w:tcPr>
          <w:p w14:paraId="63F28650">
            <w:r>
              <w:rPr>
                <w:rFonts w:ascii="Arial" w:hAnsi="Arial" w:eastAsia="Arial" w:cs="Arial"/>
                <w:b w:val="0"/>
                <w:sz w:val="16"/>
              </w:rPr>
              <w:t>0,74%</w:t>
            </w:r>
          </w:p>
        </w:tc>
        <w:tc>
          <w:tcPr>
            <w:tcW w:w="2" w:type="dxa"/>
          </w:tcPr>
          <w:p w14:paraId="086C4CE4">
            <w:r>
              <w:rPr>
                <w:rFonts w:ascii="Arial" w:hAnsi="Arial" w:eastAsia="Arial" w:cs="Arial"/>
                <w:b w:val="0"/>
                <w:sz w:val="16"/>
              </w:rPr>
              <w:t>1,70%</w:t>
            </w:r>
          </w:p>
        </w:tc>
        <w:tc>
          <w:tcPr>
            <w:tcW w:w="2" w:type="dxa"/>
          </w:tcPr>
          <w:p w14:paraId="086C4CE4">
            <w:r>
              <w:rPr>
                <w:rFonts w:ascii="Arial" w:hAnsi="Arial" w:eastAsia="Arial" w:cs="Arial"/>
                <w:b w:val="0"/>
                <w:sz w:val="16"/>
              </w:rPr>
              <w:t>−0,96</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Água potável</w:t>
            </w:r>
          </w:p>
        </w:tc>
        <w:tc>
          <w:tcPr>
            <w:tcW w:w="2" w:type="dxa"/>
          </w:tcPr>
          <w:p w14:paraId="189ADD07">
            <w:r>
              <w:rPr>
                <w:rFonts w:ascii="Arial" w:hAnsi="Arial" w:eastAsia="Arial" w:cs="Arial"/>
                <w:b w:val="0"/>
                <w:sz w:val="16"/>
              </w:rPr>
              <w:t>1.509 (95,1%)</w:t>
            </w:r>
          </w:p>
        </w:tc>
        <w:tc>
          <w:tcPr>
            <w:tcW w:w="2" w:type="dxa"/>
          </w:tcPr>
          <w:p w14:paraId="386F678D">
            <w:r>
              <w:rPr>
                <w:rFonts w:ascii="Arial" w:hAnsi="Arial" w:eastAsia="Arial" w:cs="Arial"/>
                <w:b w:val="0"/>
                <w:sz w:val="16"/>
              </w:rPr>
              <w:t>77 (4,9%)</w:t>
            </w:r>
          </w:p>
        </w:tc>
        <w:tc>
          <w:tcPr>
            <w:tcW w:w="2" w:type="dxa"/>
          </w:tcPr>
          <w:p w14:paraId="63F28650">
            <w:r>
              <w:rPr>
                <w:rFonts w:ascii="Arial" w:hAnsi="Arial" w:eastAsia="Arial" w:cs="Arial"/>
                <w:b w:val="0"/>
                <w:sz w:val="16"/>
              </w:rPr>
              <w:t>1,08%</w:t>
            </w:r>
          </w:p>
        </w:tc>
        <w:tc>
          <w:tcPr>
            <w:tcW w:w="2" w:type="dxa"/>
          </w:tcPr>
          <w:p w14:paraId="086C4CE4">
            <w:r>
              <w:rPr>
                <w:rFonts w:ascii="Arial" w:hAnsi="Arial" w:eastAsia="Arial" w:cs="Arial"/>
                <w:b w:val="0"/>
                <w:sz w:val="16"/>
              </w:rPr>
              <w:t>1,91%</w:t>
            </w:r>
          </w:p>
        </w:tc>
        <w:tc>
          <w:tcPr>
            <w:tcW w:w="2" w:type="dxa"/>
          </w:tcPr>
          <w:p w14:paraId="086C4CE4">
            <w:r>
              <w:rPr>
                <w:rFonts w:ascii="Arial" w:hAnsi="Arial" w:eastAsia="Arial" w:cs="Arial"/>
                <w:b w:val="0"/>
                <w:sz w:val="16"/>
              </w:rPr>
              <w:t>−0,83</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Internet para alunos</w:t>
            </w:r>
          </w:p>
        </w:tc>
        <w:tc>
          <w:tcPr>
            <w:tcW w:w="2" w:type="dxa"/>
          </w:tcPr>
          <w:p w14:paraId="189ADD07">
            <w:r>
              <w:rPr>
                <w:rFonts w:ascii="Arial" w:hAnsi="Arial" w:eastAsia="Arial" w:cs="Arial"/>
                <w:b w:val="0"/>
                <w:sz w:val="16"/>
              </w:rPr>
              <w:t>1.170 (73,8%)</w:t>
            </w:r>
          </w:p>
        </w:tc>
        <w:tc>
          <w:tcPr>
            <w:tcW w:w="2" w:type="dxa"/>
          </w:tcPr>
          <w:p w14:paraId="386F678D">
            <w:r>
              <w:rPr>
                <w:rFonts w:ascii="Arial" w:hAnsi="Arial" w:eastAsia="Arial" w:cs="Arial"/>
                <w:b w:val="0"/>
                <w:sz w:val="16"/>
              </w:rPr>
              <w:t>416 (26,2%)</w:t>
            </w:r>
          </w:p>
        </w:tc>
        <w:tc>
          <w:tcPr>
            <w:tcW w:w="2" w:type="dxa"/>
          </w:tcPr>
          <w:p w14:paraId="63F28650">
            <w:r>
              <w:rPr>
                <w:rFonts w:ascii="Arial" w:hAnsi="Arial" w:eastAsia="Arial" w:cs="Arial"/>
                <w:b w:val="0"/>
                <w:sz w:val="16"/>
              </w:rPr>
              <w:t>0,92%</w:t>
            </w:r>
          </w:p>
        </w:tc>
        <w:tc>
          <w:tcPr>
            <w:tcW w:w="2" w:type="dxa"/>
          </w:tcPr>
          <w:p w14:paraId="086C4CE4">
            <w:r>
              <w:rPr>
                <w:rFonts w:ascii="Arial" w:hAnsi="Arial" w:eastAsia="Arial" w:cs="Arial"/>
                <w:b w:val="0"/>
                <w:sz w:val="16"/>
              </w:rPr>
              <w:t>1,69%</w:t>
            </w:r>
          </w:p>
        </w:tc>
        <w:tc>
          <w:tcPr>
            <w:tcW w:w="2" w:type="dxa"/>
          </w:tcPr>
          <w:p w14:paraId="086C4CE4">
            <w:r>
              <w:rPr>
                <w:rFonts w:ascii="Arial" w:hAnsi="Arial" w:eastAsia="Arial" w:cs="Arial"/>
                <w:b w:val="0"/>
                <w:sz w:val="16"/>
              </w:rPr>
              <w:t>−0,77***</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Internet</w:t>
            </w:r>
          </w:p>
        </w:tc>
        <w:tc>
          <w:tcPr>
            <w:tcW w:w="2" w:type="dxa"/>
          </w:tcPr>
          <w:p w14:paraId="189ADD07">
            <w:r>
              <w:rPr>
                <w:rFonts w:ascii="Arial" w:hAnsi="Arial" w:eastAsia="Arial" w:cs="Arial"/>
                <w:b w:val="0"/>
                <w:sz w:val="16"/>
              </w:rPr>
              <w:t>1.574 (99,2%)</w:t>
            </w:r>
          </w:p>
        </w:tc>
        <w:tc>
          <w:tcPr>
            <w:tcW w:w="2" w:type="dxa"/>
          </w:tcPr>
          <w:p w14:paraId="386F678D">
            <w:r>
              <w:rPr>
                <w:rFonts w:ascii="Arial" w:hAnsi="Arial" w:eastAsia="Arial" w:cs="Arial"/>
                <w:b w:val="0"/>
                <w:sz w:val="16"/>
              </w:rPr>
              <w:t>12 (0,8%)</w:t>
            </w:r>
          </w:p>
        </w:tc>
        <w:tc>
          <w:tcPr>
            <w:tcW w:w="2" w:type="dxa"/>
          </w:tcPr>
          <w:p w14:paraId="63F28650">
            <w:r>
              <w:rPr>
                <w:rFonts w:ascii="Arial" w:hAnsi="Arial" w:eastAsia="Arial" w:cs="Arial"/>
                <w:b w:val="0"/>
                <w:sz w:val="16"/>
              </w:rPr>
              <w:t>1,12%</w:t>
            </w:r>
          </w:p>
        </w:tc>
        <w:tc>
          <w:tcPr>
            <w:tcW w:w="2" w:type="dxa"/>
          </w:tcPr>
          <w:p w14:paraId="086C4CE4">
            <w:r>
              <w:rPr>
                <w:rFonts w:ascii="Arial" w:hAnsi="Arial" w:eastAsia="Arial" w:cs="Arial"/>
                <w:b w:val="0"/>
                <w:sz w:val="16"/>
              </w:rPr>
              <w:t>1,84%</w:t>
            </w:r>
          </w:p>
        </w:tc>
        <w:tc>
          <w:tcPr>
            <w:tcW w:w="2" w:type="dxa"/>
          </w:tcPr>
          <w:p w14:paraId="086C4CE4">
            <w:r>
              <w:rPr>
                <w:rFonts w:ascii="Arial" w:hAnsi="Arial" w:eastAsia="Arial" w:cs="Arial"/>
                <w:b w:val="0"/>
                <w:sz w:val="16"/>
              </w:rPr>
              <w:t>−0,73</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Refeitório</w:t>
            </w:r>
          </w:p>
        </w:tc>
        <w:tc>
          <w:tcPr>
            <w:tcW w:w="2" w:type="dxa"/>
          </w:tcPr>
          <w:p w14:paraId="189ADD07">
            <w:r>
              <w:rPr>
                <w:rFonts w:ascii="Arial" w:hAnsi="Arial" w:eastAsia="Arial" w:cs="Arial"/>
                <w:b w:val="0"/>
                <w:sz w:val="16"/>
              </w:rPr>
              <w:t>511 (32,2%)</w:t>
            </w:r>
          </w:p>
        </w:tc>
        <w:tc>
          <w:tcPr>
            <w:tcW w:w="2" w:type="dxa"/>
          </w:tcPr>
          <w:p w14:paraId="386F678D">
            <w:r>
              <w:rPr>
                <w:rFonts w:ascii="Arial" w:hAnsi="Arial" w:eastAsia="Arial" w:cs="Arial"/>
                <w:b w:val="0"/>
                <w:sz w:val="16"/>
              </w:rPr>
              <w:t>1.075 (67,8%)</w:t>
            </w:r>
          </w:p>
        </w:tc>
        <w:tc>
          <w:tcPr>
            <w:tcW w:w="2" w:type="dxa"/>
          </w:tcPr>
          <w:p w14:paraId="63F28650">
            <w:r>
              <w:rPr>
                <w:rFonts w:ascii="Arial" w:hAnsi="Arial" w:eastAsia="Arial" w:cs="Arial"/>
                <w:b w:val="0"/>
                <w:sz w:val="16"/>
              </w:rPr>
              <w:t>0,73%</w:t>
            </w:r>
          </w:p>
        </w:tc>
        <w:tc>
          <w:tcPr>
            <w:tcW w:w="2" w:type="dxa"/>
          </w:tcPr>
          <w:p w14:paraId="086C4CE4">
            <w:r>
              <w:rPr>
                <w:rFonts w:ascii="Arial" w:hAnsi="Arial" w:eastAsia="Arial" w:cs="Arial"/>
                <w:b w:val="0"/>
                <w:sz w:val="16"/>
              </w:rPr>
              <w:t>1,31%</w:t>
            </w:r>
          </w:p>
        </w:tc>
        <w:tc>
          <w:tcPr>
            <w:tcW w:w="2" w:type="dxa"/>
          </w:tcPr>
          <w:p w14:paraId="086C4CE4">
            <w:r>
              <w:rPr>
                <w:rFonts w:ascii="Arial" w:hAnsi="Arial" w:eastAsia="Arial" w:cs="Arial"/>
                <w:b w:val="0"/>
                <w:sz w:val="16"/>
              </w:rPr>
              <w:t>−0,58*</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Auditório</w:t>
            </w:r>
          </w:p>
        </w:tc>
        <w:tc>
          <w:tcPr>
            <w:tcW w:w="2" w:type="dxa"/>
          </w:tcPr>
          <w:p w14:paraId="189ADD07">
            <w:r>
              <w:rPr>
                <w:rFonts w:ascii="Arial" w:hAnsi="Arial" w:eastAsia="Arial" w:cs="Arial"/>
                <w:b w:val="0"/>
                <w:sz w:val="16"/>
              </w:rPr>
              <w:t>438 (27,6%)</w:t>
            </w:r>
          </w:p>
        </w:tc>
        <w:tc>
          <w:tcPr>
            <w:tcW w:w="2" w:type="dxa"/>
          </w:tcPr>
          <w:p w14:paraId="386F678D">
            <w:r>
              <w:rPr>
                <w:rFonts w:ascii="Arial" w:hAnsi="Arial" w:eastAsia="Arial" w:cs="Arial"/>
                <w:b w:val="0"/>
                <w:sz w:val="16"/>
              </w:rPr>
              <w:t>1.148 (72,4%)</w:t>
            </w:r>
          </w:p>
        </w:tc>
        <w:tc>
          <w:tcPr>
            <w:tcW w:w="2" w:type="dxa"/>
          </w:tcPr>
          <w:p w14:paraId="63F28650">
            <w:r>
              <w:rPr>
                <w:rFonts w:ascii="Arial" w:hAnsi="Arial" w:eastAsia="Arial" w:cs="Arial"/>
                <w:b w:val="0"/>
                <w:sz w:val="16"/>
              </w:rPr>
              <w:t>0,75%</w:t>
            </w:r>
          </w:p>
        </w:tc>
        <w:tc>
          <w:tcPr>
            <w:tcW w:w="2" w:type="dxa"/>
          </w:tcPr>
          <w:p w14:paraId="086C4CE4">
            <w:r>
              <w:rPr>
                <w:rFonts w:ascii="Arial" w:hAnsi="Arial" w:eastAsia="Arial" w:cs="Arial"/>
                <w:b w:val="0"/>
                <w:sz w:val="16"/>
              </w:rPr>
              <w:t>1,26%</w:t>
            </w:r>
          </w:p>
        </w:tc>
        <w:tc>
          <w:tcPr>
            <w:tcW w:w="2" w:type="dxa"/>
          </w:tcPr>
          <w:p w14:paraId="086C4CE4">
            <w:r>
              <w:rPr>
                <w:rFonts w:ascii="Arial" w:hAnsi="Arial" w:eastAsia="Arial" w:cs="Arial"/>
                <w:b w:val="0"/>
                <w:sz w:val="16"/>
              </w:rPr>
              <w:t>−0,52</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Oferta de EM fora das séries regulares (EJA/modular)</w:t>
            </w:r>
          </w:p>
        </w:tc>
        <w:tc>
          <w:tcPr>
            <w:tcW w:w="2" w:type="dxa"/>
          </w:tcPr>
          <w:p w14:paraId="189ADD07">
            <w:r>
              <w:rPr>
                <w:rFonts w:ascii="Arial" w:hAnsi="Arial" w:eastAsia="Arial" w:cs="Arial"/>
                <w:b w:val="0"/>
                <w:sz w:val="16"/>
              </w:rPr>
              <w:t>283 (17,8%)</w:t>
            </w:r>
          </w:p>
        </w:tc>
        <w:tc>
          <w:tcPr>
            <w:tcW w:w="2" w:type="dxa"/>
          </w:tcPr>
          <w:p w14:paraId="386F678D">
            <w:r>
              <w:rPr>
                <w:rFonts w:ascii="Arial" w:hAnsi="Arial" w:eastAsia="Arial" w:cs="Arial"/>
                <w:b w:val="0"/>
                <w:sz w:val="16"/>
              </w:rPr>
              <w:t>1.303 (82,2%)</w:t>
            </w:r>
          </w:p>
        </w:tc>
        <w:tc>
          <w:tcPr>
            <w:tcW w:w="2" w:type="dxa"/>
          </w:tcPr>
          <w:p w14:paraId="63F28650">
            <w:r>
              <w:rPr>
                <w:rFonts w:ascii="Arial" w:hAnsi="Arial" w:eastAsia="Arial" w:cs="Arial"/>
                <w:b w:val="0"/>
                <w:sz w:val="16"/>
              </w:rPr>
              <w:t>1,49%</w:t>
            </w:r>
          </w:p>
        </w:tc>
        <w:tc>
          <w:tcPr>
            <w:tcW w:w="2" w:type="dxa"/>
          </w:tcPr>
          <w:p w14:paraId="086C4CE4">
            <w:r>
              <w:rPr>
                <w:rFonts w:ascii="Arial" w:hAnsi="Arial" w:eastAsia="Arial" w:cs="Arial"/>
                <w:b w:val="0"/>
                <w:sz w:val="16"/>
              </w:rPr>
              <w:t>1,04%</w:t>
            </w:r>
          </w:p>
        </w:tc>
        <w:tc>
          <w:tcPr>
            <w:tcW w:w="2" w:type="dxa"/>
          </w:tcPr>
          <w:p w14:paraId="086C4CE4">
            <w:r>
              <w:rPr>
                <w:rFonts w:ascii="Arial" w:hAnsi="Arial" w:eastAsia="Arial" w:cs="Arial"/>
                <w:b w:val="0"/>
                <w:sz w:val="16"/>
              </w:rPr>
              <w:t>0,45***</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66B8590">
            <w:r>
              <w:rPr>
                <w:rFonts w:ascii="Arial" w:hAnsi="Arial" w:eastAsia="Arial" w:cs="Arial"/>
                <w:b w:val="0"/>
                <w:sz w:val="16"/>
              </w:rPr>
              <w:t>Sala de leitura</w:t>
            </w:r>
          </w:p>
        </w:tc>
        <w:tc>
          <w:tcPr>
            <w:tcW w:w="2" w:type="dxa"/>
          </w:tcPr>
          <w:p w14:paraId="189ADD07">
            <w:r>
              <w:rPr>
                <w:rFonts w:ascii="Arial" w:hAnsi="Arial" w:eastAsia="Arial" w:cs="Arial"/>
                <w:b w:val="0"/>
                <w:sz w:val="16"/>
              </w:rPr>
              <w:t>244 (15,4%)</w:t>
            </w:r>
          </w:p>
        </w:tc>
        <w:tc>
          <w:tcPr>
            <w:tcW w:w="2" w:type="dxa"/>
          </w:tcPr>
          <w:p w14:paraId="386F678D">
            <w:r>
              <w:rPr>
                <w:rFonts w:ascii="Arial" w:hAnsi="Arial" w:eastAsia="Arial" w:cs="Arial"/>
                <w:b w:val="0"/>
                <w:sz w:val="16"/>
              </w:rPr>
              <w:t>1.342 (84,6%)</w:t>
            </w:r>
          </w:p>
        </w:tc>
        <w:tc>
          <w:tcPr>
            <w:tcW w:w="2" w:type="dxa"/>
          </w:tcPr>
          <w:p w14:paraId="63F28650">
            <w:r>
              <w:rPr>
                <w:rFonts w:ascii="Arial" w:hAnsi="Arial" w:eastAsia="Arial" w:cs="Arial"/>
                <w:b w:val="0"/>
                <w:sz w:val="16"/>
              </w:rPr>
              <w:t>1,38%</w:t>
            </w:r>
          </w:p>
        </w:tc>
        <w:tc>
          <w:tcPr>
            <w:tcW w:w="2" w:type="dxa"/>
          </w:tcPr>
          <w:p w14:paraId="086C4CE4">
            <w:r>
              <w:rPr>
                <w:rFonts w:ascii="Arial" w:hAnsi="Arial" w:eastAsia="Arial" w:cs="Arial"/>
                <w:b w:val="0"/>
                <w:sz w:val="16"/>
              </w:rPr>
              <w:t>1,07%</w:t>
            </w:r>
          </w:p>
        </w:tc>
        <w:tc>
          <w:tcPr>
            <w:tcW w:w="2" w:type="dxa"/>
          </w:tcPr>
          <w:p w14:paraId="086C4CE4">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679240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14"/>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1" w:name="_Toc19767"/>
      <w:r>
        <w:rPr>
          <w:rFonts w:ascii="Arial" w:hAnsi="Arial" w:eastAsia="Arial" w:cs="Arial"/>
          <w:b w:val="0"/>
        </w:rPr>
        <w:t>A Região do Estado</w:t>
      </w:r>
      <w:bookmarkEnd w:id="41"/>
    </w:p>
    <w:p w14:paraId="6971EDFE">
      <w:pPr>
        <w:pStyle w:val="3"/>
        <w:ind w:firstLine="0"/>
        <w:rPr>
          <w:color w:val="2E75B5"/>
        </w:rPr>
      </w:pPr>
      <w:r>
        <w:rPr>
          <w:rFonts w:ascii="Arial" w:hAnsi="Arial" w:eastAsia="Arial" w:cs="Arial"/>
          <w:b w:val="0"/>
        </w:rPr>
        <w:t>A única informação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informações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w:t>
      </w:r>
      <w:bookmarkStart w:id="60" w:name="_GoBack"/>
      <w:bookmarkEnd w:id="60"/>
      <w:r>
        <w:rPr>
          <w:rFonts w:ascii="Arial" w:hAnsi="Arial" w:eastAsia="Arial" w:cs="Arial"/>
          <w:b w:val="0"/>
          <w:sz w:val="20"/>
        </w:rPr>
        <w:t>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2" w:name="_Toc21670"/>
      <w:r>
        <w:rPr>
          <w:rFonts w:ascii="Arial" w:hAnsi="Arial" w:eastAsia="Arial" w:cs="Arial"/>
          <w:b w:val="0"/>
        </w:rPr>
        <w:t>Quais Informações Têm Valor para a Previsão</w:t>
      </w:r>
      <w:bookmarkEnd w:id="42"/>
    </w:p>
    <w:p w14:paraId="47427B1E">
      <w:pPr>
        <w:pStyle w:val="3"/>
        <w:ind w:firstLine="0"/>
        <w:rPr>
          <w:color w:val="2E75B5"/>
        </w:rPr>
      </w:pPr>
      <w:r>
        <w:rPr>
          <w:rFonts w:ascii="Arial" w:hAnsi="Arial" w:eastAsia="Arial" w:cs="Arial"/>
          <w:b w:val="0"/>
        </w:rPr>
        <w:t>Reunindo as duas famílias numéricas, 30 das 38 informações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informação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informações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informações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3F71063F">
      <w:pPr>
        <w:pStyle w:val="4"/>
        <w:numPr>
          <w:ilvl w:val="1"/>
          <w:numId w:val="1"/>
        </w:numPr>
      </w:pPr>
      <w:bookmarkStart w:id="43" w:name="_Toc14481"/>
      <w:r>
        <w:rPr>
          <w:rFonts w:ascii="Arial" w:hAnsi="Arial" w:eastAsia="Arial" w:cs="Arial"/>
          <w:b w:val="0"/>
        </w:rPr>
        <w:t>Desempenho do Sistema</w:t>
      </w:r>
      <w:bookmarkEnd w:id="43"/>
    </w:p>
    <w:p w14:paraId="4805032B">
      <w:pPr>
        <w:pStyle w:val="5"/>
        <w:numPr>
          <w:ilvl w:val="2"/>
          <w:numId w:val="1"/>
        </w:numPr>
      </w:pPr>
      <w:bookmarkStart w:id="44" w:name="_Toc22236"/>
      <w:r>
        <w:rPr>
          <w:rFonts w:ascii="Arial" w:hAnsi="Arial" w:eastAsia="Arial" w:cs="Arial"/>
          <w:b w:val="0"/>
        </w:rPr>
        <w:t>Como o Desempenho Foi Medido</w:t>
      </w:r>
      <w:bookmarkEnd w:id="44"/>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45" w:name="_Toc13253"/>
      <w:r>
        <w:rPr>
          <w:rFonts w:ascii="Arial" w:hAnsi="Arial" w:eastAsia="Arial" w:cs="Arial"/>
          <w:b w:val="0"/>
        </w:rPr>
        <w:t>Resultados em Validação Repetida</w:t>
      </w:r>
      <w:bookmarkEnd w:id="45"/>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2,627 [2,348; 2,905]</w:t>
            </w:r>
          </w:p>
        </w:tc>
        <w:tc>
          <w:tcPr>
            <w:tcW w:w="2268" w:type="dxa"/>
          </w:tcPr>
          <w:p w14:paraId="2CC4EB99">
            <w:r>
              <w:rPr>
                <w:rFonts w:ascii="Arial" w:hAnsi="Arial" w:eastAsia="Arial" w:cs="Arial"/>
                <w:b w:val="0"/>
                <w:sz w:val="18"/>
              </w:rPr>
              <w:t>0,426 [0,391; 0,461]</w:t>
            </w:r>
          </w:p>
        </w:tc>
        <w:tc>
          <w:tcPr>
            <w:tcW w:w="2268" w:type="dxa"/>
          </w:tcPr>
          <w:p w14:paraId="3A3A912A">
            <w:r>
              <w:rPr>
                <w:rFonts w:ascii="Arial" w:hAnsi="Arial" w:eastAsia="Arial" w:cs="Arial"/>
                <w:b w:val="0"/>
                <w:sz w:val="18"/>
              </w:rPr>
              <w:t>0,516 [0,477; 0,556]</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[0,399; 0,463]</w:t>
            </w:r>
          </w:p>
        </w:tc>
        <w:tc>
          <w:tcPr>
            <w:tcW w:w="2268" w:type="dxa"/>
          </w:tcPr>
          <w:p w14:paraId="72813122">
            <w:r>
              <w:rPr>
                <w:rFonts w:ascii="Arial" w:hAnsi="Arial" w:eastAsia="Arial" w:cs="Arial"/>
                <w:b w:val="0"/>
                <w:sz w:val="18"/>
              </w:rPr>
              <w:t>0,500 [0,457; 0,544]</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2,695 [2,397; 2,992]</w:t>
            </w:r>
          </w:p>
        </w:tc>
        <w:tc>
          <w:tcPr>
            <w:tcW w:w="2268" w:type="dxa"/>
          </w:tcPr>
          <w:p w14:paraId="08161C3D">
            <w:r>
              <w:rPr>
                <w:rFonts w:ascii="Arial" w:hAnsi="Arial" w:eastAsia="Arial" w:cs="Arial"/>
                <w:b w:val="0"/>
                <w:sz w:val="18"/>
              </w:rPr>
              <w:t>0,458 [0,428; 0,488]</w:t>
            </w:r>
          </w:p>
        </w:tc>
        <w:tc>
          <w:tcPr>
            <w:tcW w:w="2268" w:type="dxa"/>
          </w:tcPr>
          <w:p w14:paraId="7C7BC5F6">
            <w:r>
              <w:rPr>
                <w:rFonts w:ascii="Arial" w:hAnsi="Arial" w:eastAsia="Arial" w:cs="Arial"/>
                <w:b w:val="0"/>
                <w:sz w:val="18"/>
              </w:rPr>
              <w:t>0,499 [0,463; 0,535]</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O modelo adotado alcança o melhor acerto de ordenação de todos, e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46" w:name="_Toc29661"/>
      <w:r>
        <w:rPr>
          <w:rFonts w:ascii="Arial" w:hAnsi="Arial" w:eastAsia="Arial" w:cs="Arial"/>
          <w:b w:val="0"/>
        </w:rPr>
        <w:t>Resultados no Teste do Ano Nunca Visto</w:t>
      </w:r>
      <w:bookmarkEnd w:id="46"/>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2,890</w:t>
            </w:r>
          </w:p>
        </w:tc>
        <w:tc>
          <w:tcPr>
            <w:tcW w:w="1814" w:type="dxa"/>
          </w:tcPr>
          <w:p w14:paraId="7EFDDDD8">
            <w:r>
              <w:rPr>
                <w:rFonts w:ascii="Arial" w:hAnsi="Arial" w:eastAsia="Arial" w:cs="Arial"/>
                <w:b w:val="0"/>
                <w:sz w:val="18"/>
              </w:rPr>
              <w:t>0,329</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2,620</w:t>
            </w:r>
          </w:p>
        </w:tc>
        <w:tc>
          <w:tcPr>
            <w:tcW w:w="1814" w:type="dxa"/>
          </w:tcPr>
          <w:p w14:paraId="1073F006">
            <w:r>
              <w:rPr>
                <w:rFonts w:ascii="Arial" w:hAnsi="Arial" w:eastAsia="Arial" w:cs="Arial"/>
                <w:b w:val="0"/>
                <w:sz w:val="18"/>
              </w:rPr>
              <w:t>0,390</w:t>
            </w:r>
          </w:p>
        </w:tc>
        <w:tc>
          <w:tcPr>
            <w:tcW w:w="1587" w:type="dxa"/>
          </w:tcPr>
          <w:p w14:paraId="4548CA3E">
            <w:r>
              <w:rPr>
                <w:rFonts w:ascii="Arial" w:hAnsi="Arial" w:eastAsia="Arial" w:cs="Arial"/>
                <w:b w:val="0"/>
                <w:sz w:val="18"/>
              </w:rPr>
              <w:t>0,405</w:t>
            </w:r>
          </w:p>
        </w:tc>
        <w:tc>
          <w:tcPr>
            <w:tcW w:w="1871" w:type="dxa"/>
          </w:tcPr>
          <w:p w14:paraId="2C5DB115">
            <w:r>
              <w:rPr>
                <w:rFonts w:ascii="Arial" w:hAnsi="Arial" w:eastAsia="Arial" w:cs="Arial"/>
                <w:b w:val="0"/>
                <w:sz w:val="18"/>
              </w:rPr>
              <w:t>0,830</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0,830 para o modelo adotado, na faixa típica dos estudos da área.</w:t>
      </w:r>
    </w:p>
    <w:p w14:paraId="2277BBB5">
      <w:pPr>
        <w:pStyle w:val="4"/>
        <w:numPr>
          <w:ilvl w:val="1"/>
          <w:numId w:val="1"/>
        </w:numPr>
      </w:pPr>
      <w:bookmarkStart w:id="47" w:name="_Toc29838"/>
      <w:r>
        <w:rPr>
          <w:rFonts w:ascii="Arial" w:hAnsi="Arial" w:eastAsia="Arial" w:cs="Arial"/>
          <w:b w:val="0"/>
        </w:rPr>
        <w:t>Capacidade de Priorização</w:t>
      </w:r>
      <w:bookmarkEnd w:id="47"/>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30% das críticas, contra 6% da escolha ao acaso. A das 100 primeiras alcança 54% e a das 150 primeiras, 64%.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48" w:name="_Toc8002"/>
      <w:r>
        <w:rPr>
          <w:rFonts w:ascii="Arial" w:hAnsi="Arial" w:eastAsia="Arial" w:cs="Arial"/>
          <w:b w:val="0"/>
        </w:rPr>
        <w:t>Explicação das Indicações</w:t>
      </w:r>
      <w:bookmarkEnd w:id="48"/>
    </w:p>
    <w:p w14:paraId="4564E80B">
      <w:pPr>
        <w:pStyle w:val="5"/>
        <w:numPr>
          <w:ilvl w:val="2"/>
          <w:numId w:val="1"/>
        </w:numPr>
      </w:pPr>
      <w:bookmarkStart w:id="49" w:name="_Toc2496"/>
      <w:r>
        <w:rPr>
          <w:rFonts w:ascii="Arial" w:hAnsi="Arial" w:eastAsia="Arial" w:cs="Arial"/>
          <w:b w:val="0"/>
        </w:rPr>
        <w:t>Visão Geral</w:t>
      </w:r>
      <w:bookmarkEnd w:id="49"/>
    </w:p>
    <w:p w14:paraId="5B8734FD">
      <w:pPr>
        <w:pStyle w:val="3"/>
        <w:ind w:firstLine="0"/>
        <w:rPr>
          <w:color w:val="2E75B5"/>
        </w:rPr>
      </w:pPr>
      <w:r>
        <w:rPr>
          <w:rFonts w:ascii="Arial" w:hAnsi="Arial" w:eastAsia="Arial" w:cs="Arial"/>
          <w:b w:val="0"/>
        </w:rPr>
        <w:t xml:space="preserve">Saber que uma escola está no topo da lista não basta; </w:t>
      </w:r>
      <w:r>
        <w:rPr>
          <w:rFonts w:hint="default" w:cs="Arial"/>
          <w:b w:val="0"/>
          <w:lang w:val="pt-BR"/>
        </w:rPr>
        <w:t>é preciso</w:t>
      </w:r>
      <w:r>
        <w:rPr>
          <w:rFonts w:ascii="Arial" w:hAnsi="Arial" w:eastAsia="Arial" w:cs="Arial"/>
          <w:b w:val="0"/>
        </w:rPr>
        <w:t xml:space="preserve"> saber por quê. A técnica de explicação adotada decompõe cada previsão na contribuição de cada informação. Aplicada a todo o conjunto, ela mostra quais informações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Contribuição de cada informação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0" w:name="_Toc30633"/>
      <w:r>
        <w:rPr>
          <w:rFonts w:ascii="Arial" w:hAnsi="Arial" w:eastAsia="Arial" w:cs="Arial"/>
          <w:b w:val="0"/>
        </w:rPr>
        <w:t>Direção dos Efeitos</w:t>
      </w:r>
      <w:bookmarkEnd w:id="50"/>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Peso e direção de cada informação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1" w:name="_Toc7730"/>
      <w:r>
        <w:rPr>
          <w:rFonts w:ascii="Arial" w:hAnsi="Arial" w:eastAsia="Arial" w:cs="Arial"/>
          <w:b w:val="0"/>
        </w:rPr>
        <w:t>Explicação de Uma Escola</w:t>
      </w:r>
      <w:bookmarkEnd w:id="51"/>
    </w:p>
    <w:p w14:paraId="2C975AF9">
      <w:pPr>
        <w:pStyle w:val="3"/>
        <w:ind w:firstLine="0"/>
        <w:rPr>
          <w:color w:val="2E75B5"/>
        </w:rPr>
      </w:pPr>
      <w:r>
        <w:rPr>
          <w:rFonts w:ascii="Arial" w:hAnsi="Arial" w:eastAsia="Arial" w:cs="Arial"/>
          <w:b w:val="0"/>
        </w:rPr>
        <w:t>A decomposição também vale caso a caso. Para qualquer escola é possível mostrar como cada informação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2" w:name="_Toc12405"/>
      <w:r>
        <w:rPr>
          <w:rFonts w:ascii="Arial" w:hAnsi="Arial" w:eastAsia="Arial" w:cs="Arial"/>
          <w:b w:val="0"/>
        </w:rPr>
        <w:t>Erros do Modelo e Equidade</w:t>
      </w:r>
      <w:bookmarkEnd w:id="52"/>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3" w:name="_Toc9217"/>
      <w:r>
        <w:rPr>
          <w:rFonts w:ascii="Arial" w:hAnsi="Arial" w:eastAsia="Arial" w:cs="Arial"/>
          <w:b w:val="0"/>
        </w:rPr>
        <w:t>O Painel de Priorização ao Gestor</w:t>
      </w:r>
      <w:bookmarkEnd w:id="53"/>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informações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54" w:name="_Toc22158"/>
      <w:r>
        <w:rPr>
          <w:rFonts w:ascii="Arial" w:hAnsi="Arial" w:eastAsia="Arial" w:cs="Arial"/>
          <w:b w:val="0"/>
        </w:rPr>
        <w:t>Síntese dos Resultados</w:t>
      </w:r>
      <w:bookmarkEnd w:id="54"/>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informações é enxuto e justificado: 38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quase dois terços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55" w:name="_Toc13001"/>
      <w:r>
        <w:rPr>
          <w:rFonts w:ascii="Arial" w:hAnsi="Arial" w:eastAsia="Arial" w:cs="Arial"/>
          <w:b w:val="0"/>
        </w:rPr>
        <w:t>Conclusões e Trabalhos Futuros</w:t>
      </w:r>
      <w:bookmarkEnd w:id="55"/>
    </w:p>
    <w:p w14:paraId="2B49EC9B">
      <w:pPr>
        <w:pStyle w:val="4"/>
        <w:numPr>
          <w:ilvl w:val="1"/>
          <w:numId w:val="1"/>
        </w:numPr>
      </w:pPr>
      <w:bookmarkStart w:id="56" w:name="_Toc12329"/>
      <w:r>
        <w:rPr>
          <w:rFonts w:ascii="Arial" w:hAnsi="Arial" w:eastAsia="Arial" w:cs="Arial"/>
          <w:b w:val="0"/>
        </w:rPr>
        <w:t>Conclusões</w:t>
      </w:r>
      <w:bookmarkEnd w:id="56"/>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(P2). </w:t>
      </w:r>
      <w:r>
        <w:rPr>
          <w:rFonts w:ascii="Arial" w:hAnsi="Arial" w:eastAsia="Arial" w:cs="Arial"/>
        </w:rPr>
        <w:t>Sim, com uma qualificação que é ela própria um resultado: o sistema identifica quais escolas terão abandono elevado, mas não estima quanto. O acerto da ordenação foi de 0,458 na validação repetida e de 0,390 no teste do ano nunca visto, e a capacidade de separar as escolas críticas das demais chegou a 0,830.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w:t>
      </w:r>
    </w:p>
    <w:p w14:paraId="672FDBB6">
      <w:pPr>
        <w:pStyle w:val="3"/>
        <w:ind w:firstLine="0"/>
        <w:rPr>
          <w:color w:val="2E75B5"/>
        </w:rPr>
      </w:pPr>
      <w:r>
        <w:rPr>
          <w:rFonts w:ascii="Arial" w:hAnsi="Arial" w:eastAsia="Arial" w:cs="Arial"/>
          <w:b w:val="0"/>
        </w:rPr>
        <w:t>Sobre as informações: partiu-se de mais de 400 colunas disponíveis para 38, escolhidas com critérios explícitos e submetidas a análise estatística individual. Trinta das 38 informações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64%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57" w:name="_Toc30918"/>
      <w:r>
        <w:rPr>
          <w:rFonts w:ascii="Arial" w:hAnsi="Arial" w:eastAsia="Arial" w:cs="Arial"/>
          <w:b w:val="0"/>
        </w:rPr>
        <w:t>Trabalhos Futuros</w:t>
      </w:r>
      <w:bookmarkEnd w:id="57"/>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58" w:name="_Toc14312"/>
      <w:r>
        <w:rPr>
          <w:rFonts w:ascii="Arial" w:hAnsi="Arial" w:eastAsia="Arial" w:cs="Arial"/>
          <w:b w:val="0"/>
        </w:rPr>
        <w:t>Referências</w:t>
      </w:r>
      <w:bookmarkEnd w:id="58"/>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bookmarkStart w:id="59" w:name="_Toc24070"/>
      <w:r>
        <w:rPr>
          <w:rFonts w:ascii="Arial" w:hAnsi="Arial" w:eastAsia="Arial" w:cs="Arial"/>
          <w:b w:val="0"/>
        </w:rPr>
        <w:t>Apêndice A – Relação das 39 informações usadas pelo sistema</w:t>
      </w:r>
      <w:bookmarkEnd w:id="59"/>
    </w:p>
    <w:p w14:paraId="44924F0C">
      <w:pPr>
        <w:pStyle w:val="3"/>
        <w:ind w:firstLine="0"/>
        <w:rPr>
          <w:color w:val="2E75B5"/>
        </w:rPr>
      </w:pPr>
      <w:r>
        <w:rPr>
          <w:rFonts w:ascii="Arial" w:hAnsi="Arial" w:eastAsia="Arial" w:cs="Arial"/>
          <w:b w:val="0"/>
        </w:rPr>
        <w:t>As informações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75C8B2ED">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40EF343-197B-45B6-B361-BCE55AC5B2B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A40B32B-B1B5-4624-8EC8-D8C76B847455}"/>
  </w:font>
  <w:font w:name="Wingdings">
    <w:panose1 w:val="05000000000000000000"/>
    <w:charset w:val="02"/>
    <w:family w:val="auto"/>
    <w:pitch w:val="default"/>
    <w:sig w:usb0="00000000" w:usb1="00000000" w:usb2="00000000" w:usb3="00000000" w:csb0="80000000" w:csb1="00000000"/>
    <w:embedRegular r:id="rId3" w:fontKey="{155A3641-1C11-4F6E-9C79-9591741368BE}"/>
  </w:font>
  <w:font w:name="Calibri">
    <w:panose1 w:val="020F0502020204030204"/>
    <w:charset w:val="00"/>
    <w:family w:val="swiss"/>
    <w:pitch w:val="default"/>
    <w:sig w:usb0="E4002EFF" w:usb1="C200247B" w:usb2="00000009" w:usb3="00000000" w:csb0="200001FF" w:csb1="00000000"/>
    <w:embedRegular r:id="rId4" w:fontKey="{81CC51A1-0070-4A2E-95E7-23C1E33B6AE8}"/>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08D26270-2126-4C30-984A-F76C9708CF71}"/>
  </w:font>
  <w:font w:name="Georgia">
    <w:panose1 w:val="02040502050405020303"/>
    <w:charset w:val="00"/>
    <w:family w:val="roman"/>
    <w:pitch w:val="default"/>
    <w:sig w:usb0="00000287" w:usb1="00000000" w:usb2="00000000" w:usb3="00000000" w:csb0="2000009F" w:csb1="00000000"/>
    <w:embedRegular r:id="rId6" w:fontKey="{11C39046-433B-4F6E-8021-780C8F63F89F}"/>
  </w:font>
  <w:font w:name="Liberation Sans">
    <w:panose1 w:val="020B0604020202020204"/>
    <w:charset w:val="00"/>
    <w:family w:val="swiss"/>
    <w:pitch w:val="default"/>
    <w:sig w:usb0="E0000AFF" w:usb1="500078FF" w:usb2="00000021" w:usb3="00000000" w:csb0="600001BF" w:csb1="DFF70000"/>
    <w:embedRegular r:id="rId7" w:fontKey="{60BFDB73-92A5-4DAC-8C56-85B42AD5EF1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37816D17"/>
    <w:rsid w:val="46E010FE"/>
    <w:rsid w:val="54BC7DEB"/>
    <w:rsid w:val="79F5399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56</Pages>
  <Words>9961</Words>
  <Characters>54488</Characters>
  <Paragraphs>463</Paragraphs>
  <TotalTime>83</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2026-07-21T22:49:25Z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