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do(a) prof.(a), dr.(a) - (</w:t>
      </w:r>
      <w:r>
        <w:rPr>
          <w:rFonts w:eastAsia="Arial" w:cs="Arial"/>
          <w:b/>
          <w:bCs/>
          <w:i w:val="0"/>
          <w:iCs w:val="0"/>
          <w:caps w:val="0"/>
          <w:smallCaps w:val="0"/>
          <w:strike w:val="0"/>
          <w:dstrike w:val="0"/>
          <w:color w:val="000000"/>
          <w:position w:val="0"/>
          <w:sz w:val="24"/>
          <w:szCs w:val="24"/>
          <w:u w:val="none"/>
          <w:shd w:val="clear" w:fill="auto"/>
          <w:vertAlign w:val="baseline"/>
        </w:rPr>
        <w:t>nome do completo do(a) orientador(a)</w:t>
      </w:r>
      <w:r>
        <w:rPr>
          <w:rFonts w:eastAsia="Arial" w:cs="Arial"/>
          <w:b w:val="0"/>
          <w:bCs w:val="0"/>
          <w:i w:val="0"/>
          <w:iCs w:val="0"/>
          <w:caps w:val="0"/>
          <w:smallCaps w:val="0"/>
          <w:strike w:val="0"/>
          <w:dstrike w:val="0"/>
          <w:color w:val="000000"/>
          <w:position w:val="0"/>
          <w:sz w:val="24"/>
          <w:szCs w:val="24"/>
          <w:u w:val="none"/>
          <w:shd w:val="clear" w:fill="auto"/>
          <w:vertAlign w:val="baseline"/>
        </w:rPr>
        <w:t>).</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O sistema reúne dados públicos do INEP — Censo Escolar de 2022 a 2024, taxas de rendimento e quatro indicadores complementares —, usa 39 características por escola e prevê a taxa de abandono do ano seguinte.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quase dois terços das escolas críticas da rede. O histórico recente de abandono, a reprovação e a defasagem entre idade e série são os principais sinais de risco.</w:t>
      </w:r>
    </w:p>
    <w:p w14:paraId="31B565F5">
      <w:pPr>
        <w:pStyle w:val="3"/>
        <w:ind w:firstLine="0"/>
        <w:rPr>
          <w:color w:val="2E75B5"/>
        </w:rPr>
      </w:pPr>
      <w:r>
        <w:rPr>
          <w:rFonts w:ascii="Arial" w:hAnsi="Arial" w:eastAsia="Arial" w:cs="Arial"/>
          <w:b w:val="0"/>
        </w:rPr>
        <w:t>Palavras-chave: Evasão escolar. Priorização de escolas.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The system gathers public data from INEP — the School Census from 2022 to 2024, performance rates and four complementary indicators —, uses 38 pieces of information per school and predicts the dropout rate of the following year.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almost two thirds of the critical schools in the network. Recent dropout history, grade retention and the gap between age and grade are the main risk signals.</w:t>
      </w:r>
    </w:p>
    <w:p w14:paraId="3D8D40F5">
      <w:pPr>
        <w:pStyle w:val="3"/>
        <w:ind w:firstLine="0"/>
        <w:rPr>
          <w:color w:val="2E75B5"/>
        </w:rPr>
      </w:pPr>
      <w:r>
        <w:rPr>
          <w:rFonts w:ascii="Arial" w:hAnsi="Arial" w:eastAsia="Arial" w:cs="Arial"/>
          <w:b w:val="0"/>
        </w:rPr>
        <w:t>Keywords: School dropout. School prioritization.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0BCC53AB">
      <w:pPr>
        <w:pStyle w:val="3"/>
        <w:ind w:firstLine="0"/>
        <w:rPr>
          <w:color w:val="2E75B5"/>
        </w:rPr>
      </w:pPr>
      <w:r>
        <w:rPr>
          <w:rFonts w:ascii="Arial" w:hAnsi="Arial"/>
          <w:sz w:val="22"/>
        </w:rPr>
        <w:t>Figura 13 – Ganho prático da lista de prioridade em relação à escolha ao acaso</w:t>
      </w:r>
    </w:p>
    <w:p w14:paraId="243493A6">
      <w:pPr>
        <w:pStyle w:val="3"/>
        <w:ind w:firstLine="0"/>
        <w:rPr>
          <w:color w:val="2E75B5"/>
        </w:rPr>
      </w:pPr>
      <w:r>
        <w:rPr>
          <w:rFonts w:ascii="Arial" w:hAnsi="Arial"/>
          <w:sz w:val="22"/>
        </w:rPr>
        <w:t>Figura 14 – Acerto e alcance da lista para diferentes tamanhos de lista</w:t>
      </w:r>
    </w:p>
    <w:p w14:paraId="145FB100">
      <w:pPr>
        <w:pStyle w:val="3"/>
        <w:ind w:firstLine="0"/>
        <w:rPr>
          <w:color w:val="2E75B5"/>
        </w:rPr>
      </w:pPr>
      <w:r>
        <w:rPr>
          <w:rFonts w:ascii="Arial" w:hAnsi="Arial"/>
          <w:sz w:val="22"/>
        </w:rPr>
        <w:t>Figura 15 – Contribuição de cada característica para as previsões do sistema</w:t>
      </w:r>
    </w:p>
    <w:p w14:paraId="44E8BD78">
      <w:pPr>
        <w:pStyle w:val="3"/>
        <w:ind w:firstLine="0"/>
        <w:rPr>
          <w:color w:val="2E75B5"/>
        </w:rPr>
      </w:pPr>
      <w:r>
        <w:rPr>
          <w:rFonts w:ascii="Arial" w:hAnsi="Arial"/>
          <w:sz w:val="22"/>
        </w:rPr>
        <w:t>Figura 16 – Peso e direção de cada característica nas previsões do sistema</w:t>
      </w:r>
    </w:p>
    <w:p w14:paraId="4F99997E">
      <w:pPr>
        <w:pStyle w:val="3"/>
        <w:ind w:firstLine="0"/>
        <w:rPr>
          <w:color w:val="2E75B5"/>
        </w:rPr>
      </w:pPr>
      <w:r>
        <w:rPr>
          <w:rFonts w:ascii="Arial" w:hAnsi="Arial"/>
          <w:sz w:val="22"/>
        </w:rPr>
        <w:t>Figura 17 – Explicação individual da escola de maior risco previsto</w:t>
      </w:r>
    </w:p>
    <w:p w14:paraId="1A68FE01">
      <w:pPr>
        <w:pStyle w:val="3"/>
        <w:ind w:firstLine="0"/>
        <w:rPr>
          <w:color w:val="2E75B5"/>
        </w:rPr>
      </w:pPr>
      <w:r>
        <w:rPr>
          <w:rFonts w:ascii="Arial" w:hAnsi="Arial"/>
          <w:sz w:val="22"/>
        </w:rPr>
        <w:t>Figura 18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5A45D9D">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rPr>
                <w:color w:val="000000"/>
              </w:rPr>
              <w:t>ABNT</w:t>
            </w:r>
          </w:p>
        </w:tc>
        <w:tc>
          <w:tcPr>
            <w:tcW w:w="7604" w:type="dxa"/>
          </w:tcPr>
          <w:p w14:paraId="031A16CB">
            <w:pPr>
              <w:pStyle w:val="3"/>
              <w:ind w:firstLine="0"/>
              <w:jc w:val="left"/>
              <w:rPr>
                <w:color w:val="000000"/>
              </w:rPr>
            </w:pPr>
            <w:r>
              <w:rPr>
                <w:color w:val="000000"/>
              </w:rP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rPr>
                <w:color w:val="000000"/>
              </w:rPr>
              <w:t>BU</w:t>
            </w:r>
          </w:p>
        </w:tc>
        <w:tc>
          <w:tcPr>
            <w:tcW w:w="7604" w:type="dxa"/>
          </w:tcPr>
          <w:p w14:paraId="10CBB3A7">
            <w:pPr>
              <w:pStyle w:val="3"/>
              <w:ind w:firstLine="0"/>
              <w:jc w:val="left"/>
              <w:rPr>
                <w:color w:val="000000"/>
              </w:rPr>
            </w:pPr>
            <w:r>
              <w:rPr>
                <w:color w:val="000000"/>
              </w:rPr>
              <w:t>Biblioteca Universitária</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rPr>
                <w:color w:val="000000"/>
              </w:rPr>
              <w:t>NBR</w:t>
            </w:r>
          </w:p>
        </w:tc>
        <w:tc>
          <w:tcPr>
            <w:tcW w:w="7604" w:type="dxa"/>
          </w:tcPr>
          <w:p w14:paraId="77D1C937">
            <w:pPr>
              <w:pStyle w:val="3"/>
              <w:ind w:firstLine="0"/>
              <w:jc w:val="left"/>
              <w:rPr>
                <w:color w:val="000000"/>
              </w:rPr>
            </w:pPr>
            <w:r>
              <w:rPr>
                <w:color w:val="000000"/>
              </w:rPr>
              <w:t>Normas Técnicas Brasileiras</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rPr>
                <w:color w:val="000000"/>
              </w:rPr>
              <w:t>TCC</w:t>
            </w:r>
          </w:p>
        </w:tc>
        <w:tc>
          <w:tcPr>
            <w:tcW w:w="7604" w:type="dxa"/>
          </w:tcPr>
          <w:p w14:paraId="3C950431">
            <w:pPr>
              <w:pStyle w:val="3"/>
              <w:ind w:firstLine="0"/>
              <w:jc w:val="left"/>
              <w:rPr>
                <w:color w:val="000000"/>
              </w:rPr>
            </w:pPr>
            <w:r>
              <w:rPr>
                <w:color w:val="000000"/>
              </w:rPr>
              <w:t>Trabalho de Conclusão de Curso</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p>
        </w:tc>
        <w:tc>
          <w:tcPr>
            <w:tcW w:w="7604" w:type="dxa"/>
          </w:tcPr>
          <w:p w14:paraId="5FE4DE85">
            <w:pPr>
              <w:pStyle w:val="3"/>
              <w:ind w:firstLine="0"/>
              <w:jc w:val="left"/>
              <w:rPr>
                <w:color w:val="000000"/>
              </w:rPr>
            </w:pP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6E3D8A33">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745D9158">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_Toc18408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_Toc18408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B1BD9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_Toc5907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_Toc5907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25550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_Toc30988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_Toc30988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75CA1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_Toc8288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_Toc8288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3D465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_Toc20377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_Toc20377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3472D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_Toc27520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_Toc27520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73723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_Toc3972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_Toc3972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568B1D">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_Toc7933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_Toc7933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E3627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_Toc5620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_Toc5620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7CF6C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_Toc14622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Conceitos e Fatores Associados</w:t>
          </w:r>
          <w:r>
            <w:tab/>
          </w:r>
          <w:r>
            <w:fldChar w:fldCharType="begin"/>
          </w:r>
          <w:r>
            <w:instrText xml:space="preserve"> PAGEREF _Toc14622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396E2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_Toc3811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Sistemas de Previsão de Risco Aplicados à Educação</w:t>
          </w:r>
          <w:r>
            <w:tab/>
          </w:r>
          <w:r>
            <w:fldChar w:fldCharType="begin"/>
          </w:r>
          <w:r>
            <w:instrText xml:space="preserve"> PAGEREF _Toc3811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34797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_Toc2427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Explicação das Indicações</w:t>
          </w:r>
          <w:r>
            <w:tab/>
          </w:r>
          <w:r>
            <w:fldChar w:fldCharType="begin"/>
          </w:r>
          <w:r>
            <w:instrText xml:space="preserve"> PAGEREF _Toc2427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CFB2D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_Toc14572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_Toc14572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BEA36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_Toc21535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_Toc21535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3A842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_Toc12383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 Adotado</w:t>
          </w:r>
          <w:r>
            <w:tab/>
          </w:r>
          <w:r>
            <w:fldChar w:fldCharType="begin"/>
          </w:r>
          <w:r>
            <w:instrText xml:space="preserve"> PAGEREF _Toc12383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8859A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_Toc21190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_Toc21190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018B8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_Toc17420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_Toc17420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37C51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_Toc11512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_Toc11512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EA33F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_Toc10605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_Toc10605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689D2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_Toc1551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Informações</w:t>
          </w:r>
          <w:r>
            <w:tab/>
          </w:r>
          <w:r>
            <w:fldChar w:fldCharType="begin"/>
          </w:r>
          <w:r>
            <w:instrText xml:space="preserve"> PAGEREF _Toc1551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B6961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_Toc21269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_Toc21269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5FB8F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_Toc30832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_Toc30832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0540E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_Toc903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_Toc903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450DA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_Toc20346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_Toc20346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E6CE4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_Toc18409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_Toc18409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266ED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_Toc7671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_Toc7671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166F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_Toc8493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_Toc8493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EC668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_Toc32023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_Toc32023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58E4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_Toc6055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_Toc6055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2B4215">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_Toc24634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_Toc24634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390BE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_Toc5162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_Toc5162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B1FAF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_Toc3092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EE9B0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_Toc29464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_Toc29464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2F943F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_Toc29684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_Toc29684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3B918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_Toc10520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_Toc10520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603EB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_Toc5681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_Toc5681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35840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_Toc20042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_Toc20042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1BA6E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_Toc30983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_Toc30983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9DD4C9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_Toc19494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_Toc19494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B2559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_Toc13171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Informações Usadas</w:t>
          </w:r>
          <w:r>
            <w:tab/>
          </w:r>
          <w:r>
            <w:fldChar w:fldCharType="begin"/>
          </w:r>
          <w:r>
            <w:instrText xml:space="preserve"> PAGEREF _Toc13171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1A805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_Toc2938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_Toc2938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E076A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_Toc2507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_Toc2507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CB1BB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_Toc11033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Informações Contínuas</w:t>
          </w:r>
          <w:r>
            <w:tab/>
          </w:r>
          <w:r>
            <w:fldChar w:fldCharType="begin"/>
          </w:r>
          <w:r>
            <w:instrText xml:space="preserve"> PAGEREF _Toc11033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CD44D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_Toc9245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Informações de Sim ou Não</w:t>
          </w:r>
          <w:r>
            <w:tab/>
          </w:r>
          <w:r>
            <w:fldChar w:fldCharType="begin"/>
          </w:r>
          <w:r>
            <w:instrText xml:space="preserve"> PAGEREF _Toc9245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FFD77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_Toc19767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_Toc19767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0982F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_Toc21670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Informações Têm Valor para a Previsão</w:t>
          </w:r>
          <w:r>
            <w:tab/>
          </w:r>
          <w:r>
            <w:fldChar w:fldCharType="begin"/>
          </w:r>
          <w:r>
            <w:instrText xml:space="preserve"> PAGEREF _Toc21670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01760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_Toc14481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_Toc14481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C03C5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_Toc22236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_Toc22236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8BF50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_Toc13253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_Toc13253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25556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_Toc29661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_Toc29661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91B4A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_Toc29838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_Toc29838 \h </w:instrText>
          </w:r>
          <w:r>
            <w:fldChar w:fldCharType="separate"/>
          </w:r>
          <w:r>
            <w:t>43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947F4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_Toc8002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_Toc8002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A5C92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_Toc2496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_Toc2496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C90C0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_Toc30633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_Toc30633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3AD72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_Toc7730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_Toc7730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E6207D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_Toc12405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_Toc12405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86300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_Toc9217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_Toc9217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C73B6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_Toc22158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_Toc22158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54E38D">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_Toc13001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_Toc13001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A273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_Toc12329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_Toc12329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7B80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_Toc30918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_Toc30918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9A4AD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_Toc14312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_Toc14312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1136B5">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_Toc24070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38 informações usadas pelo sistema</w:t>
          </w:r>
          <w:r>
            <w:tab/>
          </w:r>
          <w:r>
            <w:fldChar w:fldCharType="begin"/>
          </w:r>
          <w:r>
            <w:instrText xml:space="preserve"> PAGEREF _Toc24070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8408"/>
      <w:r>
        <w:rPr>
          <w:rFonts w:ascii="Arial" w:hAnsi="Arial" w:eastAsia="Arial" w:cs="Arial"/>
          <w:b w:val="0"/>
        </w:rPr>
        <w:t>Introdução</w:t>
      </w:r>
      <w:bookmarkEnd w:id="1"/>
    </w:p>
    <w:p w14:paraId="71BF03DA">
      <w:pPr>
        <w:pStyle w:val="4"/>
        <w:numPr>
          <w:ilvl w:val="1"/>
          <w:numId w:val="1"/>
        </w:numPr>
      </w:pPr>
      <w:bookmarkStart w:id="2" w:name="_Toc5907"/>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profundas — sociais, econômicas, geográficas e institucionais. Pernambuco implantou um programa pioneiro de Ensino Médio em tempo integral, cuja oferta passou de 56,7% das escolas estaduais em 2022 para 64,9% em 2024. Ainda assim, a rede permanece muito desigual: as escolas rurais e as da região do São Francisco Pernambucano concentram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Hoje ela não dispõe de um mecanismo que antecipe o risco. Sem ele, o gestor age depois que o abandono já apareceu nos números do ano anterior.</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vem caindo: 2,05% em 2022, 1,37% em 2023 e 0,96% em 2024. Essa leitura sugere que a situação está sob controle e, principalmente, não indica onde agir. O exame ano a ano mostra outro quadro. Em 2024, 2.043 alunos abandonaram o Ensino Médio na rede estadual; 67% das escolas não registraram nenhum abandono, e as 79 escolas mais críticas — 10% da rede — responderam por 76% de todos os alunos que saíram. O problema não está espalhado pela rede: está concentrado em poucas escolas.</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 onde alocar equipe, programa e visita — acontece exatamente nesse nível.</w:t>
      </w:r>
    </w:p>
    <w:p w14:paraId="4E5B67FE">
      <w:pPr>
        <w:pStyle w:val="4"/>
        <w:numPr>
          <w:ilvl w:val="1"/>
          <w:numId w:val="1"/>
        </w:numPr>
      </w:pPr>
      <w:bookmarkStart w:id="3" w:name="_Toc30988"/>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Pergunta de previsão (P2): 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(P3):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 seja porque perdem mais alunos do que o perfil indica, e merecem atenção imediata, seja porque resistem apesar de um perfil desfavorável, e merecem ser estudadas.</w:t>
      </w:r>
    </w:p>
    <w:p w14:paraId="1E3A4383">
      <w:pPr>
        <w:pStyle w:val="4"/>
        <w:numPr>
          <w:ilvl w:val="1"/>
          <w:numId w:val="1"/>
        </w:numPr>
      </w:pPr>
      <w:bookmarkStart w:id="4" w:name="_Toc8288"/>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0377"/>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7520"/>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3972"/>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em suas quatro visões.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7933"/>
      <w:r>
        <w:rPr>
          <w:rFonts w:ascii="Arial" w:hAnsi="Arial" w:eastAsia="Arial" w:cs="Arial"/>
          <w:b w:val="0"/>
        </w:rPr>
        <w:t>Revisão Bibliográfica</w:t>
      </w:r>
      <w:bookmarkEnd w:id="8"/>
    </w:p>
    <w:p w14:paraId="39C81C03">
      <w:pPr>
        <w:pStyle w:val="4"/>
        <w:numPr>
          <w:ilvl w:val="1"/>
          <w:numId w:val="1"/>
        </w:numPr>
      </w:pPr>
      <w:bookmarkStart w:id="9" w:name="_Toc5620"/>
      <w:r>
        <w:rPr>
          <w:rFonts w:ascii="Arial" w:hAnsi="Arial" w:eastAsia="Arial" w:cs="Arial"/>
          <w:b w:val="0"/>
        </w:rPr>
        <w:t>Fundamentação Teórica</w:t>
      </w:r>
      <w:bookmarkEnd w:id="9"/>
    </w:p>
    <w:p w14:paraId="1319101A">
      <w:pPr>
        <w:pStyle w:val="2"/>
        <w:numPr>
          <w:ilvl w:val="0"/>
          <w:numId w:val="1"/>
        </w:numPr>
        <w:rPr>
          <w:color w:val="000000"/>
        </w:rPr>
      </w:pPr>
      <w:bookmarkStart w:id="10" w:name="_Toc21535"/>
      <w:r>
        <w:rPr>
          <w:rFonts w:ascii="Arial" w:hAnsi="Arial" w:eastAsia="Arial" w:cs="Arial"/>
          <w:b w:val="0"/>
        </w:rPr>
        <w:t>Método de Desenvolvimento</w:t>
      </w:r>
      <w:bookmarkEnd w:id="10"/>
    </w:p>
    <w:p w14:paraId="39EFBDEF">
      <w:pPr>
        <w:pStyle w:val="4"/>
        <w:numPr>
          <w:ilvl w:val="1"/>
          <w:numId w:val="1"/>
        </w:numPr>
      </w:pPr>
      <w:bookmarkStart w:id="11" w:name="_Toc12383"/>
      <w:r>
        <w:rPr>
          <w:rFonts w:ascii="Arial" w:hAnsi="Arial" w:eastAsia="Arial" w:cs="Arial"/>
          <w:b w:val="0"/>
        </w:rPr>
        <w:t>Processo de Desenvolvimento Adotado</w:t>
      </w:r>
      <w:bookmarkEnd w:id="11"/>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o processo CRISP-DM — que organiza projetos desse tipo em seis etapas: entendimento do negócio, entendimento dos dados, preparação dos dados, construção do modelo, avaliação e implantação — com um ciclo iterativo e incremental.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O desenvolvimento separa de forma explícita o código de produção do código de análise. Os módulos reaproveitáveis ficam no pacote src, organizado em camadas de responsabilidade única; os scripts de análise, numerados, ficam em notebooks e apenas consomem esses módulos. Os dados percorrem três estágios — originais, intermediários e finais — e nunca são sobrescritos no estágio anterior. Essa organização sustenta duas propriedades exigidas do sistema: qualquer resultado pode ser refeito a partir dos arquivos originais, e cada módulo pode ser testado isoladamente.</w:t>
      </w:r>
    </w:p>
    <w:p w14:paraId="4D605BAE">
      <w:pPr>
        <w:pStyle w:val="4"/>
        <w:numPr>
          <w:ilvl w:val="1"/>
          <w:numId w:val="1"/>
        </w:numPr>
      </w:pPr>
      <w:bookmarkStart w:id="12" w:name="_Toc21190"/>
      <w:r>
        <w:rPr>
          <w:rFonts w:ascii="Arial" w:hAnsi="Arial" w:eastAsia="Arial" w:cs="Arial"/>
          <w:b w:val="0"/>
        </w:rPr>
        <w:t>Fases Executadas</w:t>
      </w:r>
      <w:bookmarkEnd w:id="12"/>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D2592D">
      <w:pPr>
        <w:pStyle w:val="5"/>
        <w:numPr>
          <w:ilvl w:val="2"/>
          <w:numId w:val="1"/>
        </w:numPr>
      </w:pPr>
      <w:bookmarkStart w:id="13" w:name="_Toc17420"/>
      <w:r>
        <w:rPr>
          <w:rFonts w:ascii="Arial" w:hAnsi="Arial" w:eastAsia="Arial" w:cs="Arial"/>
          <w:b w:val="0"/>
        </w:rPr>
        <w:t>Planejamento e Decisões</w:t>
      </w:r>
      <w:bookmarkEnd w:id="13"/>
    </w:p>
    <w:p w14:paraId="2D034E36">
      <w:pPr>
        <w:pStyle w:val="3"/>
        <w:ind w:firstLine="0"/>
        <w:rPr>
          <w:color w:val="2E75B5"/>
        </w:rPr>
      </w:pPr>
      <w:r>
        <w:rPr>
          <w:rFonts w:ascii="Arial" w:hAnsi="Arial" w:eastAsia="Arial" w:cs="Arial"/>
          <w:b w:val="0"/>
        </w:rPr>
        <w:t>A fase inicial consolidou as decisões estruturantes. A escola — não o aluno —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4" w:name="_Toc11512"/>
      <w:r>
        <w:rPr>
          <w:rFonts w:ascii="Arial" w:hAnsi="Arial" w:eastAsia="Arial" w:cs="Arial"/>
          <w:b w:val="0"/>
        </w:rPr>
        <w:t>Leitura e Padronização dos Dados do Censo</w:t>
      </w:r>
      <w:bookmarkEnd w:id="14"/>
    </w:p>
    <w:p w14:paraId="32CB1368">
      <w:pPr>
        <w:pStyle w:val="3"/>
        <w:ind w:firstLine="0"/>
        <w:rPr>
          <w:color w:val="2E75B5"/>
        </w:rPr>
      </w:pPr>
      <w:r>
        <w:rPr>
          <w:rFonts w:ascii="Arial" w:hAnsi="Arial" w:eastAsia="Arial" w:cs="Arial"/>
          <w:b w:val="0"/>
        </w:rPr>
        <w:t>A primeira fase de implementação construiu a leitura dos dados do Censo Escolar. Um módulo carrega os arquivos anuais, com busca tolerante pelos nomes —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A rede cobre 185 municípios e 86% das escolas são urbanas. A mediana é de cerca de 350 matrículas de Ensino Médio por escola. O índice de infraestrutura é muito menor nas escolas rurais (0,52 contra 0,71). Essa fase também revelou problemas nos dados de origem que orientaram decisões posteriores: uma coluna de matrículas ausente em todo o ano de 2022, descartada, e o código de região do estado, que muda de formato entre 2022 e 2023 e precisou ser convertido.</w:t>
      </w:r>
    </w:p>
    <w:p w14:paraId="40F8A41F">
      <w:pPr>
        <w:pStyle w:val="5"/>
        <w:numPr>
          <w:ilvl w:val="2"/>
          <w:numId w:val="1"/>
        </w:numPr>
      </w:pPr>
      <w:bookmarkStart w:id="15" w:name="_Toc10605"/>
      <w:r>
        <w:rPr>
          <w:rFonts w:ascii="Arial" w:hAnsi="Arial" w:eastAsia="Arial" w:cs="Arial"/>
          <w:b w:val="0"/>
        </w:rPr>
        <w:t>Integração dos Indicadores Complementares</w:t>
      </w:r>
      <w:bookmarkEnd w:id="15"/>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 aprovação, reprovação e abandono, no total e por série —, o nível socioeconômico, a regularidade do corpo docente, a defasagem idade-série e a adequação da formação dos professores.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e não em zero —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16" w:name="_Toc1551"/>
      <w:r>
        <w:rPr>
          <w:rFonts w:ascii="Arial" w:hAnsi="Arial" w:eastAsia="Arial" w:cs="Arial"/>
          <w:b w:val="0"/>
        </w:rPr>
        <w:t>Seleção e Preparação das Características</w:t>
      </w:r>
      <w:bookmarkEnd w:id="16"/>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O sistema usa 39. A redução é deliberada: com 1.586 observações, manter centenas de colunas faria o sistema decorar a base em vez de aprender o padrão — ele acertaria o passado e erraria o ano seguinte.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O primeiro elimina informação repetida: o número de turmas e o de professores acompanham quase perfeitamente o de matrículas, e manter os três apenas confunde o sistema. O segundo elimina informação que é consequência aritmética de outra: a taxa de aprovação é o que sobra depois da reprovação e do abandono, e fornecê-la seria entregar a resposta antecipadamente. O terceiro elimina colunas ausentes na maior parte das escolas, como 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17" w:name="_Toc21269"/>
      <w:r>
        <w:rPr>
          <w:rFonts w:ascii="Arial" w:hAnsi="Arial" w:eastAsia="Arial" w:cs="Arial"/>
          <w:b w:val="0"/>
        </w:rPr>
        <w:t>Construção e Ajuste do Modelo de Previsão</w:t>
      </w:r>
      <w:bookmarkEnd w:id="17"/>
    </w:p>
    <w:p w14:paraId="234DC940">
      <w:pPr>
        <w:pStyle w:val="3"/>
        <w:ind w:firstLine="0"/>
        <w:rPr>
          <w:color w:val="2E75B5"/>
        </w:rPr>
      </w:pPr>
      <w:r>
        <w:rPr>
          <w:rFonts w:ascii="Arial" w:hAnsi="Arial" w:eastAsia="Arial" w:cs="Arial"/>
          <w:b w:val="0"/>
        </w:rPr>
        <w:t>A quarta fase construiu o modelo. Antes do modelo principal, dois modelos de referência foram avaliados — um linear e um baseado em árvores de decisão —,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Manter o preparo idêntico é o que torna a comparação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 árvores rasas, aprendizado lento e forte penalização de complexidade —, coerente com uma base de treino de menos de 800 observações. O modelo final é gravado em disco e carregado pelo painel; treino e uso são etapas separadas.</w:t>
      </w:r>
    </w:p>
    <w:p w14:paraId="5B1CFE5A">
      <w:pPr>
        <w:pStyle w:val="5"/>
        <w:numPr>
          <w:ilvl w:val="2"/>
          <w:numId w:val="1"/>
        </w:numPr>
      </w:pPr>
      <w:bookmarkStart w:id="18" w:name="_Toc30832"/>
      <w:r>
        <w:rPr>
          <w:rFonts w:ascii="Arial" w:hAnsi="Arial" w:eastAsia="Arial" w:cs="Arial"/>
          <w:b w:val="0"/>
        </w:rPr>
        <w:t>Explicação das Previsões</w:t>
      </w:r>
      <w:bookmarkEnd w:id="18"/>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A consistência da decomposição — a soma das contribuições precisa reproduzir a previsão — é verificada por teste automatizado.</w:t>
      </w:r>
    </w:p>
    <w:p w14:paraId="3DF04341">
      <w:pPr>
        <w:pStyle w:val="5"/>
        <w:numPr>
          <w:ilvl w:val="2"/>
          <w:numId w:val="1"/>
        </w:numPr>
      </w:pPr>
      <w:bookmarkStart w:id="19" w:name="_Toc903"/>
      <w:r>
        <w:rPr>
          <w:rFonts w:ascii="Arial" w:hAnsi="Arial" w:eastAsia="Arial" w:cs="Arial"/>
          <w:b w:val="0"/>
        </w:rPr>
        <w:t>Construção do Painel de Priorização</w:t>
      </w:r>
      <w:bookmarkEnd w:id="19"/>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escopo do painel foi definido como apoio à decisão — priorizar escolas e explicar o porquê —, e não como recomendação automática de ações. A razão é metodológica: o sistema identifica associações, não causas. Sugerir a intervenção específica exigiria evidência de causalidade que os dados não sustentam. O painel mostra onde olhar primeiro e por quê; a decisão de como agir permanece com o gestor.</w:t>
      </w:r>
    </w:p>
    <w:p w14:paraId="7820F8BC">
      <w:pPr>
        <w:pStyle w:val="4"/>
        <w:numPr>
          <w:ilvl w:val="1"/>
          <w:numId w:val="1"/>
        </w:numPr>
      </w:pPr>
      <w:bookmarkStart w:id="20" w:name="_Toc20346"/>
      <w:r>
        <w:rPr>
          <w:rFonts w:ascii="Arial" w:hAnsi="Arial" w:eastAsia="Arial" w:cs="Arial"/>
          <w:b w:val="0"/>
        </w:rPr>
        <w:t>Práticas de Engenharia de Software</w:t>
      </w:r>
      <w:bookmarkEnd w:id="20"/>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98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e a ordenação da lista;</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1" w:name="_Toc18409"/>
      <w:r>
        <w:rPr>
          <w:rFonts w:ascii="Arial" w:hAnsi="Arial" w:eastAsia="Arial" w:cs="Arial"/>
          <w:b w:val="0"/>
        </w:rPr>
        <w:t>Arquitetura do Software</w:t>
      </w:r>
      <w:bookmarkEnd w:id="21"/>
    </w:p>
    <w:p w14:paraId="527CA8A8">
      <w:pPr>
        <w:pStyle w:val="4"/>
        <w:numPr>
          <w:ilvl w:val="1"/>
          <w:numId w:val="1"/>
        </w:numPr>
      </w:pPr>
      <w:bookmarkStart w:id="22" w:name="_Toc7671"/>
      <w:r>
        <w:rPr>
          <w:rFonts w:ascii="Arial" w:hAnsi="Arial" w:eastAsia="Arial" w:cs="Arial"/>
          <w:b w:val="0"/>
        </w:rPr>
        <w:t>Aspectos Funcionais e Não-Funcionais</w:t>
      </w:r>
      <w:bookmarkEnd w:id="22"/>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Entre os requisitos não funcionais destacam-se cinco. Reprodutibilidade: qualquer resultado deve ser reconstruível a partir dos dados originais, que permanecem imutáveis. Explicabilidade: o sistema precisa justificar cada indicação de prioridade — requisito que descartou alternativas de melhor desempenho bruto e menor transparência. Ausência de vazamento: a validação deve respeitar a ordem do tempo e a proximidade geográfica, sob pena de produzir números otimistas e falsos. Testabilidade: cada módulo é coberto por testes automatizados. Portabilidade: a aplicação deve ser empacotável para implantação sem depender da máquina de desenvolvimento.</w:t>
      </w:r>
    </w:p>
    <w:p w14:paraId="64DEEBC7">
      <w:pPr>
        <w:pStyle w:val="4"/>
        <w:numPr>
          <w:ilvl w:val="1"/>
          <w:numId w:val="1"/>
        </w:numPr>
      </w:pPr>
      <w:bookmarkStart w:id="23" w:name="_Toc8493"/>
      <w:r>
        <w:rPr>
          <w:rFonts w:ascii="Arial" w:hAnsi="Arial" w:eastAsia="Arial" w:cs="Arial"/>
          <w:b w:val="0"/>
        </w:rPr>
        <w:t>Visão Estrutural</w:t>
      </w:r>
      <w:bookmarkEnd w:id="23"/>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sem ciclos: a camada de características depende da camada de dados; a camada de modelo depende da de características; a camada do painel depende da de modelo. A configuração é transversal a todas. Os scripts de análise e os testes consomem as camadas de produção, e nenhuma camada de produção depende deles. É essa orientação acíclica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 um acoplamento fraco que permite retomar o fluxo a partir de qualquer etapa.</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24" w:name="_Toc32023"/>
      <w:r>
        <w:rPr>
          <w:rFonts w:ascii="Arial" w:hAnsi="Arial" w:eastAsia="Arial" w:cs="Arial"/>
          <w:b w:val="0"/>
        </w:rPr>
        <w:t>Visão Comportamental</w:t>
      </w:r>
      <w:bookmarkEnd w:id="24"/>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25" w:name="_Toc6055"/>
      <w:r>
        <w:rPr>
          <w:rFonts w:ascii="Arial" w:hAnsi="Arial" w:eastAsia="Arial" w:cs="Arial"/>
          <w:b w:val="0"/>
        </w:rPr>
        <w:t>Visão de Implementação e Implantação</w:t>
      </w:r>
      <w:bookmarkEnd w:id="25"/>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26" w:name="_Toc24634"/>
      <w:r>
        <w:rPr>
          <w:rFonts w:ascii="Arial" w:hAnsi="Arial" w:eastAsia="Arial" w:cs="Arial"/>
          <w:b w:val="0"/>
        </w:rPr>
        <w:t>Tecnologias e Aspectos de Implementação</w:t>
      </w:r>
      <w:bookmarkEnd w:id="26"/>
    </w:p>
    <w:p w14:paraId="6E080A24">
      <w:pPr>
        <w:pStyle w:val="4"/>
        <w:numPr>
          <w:ilvl w:val="1"/>
          <w:numId w:val="1"/>
        </w:numPr>
      </w:pPr>
      <w:bookmarkStart w:id="27" w:name="_Toc5162"/>
      <w:r>
        <w:rPr>
          <w:rFonts w:ascii="Arial" w:hAnsi="Arial" w:eastAsia="Arial" w:cs="Arial"/>
          <w:b w:val="0"/>
        </w:rPr>
        <w:t>Soluções de Tecnologia</w:t>
      </w:r>
      <w:bookmarkEnd w:id="27"/>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e numpy; a leitura das planilhas do INEP usa o openpyxl.</w:t>
      </w:r>
    </w:p>
    <w:p w14:paraId="1615CA9A">
      <w:pPr>
        <w:pStyle w:val="3"/>
        <w:ind w:firstLine="0"/>
        <w:rPr>
          <w:color w:val="2E75B5"/>
        </w:rPr>
      </w:pPr>
      <w:r>
        <w:rPr>
          <w:rFonts w:ascii="Arial" w:hAnsi="Arial" w:eastAsia="Arial" w:cs="Arial"/>
          <w:b w:val="0"/>
        </w:rPr>
        <w:t>A construção do modelo usa o scikit-learn e o XGBoost. O scikit-learn fornece o preparo das características, os modelos de referência, a busca de configuração e os protocolos de validação. O XGBoost fornece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28" w:name="_Toc3092"/>
      <w:r>
        <w:rPr>
          <w:rFonts w:ascii="Arial" w:hAnsi="Arial" w:eastAsia="Arial" w:cs="Arial"/>
          <w:b w:val="0"/>
        </w:rPr>
        <w:t>Aspectos de Implementação</w:t>
      </w:r>
      <w:bookmarkEnd w:id="28"/>
    </w:p>
    <w:p w14:paraId="1D664FD8">
      <w:pPr>
        <w:pStyle w:val="5"/>
        <w:numPr>
          <w:ilvl w:val="2"/>
          <w:numId w:val="1"/>
        </w:numPr>
      </w:pPr>
      <w:bookmarkStart w:id="29" w:name="_Toc29464"/>
      <w:r>
        <w:rPr>
          <w:rFonts w:ascii="Arial" w:hAnsi="Arial" w:eastAsia="Arial" w:cs="Arial"/>
          <w:b w:val="0"/>
        </w:rPr>
        <w:t>Estrutura do Código</w:t>
      </w:r>
      <w:bookmarkEnd w:id="29"/>
    </w:p>
    <w:p w14:paraId="5F719458">
      <w:pPr>
        <w:pStyle w:val="3"/>
        <w:ind w:firstLine="0"/>
        <w:rPr>
          <w:color w:val="2E75B5"/>
        </w:rPr>
      </w:pPr>
      <w:r>
        <w:rPr>
          <w:rFonts w:ascii="Arial" w:hAnsi="Arial" w:eastAsia="Arial" w:cs="Arial"/>
          <w:b w:val="0"/>
        </w:rPr>
        <w:t>A implementação separa o código de produção do código de análise.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ficam em notebooks e a aplicação em app.</w:t>
      </w:r>
    </w:p>
    <w:p w14:paraId="0DB58165">
      <w:pPr>
        <w:pStyle w:val="5"/>
        <w:numPr>
          <w:ilvl w:val="2"/>
          <w:numId w:val="1"/>
        </w:numPr>
      </w:pPr>
      <w:bookmarkStart w:id="30" w:name="_Toc29684"/>
      <w:r>
        <w:rPr>
          <w:rFonts w:ascii="Arial" w:hAnsi="Arial" w:eastAsia="Arial" w:cs="Arial"/>
          <w:b w:val="0"/>
        </w:rPr>
        <w:t>Fluxo dos Dados</w:t>
      </w:r>
      <w:bookmarkEnd w:id="30"/>
    </w:p>
    <w:p w14:paraId="067CFA9E">
      <w:pPr>
        <w:pStyle w:val="3"/>
        <w:ind w:firstLine="0"/>
        <w:rPr>
          <w:color w:val="2E75B5"/>
        </w:rPr>
      </w:pPr>
      <w:r>
        <w:rPr>
          <w:rFonts w:ascii="Arial" w:hAnsi="Arial" w:eastAsia="Arial" w:cs="Arial"/>
          <w:b w:val="0"/>
        </w:rPr>
        <w:t>Os dados percorrem três estágios: originais, intermediários e finais. Os arquivos originais do INEP permanecem imutáveis. Cada etapa lê o artefato da etapa anterior e grava o seu, sempre em disco. Esse acoplamento fraco permite reexecutar qualquer etapa isoladamente, sem repetir o fluxo inteiro.</w:t>
      </w:r>
    </w:p>
    <w:p w14:paraId="79BA5652">
      <w:pPr>
        <w:pStyle w:val="5"/>
        <w:numPr>
          <w:ilvl w:val="2"/>
          <w:numId w:val="1"/>
        </w:numPr>
      </w:pPr>
      <w:bookmarkStart w:id="31" w:name="_Toc10520"/>
      <w:r>
        <w:rPr>
          <w:rFonts w:ascii="Arial" w:hAnsi="Arial" w:eastAsia="Arial" w:cs="Arial"/>
          <w:b w:val="0"/>
        </w:rPr>
        <w:t>Painel Interativo</w:t>
      </w:r>
      <w:bookmarkEnd w:id="31"/>
    </w:p>
    <w:p w14:paraId="314579C9">
      <w:pPr>
        <w:pStyle w:val="3"/>
        <w:ind w:firstLine="0"/>
        <w:rPr>
          <w:color w:val="2E75B5"/>
        </w:rPr>
      </w:pPr>
      <w:r>
        <w:rPr>
          <w:rFonts w:ascii="Arial" w:hAnsi="Arial" w:eastAsia="Arial" w:cs="Arial"/>
          <w:b w:val="0"/>
        </w:rPr>
        <w:t>O painel reforça a mesma disciplina de separação. A regra de negócio — lista de risco, explicação por escola e diagnóstico — fica na camada de serviço. A tradução dos nomes técnicos para linguagem de gestor fica em um módulo próprio. A interface apenas consome esses serviços. Assim, a regra é testada sem depender da tela.</w:t>
      </w:r>
    </w:p>
    <w:p w14:paraId="7F290BC8">
      <w:pPr>
        <w:pStyle w:val="5"/>
        <w:numPr>
          <w:ilvl w:val="2"/>
          <w:numId w:val="1"/>
        </w:numPr>
      </w:pPr>
      <w:bookmarkStart w:id="32" w:name="_Toc5681"/>
      <w:r>
        <w:rPr>
          <w:rFonts w:ascii="Arial" w:hAnsi="Arial" w:eastAsia="Arial" w:cs="Arial"/>
          <w:b w:val="0"/>
        </w:rPr>
        <w:t>Testes Automatizados</w:t>
      </w:r>
      <w:bookmarkEnd w:id="32"/>
    </w:p>
    <w:p w14:paraId="79F7FAEC">
      <w:pPr>
        <w:pStyle w:val="3"/>
        <w:ind w:firstLine="0"/>
        <w:rPr>
          <w:color w:val="2E75B5"/>
        </w:rPr>
      </w:pPr>
      <w:r>
        <w:rPr>
          <w:rFonts w:ascii="Arial" w:hAnsi="Arial" w:eastAsia="Arial" w:cs="Arial"/>
          <w:b w:val="0"/>
        </w:rPr>
        <w:t>A suíte cobre os filtros do universo de estudo, a integridade da base histórica, a leitura das planilhas de rendimento, o casamento no tempo entre as características e o abandono, a ausência de vazamento entre treino e teste, o cálculo das medidas de desempenho, a consistência das explicações e a ordenação da lista. Os riscos cobertos por cada módulo estão detalhados no Capítulo 6.</w:t>
      </w:r>
    </w:p>
    <w:p w14:paraId="5CDC61E9">
      <w:pPr>
        <w:pStyle w:val="5"/>
        <w:numPr>
          <w:ilvl w:val="2"/>
          <w:numId w:val="1"/>
        </w:numPr>
      </w:pPr>
      <w:bookmarkStart w:id="33" w:name="_Toc20042"/>
      <w:r>
        <w:rPr>
          <w:rFonts w:ascii="Arial" w:hAnsi="Arial" w:eastAsia="Arial" w:cs="Arial"/>
          <w:b w:val="0"/>
        </w:rPr>
        <w:t>Gerenciamento de Dependências</w:t>
      </w:r>
      <w:bookmarkEnd w:id="33"/>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 requisito de reprodutibilidade estabelecido na arquitetura.</w:t>
      </w:r>
    </w:p>
    <w:p w14:paraId="7A9D3065">
      <w:pPr>
        <w:pStyle w:val="2"/>
        <w:numPr>
          <w:ilvl w:val="0"/>
          <w:numId w:val="1"/>
        </w:numPr>
        <w:rPr>
          <w:color w:val="000000"/>
        </w:rPr>
      </w:pPr>
      <w:bookmarkStart w:id="34" w:name="_Toc30983"/>
      <w:r>
        <w:rPr>
          <w:rFonts w:ascii="Arial" w:hAnsi="Arial" w:eastAsia="Arial" w:cs="Arial"/>
          <w:b w:val="0"/>
        </w:rPr>
        <w:t>Testes e Análise dos Resultados</w:t>
      </w:r>
      <w:bookmarkEnd w:id="34"/>
    </w:p>
    <w:p w14:paraId="5264F51A">
      <w:pPr>
        <w:pStyle w:val="4"/>
        <w:numPr>
          <w:ilvl w:val="1"/>
          <w:numId w:val="1"/>
        </w:numPr>
      </w:pPr>
      <w:bookmarkStart w:id="35" w:name="_Toc19494"/>
      <w:r>
        <w:rPr>
          <w:rFonts w:ascii="Arial" w:hAnsi="Arial" w:eastAsia="Arial" w:cs="Arial"/>
          <w:b w:val="0"/>
        </w:rPr>
        <w:t>Testes de Software</w:t>
      </w:r>
      <w:bookmarkEnd w:id="35"/>
    </w:p>
    <w:p w14:paraId="6D115D9C">
      <w:pPr>
        <w:pStyle w:val="3"/>
        <w:ind w:firstLine="0"/>
        <w:rPr>
          <w:color w:val="2E75B5"/>
        </w:rPr>
      </w:pPr>
      <w:r>
        <w:rPr>
          <w:rFonts w:ascii="Arial" w:hAnsi="Arial" w:eastAsia="Arial" w:cs="Arial"/>
          <w:b w:val="0"/>
        </w:rPr>
        <w:t>A corretude do sistema é garantida por uma suíte de 98 testes automatizados, que roda por inteiro a cada alteração; todos passam na última execução. O ponto importante é o tipo de risco coberto. Em sistemas que aprendem a partir de dados, os erros de preparação em geral não interrompem a execução: eles produzem, em silêncio, um modelo inválido que continua respondendo normalmente. Um deslocamento de um ano no casamento entre as características e o abandono, por exemplo, destruiria todo o valor preditivo sem gerar qualquer sintoma. Por isso os testes se concentram nos riscos que comprometeriam a validade dos resultados.</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36" w:name="_Toc13171"/>
      <w:r>
        <w:rPr>
          <w:rFonts w:ascii="Arial" w:hAnsi="Arial" w:eastAsia="Arial" w:cs="Arial"/>
          <w:b w:val="0"/>
        </w:rPr>
        <w:t>Caracterização dos Dados e Análise das Características Usadas</w:t>
      </w:r>
      <w:bookmarkEnd w:id="36"/>
    </w:p>
    <w:p w14:paraId="4D464269">
      <w:pPr>
        <w:pStyle w:val="5"/>
        <w:numPr>
          <w:ilvl w:val="2"/>
          <w:numId w:val="1"/>
        </w:numPr>
      </w:pPr>
      <w:bookmarkStart w:id="37" w:name="_Toc2938"/>
      <w:r>
        <w:rPr>
          <w:rFonts w:ascii="Arial" w:hAnsi="Arial" w:eastAsia="Arial" w:cs="Arial"/>
          <w:b w:val="0"/>
        </w:rPr>
        <w:t>Base Construída</w:t>
      </w:r>
      <w:bookmarkEnd w:id="37"/>
    </w:p>
    <w:p w14:paraId="4E588503">
      <w:pPr>
        <w:pStyle w:val="3"/>
        <w:ind w:firstLine="0"/>
        <w:rPr>
          <w:color w:val="2E75B5"/>
        </w:rPr>
      </w:pPr>
      <w:r>
        <w:rPr>
          <w:rFonts w:ascii="Arial" w:hAnsi="Arial" w:eastAsia="Arial" w:cs="Arial"/>
          <w:b w:val="0"/>
        </w:rPr>
        <w:t>A base histórica reúne 2.392 registros de 806 escolas, 97,4% delas presentes nos três anos —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6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Anos que podem servir de origem (t = 2022, 2023)</w:t>
            </w:r>
          </w:p>
        </w:tc>
        <w:tc>
          <w:tcPr>
            <w:tcW w:w="5" w:type="dxa"/>
          </w:tcPr>
          <w:p w14:paraId="189ADD07">
            <w:r>
              <w:rPr>
                <w:rFonts w:ascii="Arial" w:hAnsi="Arial" w:eastAsia="Arial" w:cs="Arial"/>
                <w:b w:val="0"/>
                <w:sz w:val="16"/>
              </w:rPr>
              <w:t>O ano de 2024 não tem 2025 para observar: entra como alvo, não como origem</w:t>
            </w:r>
          </w:p>
        </w:tc>
        <w:tc>
          <w:tcPr>
            <w:tcW w:w="2" w:type="dxa"/>
          </w:tcPr>
          <w:p w14:paraId="386F678D">
            <w:r>
              <w:rPr>
                <w:rFonts w:ascii="Arial" w:hAnsi="Arial" w:eastAsia="Arial" w:cs="Arial"/>
                <w:b w:val="0"/>
                <w:sz w:val="16"/>
              </w:rPr>
              <w:t>−791 → 1.601</w:t>
            </w:r>
          </w:p>
        </w:tc>
        <w:tc>
          <w:tcPr>
            <w:tcW w:w="2" w:type="dxa"/>
          </w:tcPr>
          <w:p w14:paraId="63F28650">
            <w:r>
              <w:rPr>
                <w:rFonts w:ascii="Arial" w:hAnsi="Arial" w:eastAsia="Arial" w:cs="Arial"/>
                <w:b w:val="0"/>
                <w:sz w:val="16"/>
              </w:rPr>
              <w:t>804</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Pares completos (t → t+1)</w:t>
            </w:r>
          </w:p>
        </w:tc>
        <w:tc>
          <w:tcPr>
            <w:tcW w:w="5" w:type="dxa"/>
          </w:tcPr>
          <w:p w14:paraId="189ADD07">
            <w:r>
              <w:rPr>
                <w:rFonts w:ascii="Arial" w:hAnsi="Arial" w:eastAsia="Arial" w:cs="Arial"/>
                <w:b w:val="0"/>
                <w:sz w:val="16"/>
              </w:rPr>
              <w:t>Escola sem abandono observado no ano seguinte — saiu da rede ou deixou de ofertar Ensino Médio</w:t>
            </w:r>
          </w:p>
        </w:tc>
        <w:tc>
          <w:tcPr>
            <w:tcW w:w="2" w:type="dxa"/>
          </w:tcPr>
          <w:p w14:paraId="386F678D">
            <w:r>
              <w:rPr>
                <w:rFonts w:ascii="Arial" w:hAnsi="Arial" w:eastAsia="Arial" w:cs="Arial"/>
                <w:b w:val="0"/>
                <w:sz w:val="16"/>
              </w:rPr>
              <w:t>−15 → 1.586</w:t>
            </w:r>
          </w:p>
        </w:tc>
        <w:tc>
          <w:tcPr>
            <w:tcW w:w="2" w:type="dxa"/>
          </w:tcPr>
          <w:p w14:paraId="63F28650">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E588503">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 2022 para 2023 e 2023 para 2024 —, de modo que as 791 linhas de 2024 não servem de origem, por não haver 2025 a observar. Elas não são perdidas: são justamente o alvo das linhas de 2023. Descontadas essas,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38" w:name="_Toc2507"/>
      <w:r>
        <w:rPr>
          <w:rFonts w:ascii="Arial" w:hAnsi="Arial" w:eastAsia="Arial" w:cs="Arial"/>
          <w:b w:val="0"/>
        </w:rPr>
        <w:t>O Que o Sistema Prevê</w:t>
      </w:r>
      <w:bookmarkEnd w:id="38"/>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 a maioria das escolas não registra abandono no ano. A segunda: o risco é muito desigual entre grupos. Em 2024 a taxa média foi de 0,6% nas 680 escolas urbanas, 0,9% nas 70 rurais e 6,6% nas 40 escolas indígenas e quilombolas.</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1981382"/>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B902184">
      <w:pPr>
        <w:pStyle w:val="3"/>
        <w:ind w:firstLine="0"/>
        <w:rPr>
          <w:color w:val="2E75B5"/>
        </w:rPr>
      </w:pPr>
      <w:r>
        <w:rPr>
          <w:rFonts w:ascii="Arial" w:hAnsi="Arial" w:eastAsia="Arial" w:cs="Arial"/>
          <w:b w:val="0"/>
        </w:rPr>
        <w:t>Daí decorre o critério de avaliação usado no restante do capítulo. Um sistema que respondesse “zero” para todas as escolas erraria pouco na média e seria inútil ao gestor. O que se exige é outra coisa: colocar no topo da lista as escolas que de fato terão abandono alto. É a ordem que importa, não o valor exato da taxa.</w:t>
      </w:r>
    </w:p>
    <w:p w14:paraId="03D67557">
      <w:pPr>
        <w:pStyle w:val="5"/>
        <w:numPr>
          <w:ilvl w:val="2"/>
          <w:numId w:val="1"/>
        </w:numPr>
      </w:pPr>
      <w:bookmarkStart w:id="39" w:name="_Toc11033"/>
      <w:r>
        <w:rPr>
          <w:rFonts w:ascii="Arial" w:hAnsi="Arial" w:eastAsia="Arial" w:cs="Arial"/>
          <w:b w:val="0"/>
        </w:rPr>
        <w:t>Análise Estatística das Características Contínuas</w:t>
      </w:r>
      <w:bookmarkEnd w:id="39"/>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Para as contínuas, o Quadro 6 apresenta o valor típico, a variação e a relação com o abandono do ano seguinte. Essa relação é resumida por um indicador que varia de −1 a +1: positivo significa que a característica acompanha o aumento do abandono; negativo, que acompanha a redução. Os asteriscos indicam a confiança do resultado (* 95%, ** 99%, *** 99,9%); sem asterisco, a relação não se distingue do acaso.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503798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 17,8% do conjunto —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O primeiro é a concentração em zero das características de fluxo: metade das escolas não registrou abandono no ano anterior, e a média de 1,72% é puxada por poucas escolas com valores muito altos, até 43,6%. O segundo é o comportamento quase binário do tempo integral: a rede se divide entre escolas totalmente integrais e escolas sem nenhuma matrícula nessa modalidade, com pouca coisa no meio. O terceiro é a distribuição equilibrada da defasagem idade-série, em torno de 23%, o que a torna especialmente útil para diferenciar escolas.</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67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6417181"/>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0" w:name="_Toc9245"/>
      <w:r>
        <w:rPr>
          <w:rFonts w:ascii="Arial" w:hAnsi="Arial" w:eastAsia="Arial" w:cs="Arial"/>
          <w:b w:val="0"/>
        </w:rPr>
        <w:t>Análise Estatística das Características de Sim ou Não</w:t>
      </w:r>
      <w:bookmarkEnd w:id="40"/>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não vem da infraestrutura, e sim da localização.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5679240A">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em dois grupos — as escolas que têm o atributo e as que não têm — e por isso se completam: somadas, dão o total da rede. As duas colunas seguintes são de outra natureza: cada uma traz a taxa média de abandono no ano seguinte dentro de um desses grupos. São duas médias do mesmo indicador, medidas em conjuntos diferentes de escolas, e não há razão para que se somem a 100% —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8BB3842">
            <w:r>
              <w:rPr>
                <w:rFonts w:ascii="Arial" w:hAnsi="Arial" w:eastAsia="Arial" w:cs="Arial"/>
                <w:b/>
                <w:sz w:val="16"/>
              </w:rPr>
              <w:t>Atributo</w:t>
            </w:r>
          </w:p>
        </w:tc>
        <w:tc>
          <w:tcPr>
            <w:tcW w:w="2" w:type="dxa"/>
          </w:tcPr>
          <w:p w14:paraId="282597E9">
            <w:r>
              <w:rPr>
                <w:rFonts w:ascii="Arial" w:hAnsi="Arial" w:eastAsia="Arial" w:cs="Arial"/>
                <w:b/>
                <w:sz w:val="16"/>
              </w:rPr>
              <w:t>Escolas que têm</w:t>
            </w:r>
          </w:p>
        </w:tc>
        <w:tc>
          <w:tcPr>
            <w:tcW w:w="2" w:type="dxa"/>
          </w:tcPr>
          <w:p w14:paraId="1CEB1107">
            <w:r>
              <w:rPr>
                <w:rFonts w:ascii="Arial" w:hAnsi="Arial" w:eastAsia="Arial" w:cs="Arial"/>
                <w:b/>
                <w:sz w:val="16"/>
              </w:rPr>
              <w:t>Escolas que não têm</w:t>
            </w:r>
          </w:p>
        </w:tc>
        <w:tc>
          <w:tcPr>
            <w:tcW w:w="2" w:type="dxa"/>
          </w:tcPr>
          <w:p w14:paraId="5266E42C">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8A04792">
            <w:r>
              <w:rPr>
                <w:rFonts w:ascii="Arial" w:hAnsi="Arial" w:eastAsia="Arial" w:cs="Arial"/>
                <w:b/>
                <w:sz w:val="16"/>
              </w:rPr>
              <w:t>Diferença (p.p.)</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Localização diferenciada (indígena/quilombola)</w:t>
            </w:r>
          </w:p>
        </w:tc>
        <w:tc>
          <w:tcPr>
            <w:tcW w:w="2" w:type="dxa"/>
          </w:tcPr>
          <w:p w14:paraId="189ADD07">
            <w:r>
              <w:rPr>
                <w:rFonts w:ascii="Arial" w:hAnsi="Arial" w:eastAsia="Arial" w:cs="Arial"/>
                <w:b w:val="0"/>
                <w:sz w:val="16"/>
              </w:rPr>
              <w:t>81 (5,1%)</w:t>
            </w:r>
          </w:p>
        </w:tc>
        <w:tc>
          <w:tcPr>
            <w:tcW w:w="2" w:type="dxa"/>
          </w:tcPr>
          <w:p w14:paraId="386F678D">
            <w:r>
              <w:rPr>
                <w:rFonts w:ascii="Arial" w:hAnsi="Arial" w:eastAsia="Arial" w:cs="Arial"/>
                <w:b w:val="0"/>
                <w:sz w:val="16"/>
              </w:rPr>
              <w:t>1.505 (94,9%)</w:t>
            </w:r>
          </w:p>
        </w:tc>
        <w:tc>
          <w:tcPr>
            <w:tcW w:w="2" w:type="dxa"/>
          </w:tcPr>
          <w:p w14:paraId="63F28650">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086C4CE4">
            <w:r>
              <w:rPr>
                <w:rFonts w:ascii="Arial" w:hAnsi="Arial" w:eastAsia="Arial" w:cs="Arial"/>
                <w:b w:val="0"/>
                <w:sz w:val="16"/>
              </w:rPr>
              <w:t>8,25***</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Localização rural</w:t>
            </w:r>
          </w:p>
        </w:tc>
        <w:tc>
          <w:tcPr>
            <w:tcW w:w="2" w:type="dxa"/>
          </w:tcPr>
          <w:p w14:paraId="189ADD07">
            <w:r>
              <w:rPr>
                <w:rFonts w:ascii="Arial" w:hAnsi="Arial" w:eastAsia="Arial" w:cs="Arial"/>
                <w:b w:val="0"/>
                <w:sz w:val="16"/>
              </w:rPr>
              <w:t>218 (13,7%)</w:t>
            </w:r>
          </w:p>
        </w:tc>
        <w:tc>
          <w:tcPr>
            <w:tcW w:w="2" w:type="dxa"/>
          </w:tcPr>
          <w:p w14:paraId="386F678D">
            <w:r>
              <w:rPr>
                <w:rFonts w:ascii="Arial" w:hAnsi="Arial" w:eastAsia="Arial" w:cs="Arial"/>
                <w:b w:val="0"/>
                <w:sz w:val="16"/>
              </w:rPr>
              <w:t>1.368 (86,3%)</w:t>
            </w:r>
          </w:p>
        </w:tc>
        <w:tc>
          <w:tcPr>
            <w:tcW w:w="2" w:type="dxa"/>
          </w:tcPr>
          <w:p w14:paraId="63F28650">
            <w:r>
              <w:rPr>
                <w:rFonts w:ascii="Arial" w:hAnsi="Arial" w:eastAsia="Arial" w:cs="Arial"/>
                <w:b w:val="0"/>
                <w:sz w:val="16"/>
              </w:rPr>
              <w:t>3,74%</w:t>
            </w:r>
          </w:p>
        </w:tc>
        <w:tc>
          <w:tcPr>
            <w:tcW w:w="2" w:type="dxa"/>
          </w:tcPr>
          <w:p w14:paraId="086C4CE4">
            <w:r>
              <w:rPr>
                <w:rFonts w:ascii="Arial" w:hAnsi="Arial" w:eastAsia="Arial" w:cs="Arial"/>
                <w:b w:val="0"/>
                <w:sz w:val="16"/>
              </w:rPr>
              <w:t>0,70%</w:t>
            </w:r>
          </w:p>
        </w:tc>
        <w:tc>
          <w:tcPr>
            <w:tcW w:w="2" w:type="dxa"/>
          </w:tcPr>
          <w:p w14:paraId="086C4CE4">
            <w:r>
              <w:rPr>
                <w:rFonts w:ascii="Arial" w:hAnsi="Arial" w:eastAsia="Arial" w:cs="Arial"/>
                <w:b w:val="0"/>
                <w:sz w:val="16"/>
              </w:rPr>
              <w:t>3,04***</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Biblioteca</w:t>
            </w:r>
          </w:p>
        </w:tc>
        <w:tc>
          <w:tcPr>
            <w:tcW w:w="2" w:type="dxa"/>
          </w:tcPr>
          <w:p w14:paraId="189ADD07">
            <w:r>
              <w:rPr>
                <w:rFonts w:ascii="Arial" w:hAnsi="Arial" w:eastAsia="Arial" w:cs="Arial"/>
                <w:b w:val="0"/>
                <w:sz w:val="16"/>
              </w:rPr>
              <w:t>1.438 (90,7%)</w:t>
            </w:r>
          </w:p>
        </w:tc>
        <w:tc>
          <w:tcPr>
            <w:tcW w:w="2" w:type="dxa"/>
          </w:tcPr>
          <w:p w14:paraId="386F678D">
            <w:r>
              <w:rPr>
                <w:rFonts w:ascii="Arial" w:hAnsi="Arial" w:eastAsia="Arial" w:cs="Arial"/>
                <w:b w:val="0"/>
                <w:sz w:val="16"/>
              </w:rPr>
              <w:t>148 (9,3%)</w:t>
            </w:r>
          </w:p>
        </w:tc>
        <w:tc>
          <w:tcPr>
            <w:tcW w:w="2" w:type="dxa"/>
          </w:tcPr>
          <w:p w14:paraId="63F28650">
            <w:r>
              <w:rPr>
                <w:rFonts w:ascii="Arial" w:hAnsi="Arial" w:eastAsia="Arial" w:cs="Arial"/>
                <w:b w:val="0"/>
                <w:sz w:val="16"/>
              </w:rPr>
              <w:t>0,93%</w:t>
            </w:r>
          </w:p>
        </w:tc>
        <w:tc>
          <w:tcPr>
            <w:tcW w:w="2" w:type="dxa"/>
          </w:tcPr>
          <w:p w14:paraId="086C4CE4">
            <w:r>
              <w:rPr>
                <w:rFonts w:ascii="Arial" w:hAnsi="Arial" w:eastAsia="Arial" w:cs="Arial"/>
                <w:b w:val="0"/>
                <w:sz w:val="16"/>
              </w:rPr>
              <w:t>3,01%</w:t>
            </w:r>
          </w:p>
        </w:tc>
        <w:tc>
          <w:tcPr>
            <w:tcW w:w="2" w:type="dxa"/>
          </w:tcPr>
          <w:p w14:paraId="086C4CE4">
            <w:r>
              <w:rPr>
                <w:rFonts w:ascii="Arial" w:hAnsi="Arial" w:eastAsia="Arial" w:cs="Arial"/>
                <w:b w:val="0"/>
                <w:sz w:val="16"/>
              </w:rPr>
              <w:t>−2,08**</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Laboratório de informática</w:t>
            </w:r>
          </w:p>
        </w:tc>
        <w:tc>
          <w:tcPr>
            <w:tcW w:w="2" w:type="dxa"/>
          </w:tcPr>
          <w:p w14:paraId="189ADD07">
            <w:r>
              <w:rPr>
                <w:rFonts w:ascii="Arial" w:hAnsi="Arial" w:eastAsia="Arial" w:cs="Arial"/>
                <w:b w:val="0"/>
                <w:sz w:val="16"/>
              </w:rPr>
              <w:t>1.228 (77,4%)</w:t>
            </w:r>
          </w:p>
        </w:tc>
        <w:tc>
          <w:tcPr>
            <w:tcW w:w="2" w:type="dxa"/>
          </w:tcPr>
          <w:p w14:paraId="386F678D">
            <w:r>
              <w:rPr>
                <w:rFonts w:ascii="Arial" w:hAnsi="Arial" w:eastAsia="Arial" w:cs="Arial"/>
                <w:b w:val="0"/>
                <w:sz w:val="16"/>
              </w:rPr>
              <w:t>358 (22,6%)</w:t>
            </w:r>
          </w:p>
        </w:tc>
        <w:tc>
          <w:tcPr>
            <w:tcW w:w="2" w:type="dxa"/>
          </w:tcPr>
          <w:p w14:paraId="63F28650">
            <w:r>
              <w:rPr>
                <w:rFonts w:ascii="Arial" w:hAnsi="Arial" w:eastAsia="Arial" w:cs="Arial"/>
                <w:b w:val="0"/>
                <w:sz w:val="16"/>
              </w:rPr>
              <w:t>0,74%</w:t>
            </w:r>
          </w:p>
        </w:tc>
        <w:tc>
          <w:tcPr>
            <w:tcW w:w="2" w:type="dxa"/>
          </w:tcPr>
          <w:p w14:paraId="086C4CE4">
            <w:r>
              <w:rPr>
                <w:rFonts w:ascii="Arial" w:hAnsi="Arial" w:eastAsia="Arial" w:cs="Arial"/>
                <w:b w:val="0"/>
                <w:sz w:val="16"/>
              </w:rPr>
              <w:t>2,44%</w:t>
            </w:r>
          </w:p>
        </w:tc>
        <w:tc>
          <w:tcPr>
            <w:tcW w:w="2" w:type="dxa"/>
          </w:tcPr>
          <w:p w14:paraId="086C4CE4">
            <w:r>
              <w:rPr>
                <w:rFonts w:ascii="Arial" w:hAnsi="Arial" w:eastAsia="Arial" w:cs="Arial"/>
                <w:b w:val="0"/>
                <w:sz w:val="16"/>
              </w:rPr>
              <w:t>−1,71***</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Banda larga</w:t>
            </w:r>
          </w:p>
        </w:tc>
        <w:tc>
          <w:tcPr>
            <w:tcW w:w="2" w:type="dxa"/>
          </w:tcPr>
          <w:p w14:paraId="189ADD07">
            <w:r>
              <w:rPr>
                <w:rFonts w:ascii="Arial" w:hAnsi="Arial" w:eastAsia="Arial" w:cs="Arial"/>
                <w:b w:val="0"/>
                <w:sz w:val="16"/>
              </w:rPr>
              <w:t>1.393 (87,8%)</w:t>
            </w:r>
          </w:p>
        </w:tc>
        <w:tc>
          <w:tcPr>
            <w:tcW w:w="2" w:type="dxa"/>
          </w:tcPr>
          <w:p w14:paraId="386F678D">
            <w:r>
              <w:rPr>
                <w:rFonts w:ascii="Arial" w:hAnsi="Arial" w:eastAsia="Arial" w:cs="Arial"/>
                <w:b w:val="0"/>
                <w:sz w:val="16"/>
              </w:rPr>
              <w:t>193 (12,2%)</w:t>
            </w:r>
          </w:p>
        </w:tc>
        <w:tc>
          <w:tcPr>
            <w:tcW w:w="2" w:type="dxa"/>
          </w:tcPr>
          <w:p w14:paraId="63F28650">
            <w:r>
              <w:rPr>
                <w:rFonts w:ascii="Arial" w:hAnsi="Arial" w:eastAsia="Arial" w:cs="Arial"/>
                <w:b w:val="0"/>
                <w:sz w:val="16"/>
              </w:rPr>
              <w:t>0,95%</w:t>
            </w:r>
          </w:p>
        </w:tc>
        <w:tc>
          <w:tcPr>
            <w:tcW w:w="2" w:type="dxa"/>
          </w:tcPr>
          <w:p w14:paraId="086C4CE4">
            <w:r>
              <w:rPr>
                <w:rFonts w:ascii="Arial" w:hAnsi="Arial" w:eastAsia="Arial" w:cs="Arial"/>
                <w:b w:val="0"/>
                <w:sz w:val="16"/>
              </w:rPr>
              <w:t>2,34%</w:t>
            </w:r>
          </w:p>
        </w:tc>
        <w:tc>
          <w:tcPr>
            <w:tcW w:w="2" w:type="dxa"/>
          </w:tcPr>
          <w:p w14:paraId="086C4CE4">
            <w:r>
              <w:rPr>
                <w:rFonts w:ascii="Arial" w:hAnsi="Arial" w:eastAsia="Arial" w:cs="Arial"/>
                <w:b w:val="0"/>
                <w:sz w:val="16"/>
              </w:rPr>
              <w:t>−1,39</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Quadra de esportes</w:t>
            </w:r>
          </w:p>
        </w:tc>
        <w:tc>
          <w:tcPr>
            <w:tcW w:w="2" w:type="dxa"/>
          </w:tcPr>
          <w:p w14:paraId="189ADD07">
            <w:r>
              <w:rPr>
                <w:rFonts w:ascii="Arial" w:hAnsi="Arial" w:eastAsia="Arial" w:cs="Arial"/>
                <w:b w:val="0"/>
                <w:sz w:val="16"/>
              </w:rPr>
              <w:t>1.120 (70,6%)</w:t>
            </w:r>
          </w:p>
        </w:tc>
        <w:tc>
          <w:tcPr>
            <w:tcW w:w="2" w:type="dxa"/>
          </w:tcPr>
          <w:p w14:paraId="386F678D">
            <w:r>
              <w:rPr>
                <w:rFonts w:ascii="Arial" w:hAnsi="Arial" w:eastAsia="Arial" w:cs="Arial"/>
                <w:b w:val="0"/>
                <w:sz w:val="16"/>
              </w:rPr>
              <w:t>466 (29,4%)</w:t>
            </w:r>
          </w:p>
        </w:tc>
        <w:tc>
          <w:tcPr>
            <w:tcW w:w="2" w:type="dxa"/>
          </w:tcPr>
          <w:p w14:paraId="63F28650">
            <w:r>
              <w:rPr>
                <w:rFonts w:ascii="Arial" w:hAnsi="Arial" w:eastAsia="Arial" w:cs="Arial"/>
                <w:b w:val="0"/>
                <w:sz w:val="16"/>
              </w:rPr>
              <w:t>0,79%</w:t>
            </w:r>
          </w:p>
        </w:tc>
        <w:tc>
          <w:tcPr>
            <w:tcW w:w="2" w:type="dxa"/>
          </w:tcPr>
          <w:p w14:paraId="086C4CE4">
            <w:r>
              <w:rPr>
                <w:rFonts w:ascii="Arial" w:hAnsi="Arial" w:eastAsia="Arial" w:cs="Arial"/>
                <w:b w:val="0"/>
                <w:sz w:val="16"/>
              </w:rPr>
              <w:t>1,93%</w:t>
            </w:r>
          </w:p>
        </w:tc>
        <w:tc>
          <w:tcPr>
            <w:tcW w:w="2" w:type="dxa"/>
          </w:tcPr>
          <w:p w14:paraId="086C4CE4">
            <w:r>
              <w:rPr>
                <w:rFonts w:ascii="Arial" w:hAnsi="Arial" w:eastAsia="Arial" w:cs="Arial"/>
                <w:b w:val="0"/>
                <w:sz w:val="16"/>
              </w:rPr>
              <w:t>−1,14*</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Laboratório de ciências</w:t>
            </w:r>
          </w:p>
        </w:tc>
        <w:tc>
          <w:tcPr>
            <w:tcW w:w="2" w:type="dxa"/>
          </w:tcPr>
          <w:p w14:paraId="189ADD07">
            <w:r>
              <w:rPr>
                <w:rFonts w:ascii="Arial" w:hAnsi="Arial" w:eastAsia="Arial" w:cs="Arial"/>
                <w:b w:val="0"/>
                <w:sz w:val="16"/>
              </w:rPr>
              <w:t>705 (44,5%)</w:t>
            </w:r>
          </w:p>
        </w:tc>
        <w:tc>
          <w:tcPr>
            <w:tcW w:w="2" w:type="dxa"/>
          </w:tcPr>
          <w:p w14:paraId="386F678D">
            <w:r>
              <w:rPr>
                <w:rFonts w:ascii="Arial" w:hAnsi="Arial" w:eastAsia="Arial" w:cs="Arial"/>
                <w:b w:val="0"/>
                <w:sz w:val="16"/>
              </w:rPr>
              <w:t>881 (55,5%)</w:t>
            </w:r>
          </w:p>
        </w:tc>
        <w:tc>
          <w:tcPr>
            <w:tcW w:w="2" w:type="dxa"/>
          </w:tcPr>
          <w:p w14:paraId="63F28650">
            <w:r>
              <w:rPr>
                <w:rFonts w:ascii="Arial" w:hAnsi="Arial" w:eastAsia="Arial" w:cs="Arial"/>
                <w:b w:val="0"/>
                <w:sz w:val="16"/>
              </w:rPr>
              <w:t>0,53%</w:t>
            </w:r>
          </w:p>
        </w:tc>
        <w:tc>
          <w:tcPr>
            <w:tcW w:w="2" w:type="dxa"/>
          </w:tcPr>
          <w:p w14:paraId="086C4CE4">
            <w:r>
              <w:rPr>
                <w:rFonts w:ascii="Arial" w:hAnsi="Arial" w:eastAsia="Arial" w:cs="Arial"/>
                <w:b w:val="0"/>
                <w:sz w:val="16"/>
              </w:rPr>
              <w:t>1,59%</w:t>
            </w:r>
          </w:p>
        </w:tc>
        <w:tc>
          <w:tcPr>
            <w:tcW w:w="2" w:type="dxa"/>
          </w:tcPr>
          <w:p w14:paraId="086C4CE4">
            <w:r>
              <w:rPr>
                <w:rFonts w:ascii="Arial" w:hAnsi="Arial" w:eastAsia="Arial" w:cs="Arial"/>
                <w:b w:val="0"/>
                <w:sz w:val="16"/>
              </w:rPr>
              <w:t>−1,06***</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Esgoto em rede pública</w:t>
            </w:r>
          </w:p>
        </w:tc>
        <w:tc>
          <w:tcPr>
            <w:tcW w:w="2" w:type="dxa"/>
          </w:tcPr>
          <w:p w14:paraId="189ADD07">
            <w:r>
              <w:rPr>
                <w:rFonts w:ascii="Arial" w:hAnsi="Arial" w:eastAsia="Arial" w:cs="Arial"/>
                <w:b w:val="0"/>
                <w:sz w:val="16"/>
              </w:rPr>
              <w:t>952 (60,0%)</w:t>
            </w:r>
          </w:p>
        </w:tc>
        <w:tc>
          <w:tcPr>
            <w:tcW w:w="2" w:type="dxa"/>
          </w:tcPr>
          <w:p w14:paraId="386F678D">
            <w:r>
              <w:rPr>
                <w:rFonts w:ascii="Arial" w:hAnsi="Arial" w:eastAsia="Arial" w:cs="Arial"/>
                <w:b w:val="0"/>
                <w:sz w:val="16"/>
              </w:rPr>
              <w:t>634 (40,0%)</w:t>
            </w:r>
          </w:p>
        </w:tc>
        <w:tc>
          <w:tcPr>
            <w:tcW w:w="2" w:type="dxa"/>
          </w:tcPr>
          <w:p w14:paraId="63F28650">
            <w:r>
              <w:rPr>
                <w:rFonts w:ascii="Arial" w:hAnsi="Arial" w:eastAsia="Arial" w:cs="Arial"/>
                <w:b w:val="0"/>
                <w:sz w:val="16"/>
              </w:rPr>
              <w:t>0,74%</w:t>
            </w:r>
          </w:p>
        </w:tc>
        <w:tc>
          <w:tcPr>
            <w:tcW w:w="2" w:type="dxa"/>
          </w:tcPr>
          <w:p w14:paraId="086C4CE4">
            <w:r>
              <w:rPr>
                <w:rFonts w:ascii="Arial" w:hAnsi="Arial" w:eastAsia="Arial" w:cs="Arial"/>
                <w:b w:val="0"/>
                <w:sz w:val="16"/>
              </w:rPr>
              <w:t>1,70%</w:t>
            </w:r>
          </w:p>
        </w:tc>
        <w:tc>
          <w:tcPr>
            <w:tcW w:w="2" w:type="dxa"/>
          </w:tcPr>
          <w:p w14:paraId="086C4CE4">
            <w:r>
              <w:rPr>
                <w:rFonts w:ascii="Arial" w:hAnsi="Arial" w:eastAsia="Arial" w:cs="Arial"/>
                <w:b w:val="0"/>
                <w:sz w:val="16"/>
              </w:rPr>
              <w:t>−0,96</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Água potável</w:t>
            </w:r>
          </w:p>
        </w:tc>
        <w:tc>
          <w:tcPr>
            <w:tcW w:w="2" w:type="dxa"/>
          </w:tcPr>
          <w:p w14:paraId="189ADD07">
            <w:r>
              <w:rPr>
                <w:rFonts w:ascii="Arial" w:hAnsi="Arial" w:eastAsia="Arial" w:cs="Arial"/>
                <w:b w:val="0"/>
                <w:sz w:val="16"/>
              </w:rPr>
              <w:t>1.509 (95,1%)</w:t>
            </w:r>
          </w:p>
        </w:tc>
        <w:tc>
          <w:tcPr>
            <w:tcW w:w="2" w:type="dxa"/>
          </w:tcPr>
          <w:p w14:paraId="386F678D">
            <w:r>
              <w:rPr>
                <w:rFonts w:ascii="Arial" w:hAnsi="Arial" w:eastAsia="Arial" w:cs="Arial"/>
                <w:b w:val="0"/>
                <w:sz w:val="16"/>
              </w:rPr>
              <w:t>77 (4,9%)</w:t>
            </w:r>
          </w:p>
        </w:tc>
        <w:tc>
          <w:tcPr>
            <w:tcW w:w="2" w:type="dxa"/>
          </w:tcPr>
          <w:p w14:paraId="63F28650">
            <w:r>
              <w:rPr>
                <w:rFonts w:ascii="Arial" w:hAnsi="Arial" w:eastAsia="Arial" w:cs="Arial"/>
                <w:b w:val="0"/>
                <w:sz w:val="16"/>
              </w:rPr>
              <w:t>1,08%</w:t>
            </w:r>
          </w:p>
        </w:tc>
        <w:tc>
          <w:tcPr>
            <w:tcW w:w="2" w:type="dxa"/>
          </w:tcPr>
          <w:p w14:paraId="086C4CE4">
            <w:r>
              <w:rPr>
                <w:rFonts w:ascii="Arial" w:hAnsi="Arial" w:eastAsia="Arial" w:cs="Arial"/>
                <w:b w:val="0"/>
                <w:sz w:val="16"/>
              </w:rPr>
              <w:t>1,91%</w:t>
            </w:r>
          </w:p>
        </w:tc>
        <w:tc>
          <w:tcPr>
            <w:tcW w:w="2" w:type="dxa"/>
          </w:tcPr>
          <w:p w14:paraId="086C4CE4">
            <w:r>
              <w:rPr>
                <w:rFonts w:ascii="Arial" w:hAnsi="Arial" w:eastAsia="Arial" w:cs="Arial"/>
                <w:b w:val="0"/>
                <w:sz w:val="16"/>
              </w:rPr>
              <w:t>−0,83</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Internet para alunos</w:t>
            </w:r>
          </w:p>
        </w:tc>
        <w:tc>
          <w:tcPr>
            <w:tcW w:w="2" w:type="dxa"/>
          </w:tcPr>
          <w:p w14:paraId="189ADD07">
            <w:r>
              <w:rPr>
                <w:rFonts w:ascii="Arial" w:hAnsi="Arial" w:eastAsia="Arial" w:cs="Arial"/>
                <w:b w:val="0"/>
                <w:sz w:val="16"/>
              </w:rPr>
              <w:t>1.170 (73,8%)</w:t>
            </w:r>
          </w:p>
        </w:tc>
        <w:tc>
          <w:tcPr>
            <w:tcW w:w="2" w:type="dxa"/>
          </w:tcPr>
          <w:p w14:paraId="386F678D">
            <w:r>
              <w:rPr>
                <w:rFonts w:ascii="Arial" w:hAnsi="Arial" w:eastAsia="Arial" w:cs="Arial"/>
                <w:b w:val="0"/>
                <w:sz w:val="16"/>
              </w:rPr>
              <w:t>416 (26,2%)</w:t>
            </w:r>
          </w:p>
        </w:tc>
        <w:tc>
          <w:tcPr>
            <w:tcW w:w="2" w:type="dxa"/>
          </w:tcPr>
          <w:p w14:paraId="63F28650">
            <w:r>
              <w:rPr>
                <w:rFonts w:ascii="Arial" w:hAnsi="Arial" w:eastAsia="Arial" w:cs="Arial"/>
                <w:b w:val="0"/>
                <w:sz w:val="16"/>
              </w:rPr>
              <w:t>0,92%</w:t>
            </w:r>
          </w:p>
        </w:tc>
        <w:tc>
          <w:tcPr>
            <w:tcW w:w="2" w:type="dxa"/>
          </w:tcPr>
          <w:p w14:paraId="086C4CE4">
            <w:r>
              <w:rPr>
                <w:rFonts w:ascii="Arial" w:hAnsi="Arial" w:eastAsia="Arial" w:cs="Arial"/>
                <w:b w:val="0"/>
                <w:sz w:val="16"/>
              </w:rPr>
              <w:t>1,69%</w:t>
            </w:r>
          </w:p>
        </w:tc>
        <w:tc>
          <w:tcPr>
            <w:tcW w:w="2" w:type="dxa"/>
          </w:tcPr>
          <w:p w14:paraId="086C4CE4">
            <w:r>
              <w:rPr>
                <w:rFonts w:ascii="Arial" w:hAnsi="Arial" w:eastAsia="Arial" w:cs="Arial"/>
                <w:b w:val="0"/>
                <w:sz w:val="16"/>
              </w:rPr>
              <w:t>−0,77***</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Internet</w:t>
            </w:r>
          </w:p>
        </w:tc>
        <w:tc>
          <w:tcPr>
            <w:tcW w:w="2" w:type="dxa"/>
          </w:tcPr>
          <w:p w14:paraId="189ADD07">
            <w:r>
              <w:rPr>
                <w:rFonts w:ascii="Arial" w:hAnsi="Arial" w:eastAsia="Arial" w:cs="Arial"/>
                <w:b w:val="0"/>
                <w:sz w:val="16"/>
              </w:rPr>
              <w:t>1.574 (99,2%)</w:t>
            </w:r>
          </w:p>
        </w:tc>
        <w:tc>
          <w:tcPr>
            <w:tcW w:w="2" w:type="dxa"/>
          </w:tcPr>
          <w:p w14:paraId="386F678D">
            <w:r>
              <w:rPr>
                <w:rFonts w:ascii="Arial" w:hAnsi="Arial" w:eastAsia="Arial" w:cs="Arial"/>
                <w:b w:val="0"/>
                <w:sz w:val="16"/>
              </w:rPr>
              <w:t>12 (0,8%)</w:t>
            </w:r>
          </w:p>
        </w:tc>
        <w:tc>
          <w:tcPr>
            <w:tcW w:w="2" w:type="dxa"/>
          </w:tcPr>
          <w:p w14:paraId="63F28650">
            <w:r>
              <w:rPr>
                <w:rFonts w:ascii="Arial" w:hAnsi="Arial" w:eastAsia="Arial" w:cs="Arial"/>
                <w:b w:val="0"/>
                <w:sz w:val="16"/>
              </w:rPr>
              <w:t>1,12%</w:t>
            </w:r>
          </w:p>
        </w:tc>
        <w:tc>
          <w:tcPr>
            <w:tcW w:w="2" w:type="dxa"/>
          </w:tcPr>
          <w:p w14:paraId="086C4CE4">
            <w:r>
              <w:rPr>
                <w:rFonts w:ascii="Arial" w:hAnsi="Arial" w:eastAsia="Arial" w:cs="Arial"/>
                <w:b w:val="0"/>
                <w:sz w:val="16"/>
              </w:rPr>
              <w:t>1,84%</w:t>
            </w:r>
          </w:p>
        </w:tc>
        <w:tc>
          <w:tcPr>
            <w:tcW w:w="2" w:type="dxa"/>
          </w:tcPr>
          <w:p w14:paraId="086C4CE4">
            <w:r>
              <w:rPr>
                <w:rFonts w:ascii="Arial" w:hAnsi="Arial" w:eastAsia="Arial" w:cs="Arial"/>
                <w:b w:val="0"/>
                <w:sz w:val="16"/>
              </w:rPr>
              <w:t>−0,73</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Refeitório</w:t>
            </w:r>
          </w:p>
        </w:tc>
        <w:tc>
          <w:tcPr>
            <w:tcW w:w="2" w:type="dxa"/>
          </w:tcPr>
          <w:p w14:paraId="189ADD07">
            <w:r>
              <w:rPr>
                <w:rFonts w:ascii="Arial" w:hAnsi="Arial" w:eastAsia="Arial" w:cs="Arial"/>
                <w:b w:val="0"/>
                <w:sz w:val="16"/>
              </w:rPr>
              <w:t>511 (32,2%)</w:t>
            </w:r>
          </w:p>
        </w:tc>
        <w:tc>
          <w:tcPr>
            <w:tcW w:w="2" w:type="dxa"/>
          </w:tcPr>
          <w:p w14:paraId="386F678D">
            <w:r>
              <w:rPr>
                <w:rFonts w:ascii="Arial" w:hAnsi="Arial" w:eastAsia="Arial" w:cs="Arial"/>
                <w:b w:val="0"/>
                <w:sz w:val="16"/>
              </w:rPr>
              <w:t>1.075 (67,8%)</w:t>
            </w:r>
          </w:p>
        </w:tc>
        <w:tc>
          <w:tcPr>
            <w:tcW w:w="2" w:type="dxa"/>
          </w:tcPr>
          <w:p w14:paraId="63F28650">
            <w:r>
              <w:rPr>
                <w:rFonts w:ascii="Arial" w:hAnsi="Arial" w:eastAsia="Arial" w:cs="Arial"/>
                <w:b w:val="0"/>
                <w:sz w:val="16"/>
              </w:rPr>
              <w:t>0,73%</w:t>
            </w:r>
          </w:p>
        </w:tc>
        <w:tc>
          <w:tcPr>
            <w:tcW w:w="2" w:type="dxa"/>
          </w:tcPr>
          <w:p w14:paraId="086C4CE4">
            <w:r>
              <w:rPr>
                <w:rFonts w:ascii="Arial" w:hAnsi="Arial" w:eastAsia="Arial" w:cs="Arial"/>
                <w:b w:val="0"/>
                <w:sz w:val="16"/>
              </w:rPr>
              <w:t>1,31%</w:t>
            </w:r>
          </w:p>
        </w:tc>
        <w:tc>
          <w:tcPr>
            <w:tcW w:w="2" w:type="dxa"/>
          </w:tcPr>
          <w:p w14:paraId="086C4CE4">
            <w:r>
              <w:rPr>
                <w:rFonts w:ascii="Arial" w:hAnsi="Arial" w:eastAsia="Arial" w:cs="Arial"/>
                <w:b w:val="0"/>
                <w:sz w:val="16"/>
              </w:rPr>
              <w:t>−0,58*</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Auditório</w:t>
            </w:r>
          </w:p>
        </w:tc>
        <w:tc>
          <w:tcPr>
            <w:tcW w:w="2" w:type="dxa"/>
          </w:tcPr>
          <w:p w14:paraId="189ADD07">
            <w:r>
              <w:rPr>
                <w:rFonts w:ascii="Arial" w:hAnsi="Arial" w:eastAsia="Arial" w:cs="Arial"/>
                <w:b w:val="0"/>
                <w:sz w:val="16"/>
              </w:rPr>
              <w:t>438 (27,6%)</w:t>
            </w:r>
          </w:p>
        </w:tc>
        <w:tc>
          <w:tcPr>
            <w:tcW w:w="2" w:type="dxa"/>
          </w:tcPr>
          <w:p w14:paraId="386F678D">
            <w:r>
              <w:rPr>
                <w:rFonts w:ascii="Arial" w:hAnsi="Arial" w:eastAsia="Arial" w:cs="Arial"/>
                <w:b w:val="0"/>
                <w:sz w:val="16"/>
              </w:rPr>
              <w:t>1.148 (72,4%)</w:t>
            </w:r>
          </w:p>
        </w:tc>
        <w:tc>
          <w:tcPr>
            <w:tcW w:w="2" w:type="dxa"/>
          </w:tcPr>
          <w:p w14:paraId="63F28650">
            <w:r>
              <w:rPr>
                <w:rFonts w:ascii="Arial" w:hAnsi="Arial" w:eastAsia="Arial" w:cs="Arial"/>
                <w:b w:val="0"/>
                <w:sz w:val="16"/>
              </w:rPr>
              <w:t>0,75%</w:t>
            </w:r>
          </w:p>
        </w:tc>
        <w:tc>
          <w:tcPr>
            <w:tcW w:w="2" w:type="dxa"/>
          </w:tcPr>
          <w:p w14:paraId="086C4CE4">
            <w:r>
              <w:rPr>
                <w:rFonts w:ascii="Arial" w:hAnsi="Arial" w:eastAsia="Arial" w:cs="Arial"/>
                <w:b w:val="0"/>
                <w:sz w:val="16"/>
              </w:rPr>
              <w:t>1,26%</w:t>
            </w:r>
          </w:p>
        </w:tc>
        <w:tc>
          <w:tcPr>
            <w:tcW w:w="2" w:type="dxa"/>
          </w:tcPr>
          <w:p w14:paraId="086C4CE4">
            <w:r>
              <w:rPr>
                <w:rFonts w:ascii="Arial" w:hAnsi="Arial" w:eastAsia="Arial" w:cs="Arial"/>
                <w:b w:val="0"/>
                <w:sz w:val="16"/>
              </w:rPr>
              <w:t>−0,52</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Oferta de EM fora das séries regulares (EJA/modular)</w:t>
            </w:r>
          </w:p>
        </w:tc>
        <w:tc>
          <w:tcPr>
            <w:tcW w:w="2" w:type="dxa"/>
          </w:tcPr>
          <w:p w14:paraId="189ADD07">
            <w:r>
              <w:rPr>
                <w:rFonts w:ascii="Arial" w:hAnsi="Arial" w:eastAsia="Arial" w:cs="Arial"/>
                <w:b w:val="0"/>
                <w:sz w:val="16"/>
              </w:rPr>
              <w:t>283 (17,8%)</w:t>
            </w:r>
          </w:p>
        </w:tc>
        <w:tc>
          <w:tcPr>
            <w:tcW w:w="2" w:type="dxa"/>
          </w:tcPr>
          <w:p w14:paraId="386F678D">
            <w:r>
              <w:rPr>
                <w:rFonts w:ascii="Arial" w:hAnsi="Arial" w:eastAsia="Arial" w:cs="Arial"/>
                <w:b w:val="0"/>
                <w:sz w:val="16"/>
              </w:rPr>
              <w:t>1.303 (82,2%)</w:t>
            </w:r>
          </w:p>
        </w:tc>
        <w:tc>
          <w:tcPr>
            <w:tcW w:w="2" w:type="dxa"/>
          </w:tcPr>
          <w:p w14:paraId="63F28650">
            <w:r>
              <w:rPr>
                <w:rFonts w:ascii="Arial" w:hAnsi="Arial" w:eastAsia="Arial" w:cs="Arial"/>
                <w:b w:val="0"/>
                <w:sz w:val="16"/>
              </w:rPr>
              <w:t>1,49%</w:t>
            </w:r>
          </w:p>
        </w:tc>
        <w:tc>
          <w:tcPr>
            <w:tcW w:w="2" w:type="dxa"/>
          </w:tcPr>
          <w:p w14:paraId="086C4CE4">
            <w:r>
              <w:rPr>
                <w:rFonts w:ascii="Arial" w:hAnsi="Arial" w:eastAsia="Arial" w:cs="Arial"/>
                <w:b w:val="0"/>
                <w:sz w:val="16"/>
              </w:rPr>
              <w:t>1,04%</w:t>
            </w:r>
          </w:p>
        </w:tc>
        <w:tc>
          <w:tcPr>
            <w:tcW w:w="2" w:type="dxa"/>
          </w:tcPr>
          <w:p w14:paraId="086C4CE4">
            <w:r>
              <w:rPr>
                <w:rFonts w:ascii="Arial" w:hAnsi="Arial" w:eastAsia="Arial" w:cs="Arial"/>
                <w:b w:val="0"/>
                <w:sz w:val="16"/>
              </w:rPr>
              <w:t>0,45***</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Sala de leitura</w:t>
            </w:r>
          </w:p>
        </w:tc>
        <w:tc>
          <w:tcPr>
            <w:tcW w:w="2" w:type="dxa"/>
          </w:tcPr>
          <w:p w14:paraId="189ADD07">
            <w:r>
              <w:rPr>
                <w:rFonts w:ascii="Arial" w:hAnsi="Arial" w:eastAsia="Arial" w:cs="Arial"/>
                <w:b w:val="0"/>
                <w:sz w:val="16"/>
              </w:rPr>
              <w:t>244 (15,4%)</w:t>
            </w:r>
          </w:p>
        </w:tc>
        <w:tc>
          <w:tcPr>
            <w:tcW w:w="2" w:type="dxa"/>
          </w:tcPr>
          <w:p w14:paraId="386F678D">
            <w:r>
              <w:rPr>
                <w:rFonts w:ascii="Arial" w:hAnsi="Arial" w:eastAsia="Arial" w:cs="Arial"/>
                <w:b w:val="0"/>
                <w:sz w:val="16"/>
              </w:rPr>
              <w:t>1.342 (84,6%)</w:t>
            </w:r>
          </w:p>
        </w:tc>
        <w:tc>
          <w:tcPr>
            <w:tcW w:w="2" w:type="dxa"/>
          </w:tcPr>
          <w:p w14:paraId="63F28650">
            <w:r>
              <w:rPr>
                <w:rFonts w:ascii="Arial" w:hAnsi="Arial" w:eastAsia="Arial" w:cs="Arial"/>
                <w:b w:val="0"/>
                <w:sz w:val="16"/>
              </w:rPr>
              <w:t>1,38%</w:t>
            </w:r>
          </w:p>
        </w:tc>
        <w:tc>
          <w:tcPr>
            <w:tcW w:w="2" w:type="dxa"/>
          </w:tcPr>
          <w:p w14:paraId="086C4CE4">
            <w:r>
              <w:rPr>
                <w:rFonts w:ascii="Arial" w:hAnsi="Arial" w:eastAsia="Arial" w:cs="Arial"/>
                <w:b w:val="0"/>
                <w:sz w:val="16"/>
              </w:rPr>
              <w:t>1,07%</w:t>
            </w:r>
          </w:p>
        </w:tc>
        <w:tc>
          <w:tcPr>
            <w:tcW w:w="2" w:type="dxa"/>
          </w:tcPr>
          <w:p w14:paraId="086C4CE4">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679240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14"/>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1" w:name="_Toc19767"/>
      <w:r>
        <w:rPr>
          <w:rFonts w:ascii="Arial" w:hAnsi="Arial" w:eastAsia="Arial" w:cs="Arial"/>
          <w:b w:val="0"/>
        </w:rPr>
        <w:t>A Região do Estado</w:t>
      </w:r>
      <w:bookmarkEnd w:id="41"/>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w:t>
      </w:r>
      <w:bookmarkStart w:id="60" w:name="_GoBack"/>
      <w:bookmarkEnd w:id="60"/>
      <w:r>
        <w:rPr>
          <w:rFonts w:ascii="Arial" w:hAnsi="Arial" w:eastAsia="Arial" w:cs="Arial"/>
          <w:b w:val="0"/>
          <w:sz w:val="20"/>
        </w:rPr>
        <w:t>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1984060"/>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2" w:name="_Toc21670"/>
      <w:r>
        <w:rPr>
          <w:rFonts w:ascii="Arial" w:hAnsi="Arial" w:eastAsia="Arial" w:cs="Arial"/>
          <w:b w:val="0"/>
        </w:rPr>
        <w:t>Quais Características Têm Valor para a Previsão</w:t>
      </w:r>
      <w:bookmarkEnd w:id="42"/>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 Porte (nº de matrículas), Adequação da formação docente — Grupo 3, Banda larga, Esgoto em rede pública, Água potável, Internet, Auditório e Sala de leitura — não se separaram do acaso.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5740"/>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60000" cy="5285933"/>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primeiro é o histórico recente da própria escola — abandono e reprovação do ano anterior —, de longe o mais forte. O segundo é o perfil dos alunos: defasagem idade-série e nível socioeconômico. O terceiro é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 esforço docente e complexidade de gestão — foram submetidos ao mesmo critério e não entraram no sistema. O primeiro tem relação fraca com o abandono; o segundo repete a informação já trazida pela defasagem idade-série. Uma comparação controlada, com e sem os dois, confirmou a ausência de ganho: a qualidade da ordenação ficou praticamente idêntica e o erro médio piorou ligeiramente. É o caso de dois funcionários que fazem o mesmo serviço — contratar o segundo não aumenta a produção. Ambos permanecem no projeto apenas como caracterização descritiva da rede.</w:t>
      </w:r>
    </w:p>
    <w:p w14:paraId="3F71063F">
      <w:pPr>
        <w:pStyle w:val="4"/>
        <w:numPr>
          <w:ilvl w:val="1"/>
          <w:numId w:val="1"/>
        </w:numPr>
      </w:pPr>
      <w:bookmarkStart w:id="43" w:name="_Toc14481"/>
      <w:r>
        <w:rPr>
          <w:rFonts w:ascii="Arial" w:hAnsi="Arial" w:eastAsia="Arial" w:cs="Arial"/>
          <w:b w:val="0"/>
        </w:rPr>
        <w:t>Desempenho do Sistema</w:t>
      </w:r>
      <w:bookmarkEnd w:id="43"/>
    </w:p>
    <w:p w14:paraId="4805032B">
      <w:pPr>
        <w:pStyle w:val="5"/>
        <w:numPr>
          <w:ilvl w:val="2"/>
          <w:numId w:val="1"/>
        </w:numPr>
      </w:pPr>
      <w:bookmarkStart w:id="44" w:name="_Toc22236"/>
      <w:r>
        <w:rPr>
          <w:rFonts w:ascii="Arial" w:hAnsi="Arial" w:eastAsia="Arial" w:cs="Arial"/>
          <w:b w:val="0"/>
        </w:rPr>
        <w:t>Como o Desempenho Foi Medido</w:t>
      </w:r>
      <w:bookmarkEnd w:id="44"/>
    </w:p>
    <w:p w14:paraId="02527F0D">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o teste mais exigente: treinar com o par 2022–2023 e prever o par 2023–2024, ou seja, um ano que o sistema nunca viu. É esse segundo protocolo que simula o uso real.</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45" w:name="_Toc13253"/>
      <w:r>
        <w:rPr>
          <w:rFonts w:ascii="Arial" w:hAnsi="Arial" w:eastAsia="Arial" w:cs="Arial"/>
          <w:b w:val="0"/>
        </w:rPr>
        <w:t>Resultados em Validação Repetida</w:t>
      </w:r>
      <w:bookmarkEnd w:id="45"/>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2,627 [2,348; 2,905]</w:t>
            </w:r>
          </w:p>
        </w:tc>
        <w:tc>
          <w:tcPr>
            <w:tcW w:w="2268" w:type="dxa"/>
          </w:tcPr>
          <w:p w14:paraId="2CC4EB99">
            <w:r>
              <w:rPr>
                <w:rFonts w:ascii="Arial" w:hAnsi="Arial" w:eastAsia="Arial" w:cs="Arial"/>
                <w:b w:val="0"/>
                <w:sz w:val="18"/>
              </w:rPr>
              <w:t>0,426 [0,391; 0,461]</w:t>
            </w:r>
          </w:p>
        </w:tc>
        <w:tc>
          <w:tcPr>
            <w:tcW w:w="2268" w:type="dxa"/>
          </w:tcPr>
          <w:p w14:paraId="3A3A912A">
            <w:r>
              <w:rPr>
                <w:rFonts w:ascii="Arial" w:hAnsi="Arial" w:eastAsia="Arial" w:cs="Arial"/>
                <w:b w:val="0"/>
                <w:sz w:val="18"/>
              </w:rPr>
              <w:t>0,516 [0,477; 0,556]</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[0,399; 0,463]</w:t>
            </w:r>
          </w:p>
        </w:tc>
        <w:tc>
          <w:tcPr>
            <w:tcW w:w="2268" w:type="dxa"/>
          </w:tcPr>
          <w:p w14:paraId="72813122">
            <w:r>
              <w:rPr>
                <w:rFonts w:ascii="Arial" w:hAnsi="Arial" w:eastAsia="Arial" w:cs="Arial"/>
                <w:b w:val="0"/>
                <w:sz w:val="18"/>
              </w:rPr>
              <w:t>0,500 [0,457; 0,544]</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2,695 [2,397; 2,992]</w:t>
            </w:r>
          </w:p>
        </w:tc>
        <w:tc>
          <w:tcPr>
            <w:tcW w:w="2268" w:type="dxa"/>
          </w:tcPr>
          <w:p w14:paraId="08161C3D">
            <w:r>
              <w:rPr>
                <w:rFonts w:ascii="Arial" w:hAnsi="Arial" w:eastAsia="Arial" w:cs="Arial"/>
                <w:b w:val="0"/>
                <w:sz w:val="18"/>
              </w:rPr>
              <w:t>0,458 [0,428; 0,488]</w:t>
            </w:r>
          </w:p>
        </w:tc>
        <w:tc>
          <w:tcPr>
            <w:tcW w:w="2268" w:type="dxa"/>
          </w:tcPr>
          <w:p w14:paraId="7C7BC5F6">
            <w:r>
              <w:rPr>
                <w:rFonts w:ascii="Arial" w:hAnsi="Arial" w:eastAsia="Arial" w:cs="Arial"/>
                <w:b w:val="0"/>
                <w:sz w:val="18"/>
              </w:rPr>
              <w:t>0,499 [0,463; 0,535]</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A leitura das colunas é diferente. O erro médio melhora pouco: o sistema continua errando o valor exato da taxa. Já a ordenação e o acerto da lista prioritária melhoram muito. O modelo adotado alcança o melhor acerto de ordenação de todos, e das escolas que ele aponta como prioritárias cerca de metade estava de fato entre as mais críticas, contra 7 em cada 100 na escolha ao acaso — sete vezes mais.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166775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46" w:name="_Toc29661"/>
      <w:r>
        <w:rPr>
          <w:rFonts w:ascii="Arial" w:hAnsi="Arial" w:eastAsia="Arial" w:cs="Arial"/>
          <w:b w:val="0"/>
        </w:rPr>
        <w:t>Resultados no Teste do Ano Nunca Visto</w:t>
      </w:r>
      <w:bookmarkEnd w:id="46"/>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2,890</w:t>
            </w:r>
          </w:p>
        </w:tc>
        <w:tc>
          <w:tcPr>
            <w:tcW w:w="1814" w:type="dxa"/>
          </w:tcPr>
          <w:p w14:paraId="7EFDDDD8">
            <w:r>
              <w:rPr>
                <w:rFonts w:ascii="Arial" w:hAnsi="Arial" w:eastAsia="Arial" w:cs="Arial"/>
                <w:b w:val="0"/>
                <w:sz w:val="18"/>
              </w:rPr>
              <w:t>0,329</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2,620</w:t>
            </w:r>
          </w:p>
        </w:tc>
        <w:tc>
          <w:tcPr>
            <w:tcW w:w="1814" w:type="dxa"/>
          </w:tcPr>
          <w:p w14:paraId="1073F006">
            <w:r>
              <w:rPr>
                <w:rFonts w:ascii="Arial" w:hAnsi="Arial" w:eastAsia="Arial" w:cs="Arial"/>
                <w:b w:val="0"/>
                <w:sz w:val="18"/>
              </w:rPr>
              <w:t>0,390</w:t>
            </w:r>
          </w:p>
        </w:tc>
        <w:tc>
          <w:tcPr>
            <w:tcW w:w="1587" w:type="dxa"/>
          </w:tcPr>
          <w:p w14:paraId="4548CA3E">
            <w:r>
              <w:rPr>
                <w:rFonts w:ascii="Arial" w:hAnsi="Arial" w:eastAsia="Arial" w:cs="Arial"/>
                <w:b w:val="0"/>
                <w:sz w:val="18"/>
              </w:rPr>
              <w:t>0,405</w:t>
            </w:r>
          </w:p>
        </w:tc>
        <w:tc>
          <w:tcPr>
            <w:tcW w:w="1871" w:type="dxa"/>
          </w:tcPr>
          <w:p w14:paraId="2C5DB115">
            <w:r>
              <w:rPr>
                <w:rFonts w:ascii="Arial" w:hAnsi="Arial" w:eastAsia="Arial" w:cs="Arial"/>
                <w:b w:val="0"/>
                <w:sz w:val="18"/>
              </w:rPr>
              <w:t>0,830</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Nesse teste aparece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A analogia é a de um termômetro descalibrado: ele erra alguns graus, mas aponta corretamente quem está com mais febre. Para priorizar intervenções, é a ordem que importa. A limitação de magnitude vem da janela curta de dados — apenas dois pares de anos —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0,830 para o modelo adotado, na faixa típica dos estudos da área.</w:t>
      </w:r>
    </w:p>
    <w:p w14:paraId="2277BBB5">
      <w:pPr>
        <w:pStyle w:val="4"/>
        <w:numPr>
          <w:ilvl w:val="1"/>
          <w:numId w:val="1"/>
        </w:numPr>
      </w:pPr>
      <w:bookmarkStart w:id="47" w:name="_Toc29838"/>
      <w:r>
        <w:rPr>
          <w:rFonts w:ascii="Arial" w:hAnsi="Arial" w:eastAsia="Arial" w:cs="Arial"/>
          <w:b w:val="0"/>
        </w:rPr>
        <w:t>Capacidade de Priorização</w:t>
      </w:r>
      <w:bookmarkEnd w:id="47"/>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 uma propriedade que motivou a formulação adotada.</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30% das críticas, contra 6% da escolha ao acaso. A das 100 primeiras alcança 54% e a das 150 primeiras, 64%. É o princípio da triagem de um pronto-socorro: com vagas limitadas, a fila ordenada por gravidade encontra muito mais casos graves do que o atendimento por ordem de chegada.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580000" cy="1981382"/>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580000" cy="2135057"/>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48" w:name="_Toc8002"/>
      <w:r>
        <w:rPr>
          <w:rFonts w:ascii="Arial" w:hAnsi="Arial" w:eastAsia="Arial" w:cs="Arial"/>
          <w:b w:val="0"/>
        </w:rPr>
        <w:t>Explicação das Indicações</w:t>
      </w:r>
      <w:bookmarkEnd w:id="48"/>
    </w:p>
    <w:p w14:paraId="4564E80B">
      <w:pPr>
        <w:pStyle w:val="5"/>
        <w:numPr>
          <w:ilvl w:val="2"/>
          <w:numId w:val="1"/>
        </w:numPr>
      </w:pPr>
      <w:bookmarkStart w:id="49" w:name="_Toc2496"/>
      <w:r>
        <w:rPr>
          <w:rFonts w:ascii="Arial" w:hAnsi="Arial" w:eastAsia="Arial" w:cs="Arial"/>
          <w:b w:val="0"/>
        </w:rPr>
        <w:t>Visão Geral</w:t>
      </w:r>
      <w:bookmarkEnd w:id="49"/>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decompõe cada previsão na contribuição de cada característica. Aplicada a todo o conjunto, ela mostra quais características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0" w:name="_Toc30633"/>
      <w:r>
        <w:rPr>
          <w:rFonts w:ascii="Arial" w:hAnsi="Arial" w:eastAsia="Arial" w:cs="Arial"/>
          <w:b w:val="0"/>
        </w:rPr>
        <w:t>Direção dos Efeitos</w:t>
      </w:r>
      <w:bookmarkEnd w:id="50"/>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1" w:name="_Toc7730"/>
      <w:r>
        <w:rPr>
          <w:rFonts w:ascii="Arial" w:hAnsi="Arial" w:eastAsia="Arial" w:cs="Arial"/>
          <w:b w:val="0"/>
        </w:rPr>
        <w:t>Explicação de Uma Escola</w:t>
      </w:r>
      <w:bookmarkEnd w:id="51"/>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 a diferença entre o mapa do clima de um país e a previsão do tempo de uma cidade. Na escola de maior risco previsto, uma escola estadual indígena no município de Jatobá, as maiores contribuições positivas vêm do histórico de abandono, da defasagem idade-série e do abandono na 2ª série. É exatamente esse tipo de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2" w:name="_Toc12405"/>
      <w:r>
        <w:rPr>
          <w:rFonts w:ascii="Arial" w:hAnsi="Arial" w:eastAsia="Arial" w:cs="Arial"/>
          <w:b w:val="0"/>
        </w:rPr>
        <w:t>Erros do Modelo e Equidade</w:t>
      </w:r>
      <w:bookmarkEnd w:id="52"/>
    </w:p>
    <w:p w14:paraId="4E9AC818">
      <w:pPr>
        <w:pStyle w:val="3"/>
        <w:ind w:firstLine="0"/>
        <w:rPr>
          <w:color w:val="2E75B5"/>
        </w:rPr>
      </w:pPr>
      <w:r>
        <w:rPr>
          <w:rFonts w:ascii="Arial" w:hAnsi="Arial" w:eastAsia="Arial" w:cs="Arial"/>
          <w:b w:val="0"/>
        </w:rPr>
        <w:t>A análise dos erros por grupo revelou um achado de equidade que precisa ser declarado. No teste do ano nunca visto, o sistema erra para mais nas escolas de localização diferenciada: prevê risco alto para escolas indígenas e quilombolas cujo abandono observado é próximo de zero. O erro médio nesse grupo é de −4,09 pontos percentuais, contra +0,42 nas urbanas e −1,02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 rural, baixo nível socioeconômico, alta defasagem idade-série — está associado a abandono alto, mas o abandono observado não acontece. É um caso parecido com o de um seguro de automóvel que cobra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53" w:name="_Toc9217"/>
      <w:r>
        <w:rPr>
          <w:rFonts w:ascii="Arial" w:hAnsi="Arial" w:eastAsia="Arial" w:cs="Arial"/>
          <w:b w:val="0"/>
        </w:rPr>
        <w:t>O Painel de Priorização ao Gestor</w:t>
      </w:r>
      <w:bookmarkEnd w:id="53"/>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54" w:name="_Toc22158"/>
      <w:r>
        <w:rPr>
          <w:rFonts w:ascii="Arial" w:hAnsi="Arial" w:eastAsia="Arial" w:cs="Arial"/>
          <w:b w:val="0"/>
        </w:rPr>
        <w:t>Síntese dos Resultados</w:t>
      </w:r>
      <w:bookmarkEnd w:id="54"/>
    </w:p>
    <w:p w14:paraId="3A43783E">
      <w:pPr>
        <w:pStyle w:val="3"/>
        <w:ind w:firstLine="0"/>
        <w:rPr>
          <w:color w:val="2E75B5"/>
        </w:rPr>
      </w:pPr>
      <w:r>
        <w:rPr>
          <w:rFonts w:ascii="Arial" w:hAnsi="Arial" w:eastAsia="Arial" w:cs="Arial"/>
          <w:b w:val="0"/>
        </w:rPr>
        <w:t>Os resultados podem ser resumidos em cinco pontos. Primeiro, o sistema é confiável no que se propõe: uma suíte de 98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Segundo, o conjunto de características é enxuto e justificado: 39 colunas escolhidas entre mais de 400, com análise estatística individual e critérios explícitos de corte.</w:t>
      </w:r>
    </w:p>
    <w:p w14:paraId="0DD60FA7">
      <w:pPr>
        <w:pStyle w:val="3"/>
        <w:ind w:firstLine="0"/>
        <w:rPr>
          <w:color w:val="2E75B5"/>
        </w:rPr>
      </w:pPr>
      <w:r>
        <w:rPr>
          <w:rFonts w:ascii="Arial" w:hAnsi="Arial" w:eastAsia="Arial" w:cs="Arial"/>
          <w:b w:val="0"/>
        </w:rPr>
        <w:t>Terceiro, o sistema acerta a ordem, não a magnitude. Ele erra o valor exato da taxa, mas ordena as escolas com qualidade útil — e é a ordem que a decisão do gestor requer.</w:t>
      </w:r>
    </w:p>
    <w:p w14:paraId="792A7F03">
      <w:pPr>
        <w:pStyle w:val="3"/>
        <w:ind w:firstLine="0"/>
        <w:rPr>
          <w:color w:val="2E75B5"/>
        </w:rPr>
      </w:pPr>
      <w:r>
        <w:rPr>
          <w:rFonts w:ascii="Arial" w:hAnsi="Arial" w:eastAsia="Arial" w:cs="Arial"/>
          <w:b w:val="0"/>
        </w:rPr>
        <w:t>Quarto, o ganho prático é mensurável: das escolas apontadas como prioritárias, cerca de metade estava de fato entre as mais críticas, contra 7 em cada 100 na escolha ao acaso; e uma lista de 150 escolas alcança quase dois terços das escolas críticas da rede.</w:t>
      </w:r>
    </w:p>
    <w:p w14:paraId="693241E1">
      <w:pPr>
        <w:pStyle w:val="3"/>
        <w:ind w:firstLine="0"/>
        <w:rPr>
          <w:color w:val="2E75B5"/>
        </w:rPr>
      </w:pPr>
      <w:r>
        <w:rPr>
          <w:rFonts w:ascii="Arial" w:hAnsi="Arial" w:eastAsia="Arial" w:cs="Arial"/>
          <w:b w:val="0"/>
        </w:rPr>
        <w:t>Quinto, cada indicação é explicável, o que permite ao gestor concordar ou discordar com argumento — e é também o que expõe, de forma transparente, a limitação de equidade nas escolas de localização diferenciada.</w:t>
      </w:r>
    </w:p>
    <w:p w14:paraId="78BAA92B">
      <w:pPr>
        <w:pStyle w:val="2"/>
        <w:numPr>
          <w:ilvl w:val="0"/>
          <w:numId w:val="1"/>
        </w:numPr>
        <w:rPr>
          <w:color w:val="000000"/>
        </w:rPr>
      </w:pPr>
      <w:bookmarkStart w:id="55" w:name="_Toc13001"/>
      <w:r>
        <w:rPr>
          <w:rFonts w:ascii="Arial" w:hAnsi="Arial" w:eastAsia="Arial" w:cs="Arial"/>
          <w:b w:val="0"/>
        </w:rPr>
        <w:t>Conclusões e Trabalhos Futuros</w:t>
      </w:r>
      <w:bookmarkEnd w:id="55"/>
    </w:p>
    <w:p w14:paraId="2B49EC9B">
      <w:pPr>
        <w:pStyle w:val="4"/>
        <w:numPr>
          <w:ilvl w:val="1"/>
          <w:numId w:val="1"/>
        </w:numPr>
      </w:pPr>
      <w:bookmarkStart w:id="56" w:name="_Toc12329"/>
      <w:r>
        <w:rPr>
          <w:rFonts w:ascii="Arial" w:hAnsi="Arial" w:eastAsia="Arial" w:cs="Arial"/>
          <w:b w:val="0"/>
        </w:rPr>
        <w:t>Conclusões</w:t>
      </w:r>
      <w:bookmarkEnd w:id="56"/>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(P2). </w:t>
      </w:r>
      <w:r>
        <w:rPr>
          <w:rFonts w:ascii="Arial" w:hAnsi="Arial" w:eastAsia="Arial" w:cs="Arial"/>
        </w:rPr>
        <w:t>Sim, com uma qualificação que é ela própria um resultado: o sistema identifica quais escolas terão abandono elevado, mas não estima quanto. O acerto da ordenação foi de 0,458 na validação repetida e de 0,390 no teste do ano nunca visto, e a capacidade de separar as escolas críticas das demais chegou a 0,830.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(P3).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−27,98 a +23,70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 a escola que foge ao padrão e o modelo que não enxerga um fator — faz parte da resposta.</w:t>
      </w:r>
    </w:p>
    <w:p w14:paraId="0AE112BC">
      <w:pPr>
        <w:pStyle w:val="3"/>
        <w:ind w:firstLine="0"/>
        <w:rPr>
          <w:color w:val="2E75B5"/>
        </w:rPr>
      </w:pPr>
      <w:r>
        <w:rPr>
          <w:rFonts w:ascii="Arial" w:hAnsi="Arial" w:eastAsia="Arial" w:cs="Arial"/>
          <w:b w:val="0"/>
        </w:rPr>
        <w:t>Sobre o problema: a evasão na rede estadual não é um fenômeno difuso, e sim concentrado. Em 2024, 10% das escolas responderam por 76% dos alunos que abandonaram, enquanto dois terços das escolas não registraram nenhum caso. Esse recorte é o que justifica um sistema de priorização em vez de um acompanhamento pela média da rede.</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64%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98 testes automatizados e reprodutibilidade completa a partir dos dados originais. Essas propriedades não são acessórias —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57" w:name="_Toc30918"/>
      <w:r>
        <w:rPr>
          <w:rFonts w:ascii="Arial" w:hAnsi="Arial" w:eastAsia="Arial" w:cs="Arial"/>
          <w:b w:val="0"/>
        </w:rPr>
        <w:t>Trabalhos Futuros</w:t>
      </w:r>
      <w:bookmarkEnd w:id="57"/>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 a verificação final de que a ferramenta cumpre o propósito para o qual foi construída.</w:t>
      </w:r>
    </w:p>
    <w:p w14:paraId="74A766AA">
      <w:pPr>
        <w:pStyle w:val="8"/>
        <w:rPr>
          <w:color w:val="000000"/>
        </w:rPr>
      </w:pPr>
      <w:bookmarkStart w:id="58" w:name="_Toc14312"/>
      <w:r>
        <w:rPr>
          <w:rFonts w:ascii="Arial" w:hAnsi="Arial" w:eastAsia="Arial" w:cs="Arial"/>
          <w:b w:val="0"/>
        </w:rPr>
        <w:t>Referências</w:t>
      </w:r>
      <w:bookmarkEnd w:id="58"/>
    </w:p>
    <w:p w14:paraId="71D7381E">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w:t>
      </w:r>
    </w:p>
    <w:p w14:paraId="3898415D">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w:t>
      </w:r>
    </w:p>
    <w:p w14:paraId="64A09DD4">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17B44B3E">
      <w:pPr>
        <w:pStyle w:val="3"/>
        <w:ind w:firstLine="0"/>
        <w:rPr>
          <w:color w:val="2E75B5"/>
        </w:rPr>
      </w:pPr>
      <w:r>
        <w:rPr>
          <w:rFonts w:ascii="Arial" w:hAnsi="Arial" w:eastAsia="Arial" w:cs="Arial"/>
          <w:b w:val="0"/>
        </w:rPr>
        <w:t>FREIRE, P. Pedagogia do oprimido. 17. ed. Rio de Janeiro: Paz e Terra, 1987.</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50EF1FD9">
      <w:pPr>
        <w:pStyle w:val="3"/>
        <w:ind w:firstLine="0"/>
        <w:rPr>
          <w:color w:val="2E75B5"/>
        </w:rPr>
      </w:pPr>
      <w:r>
        <w:rPr>
          <w:rFonts w:ascii="Arial" w:hAnsi="Arial" w:eastAsia="Arial" w:cs="Arial"/>
          <w:b w:val="0"/>
        </w:rPr>
        <w:t>Nota ao autor: esta lista contém apenas as fontes efetivamente utilizadas no desenvolvimento do sistema. As referências da fundamentação teórica e dos trabalhos relacionados (Capítulo 2) devem ser acrescentadas conforme a bibliografia consultada.</w:t>
      </w:r>
    </w:p>
    <w:p w14:paraId="6FD186B2">
      <w:pPr>
        <w:pStyle w:val="8"/>
        <w:rPr>
          <w:color w:val="000000"/>
        </w:rPr>
      </w:pPr>
      <w:bookmarkStart w:id="59" w:name="_Toc24070"/>
      <w:r>
        <w:rPr>
          <w:rFonts w:ascii="Arial" w:hAnsi="Arial" w:eastAsia="Arial" w:cs="Arial"/>
          <w:b w:val="0"/>
        </w:rPr>
        <w:t>Apêndice A – Relação das 39 características usadas pelo sistema</w:t>
      </w:r>
      <w:bookmarkEnd w:id="59"/>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75C8B2ED">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40EF343-197B-45B6-B361-BCE55AC5B2B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A40B32B-B1B5-4624-8EC8-D8C76B847455}"/>
  </w:font>
  <w:font w:name="Wingdings">
    <w:panose1 w:val="05000000000000000000"/>
    <w:charset w:val="02"/>
    <w:family w:val="auto"/>
    <w:pitch w:val="default"/>
    <w:sig w:usb0="00000000" w:usb1="00000000" w:usb2="00000000" w:usb3="00000000" w:csb0="80000000" w:csb1="00000000"/>
    <w:embedRegular r:id="rId3" w:fontKey="{155A3641-1C11-4F6E-9C79-9591741368BE}"/>
  </w:font>
  <w:font w:name="Calibri">
    <w:panose1 w:val="020F0502020204030204"/>
    <w:charset w:val="00"/>
    <w:family w:val="swiss"/>
    <w:pitch w:val="default"/>
    <w:sig w:usb0="E4002EFF" w:usb1="C200247B" w:usb2="00000009" w:usb3="00000000" w:csb0="200001FF" w:csb1="00000000"/>
    <w:embedRegular r:id="rId4" w:fontKey="{81CC51A1-0070-4A2E-95E7-23C1E33B6AE8}"/>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08D26270-2126-4C30-984A-F76C9708CF71}"/>
  </w:font>
  <w:font w:name="Georgia">
    <w:panose1 w:val="02040502050405020303"/>
    <w:charset w:val="00"/>
    <w:family w:val="roman"/>
    <w:pitch w:val="default"/>
    <w:sig w:usb0="00000287" w:usb1="00000000" w:usb2="00000000" w:usb3="00000000" w:csb0="2000009F" w:csb1="00000000"/>
    <w:embedRegular r:id="rId6" w:fontKey="{11C39046-433B-4F6E-8021-780C8F63F89F}"/>
  </w:font>
  <w:font w:name="Liberation Sans">
    <w:panose1 w:val="020B0604020202020204"/>
    <w:charset w:val="00"/>
    <w:family w:val="swiss"/>
    <w:pitch w:val="default"/>
    <w:sig w:usb0="E0000AFF" w:usb1="500078FF" w:usb2="00000021" w:usb3="00000000" w:csb0="600001BF" w:csb1="DFF70000"/>
    <w:embedRegular r:id="rId7" w:fontKey="{60BFDB73-92A5-4DAC-8C56-85B42AD5EF1D}"/>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03E75FC9"/>
    <w:rsid w:val="37816D17"/>
    <w:rsid w:val="46E010FE"/>
    <w:rsid w:val="54BC7DEB"/>
    <w:rsid w:val="79F5399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56</Pages>
  <Words>9961</Words>
  <Characters>54488</Characters>
  <Paragraphs>463</Paragraphs>
  <TotalTime>83</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2026-07-21T22:49:25Z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