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característica para as previsões do sistema</w:t>
      </w:r>
    </w:p>
    <w:p w14:paraId="44E8BD78">
      <w:pPr>
        <w:pStyle w:val="3"/>
        <w:ind w:firstLine="0"/>
        <w:rPr>
          <w:color w:val="2E75B5"/>
        </w:rPr>
      </w:pPr>
      <w:r>
        <w:rPr>
          <w:rFonts w:ascii="Arial" w:hAnsi="Arial"/>
          <w:sz w:val="22"/>
        </w:rPr>
        <w:t>Figura 16 – Peso e direção de cada característica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5A45D9D">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E3D8A33">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45D915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_Toc18408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_Toc18408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1BD9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_Toc5907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2555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_Toc30988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75CA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_Toc8288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_Toc8288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3D465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_Toc20377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_Toc20377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3472D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_Toc27520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_Toc27520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7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_Toc3972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_Toc3972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68B1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_Toc7933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_Toc7933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E3627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_Toc5620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_Toc5620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7CF6C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Conceitos e Fatores Associados</w:t>
          </w:r>
          <w:r>
            <w:tab/>
          </w:r>
          <w:r>
            <w:fldChar w:fldCharType="begin"/>
          </w:r>
          <w:r>
            <w:instrText xml:space="preserve"> PAGEREF _Toc14622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96E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_Toc3811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Sistemas de Previsão de Risco Aplicados à Educação</w:t>
          </w:r>
          <w:r>
            <w:tab/>
          </w:r>
          <w:r>
            <w:fldChar w:fldCharType="begin"/>
          </w:r>
          <w:r>
            <w:instrText xml:space="preserve"> PAGEREF _Toc3811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34797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Explicação das Indicações</w:t>
          </w:r>
          <w:r>
            <w:tab/>
          </w:r>
          <w:r>
            <w:fldChar w:fldCharType="begin"/>
          </w:r>
          <w:r>
            <w:instrText xml:space="preserve"> PAGEREF _Toc2427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CFB2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_Toc14572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_Toc14572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BEA36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_Toc21535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_Toc21535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3A84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 Adotado</w:t>
          </w:r>
          <w:r>
            <w:tab/>
          </w:r>
          <w:r>
            <w:fldChar w:fldCharType="begin"/>
          </w:r>
          <w:r>
            <w:instrText xml:space="preserve"> PAGEREF _Toc12383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8859A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_Toc21190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18B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_Toc17420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_Toc17420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37C51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_Toc11512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_Toc11512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EA33F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_Toc10605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_Toc10605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89D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Informações</w:t>
          </w:r>
          <w:r>
            <w:tab/>
          </w:r>
          <w:r>
            <w:fldChar w:fldCharType="begin"/>
          </w:r>
          <w:r>
            <w:instrText xml:space="preserve"> PAGEREF _Toc1551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B6961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_Toc21269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_Toc21269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FB8F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_Toc30832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0540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_Toc903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450DA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_Toc20346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_Toc20346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E6CE4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_Toc18409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266E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_Toc7671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_Toc7671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66F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_Toc8493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_Toc8493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C66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_Toc32023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_Toc32023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58E4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_Toc6055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_Toc6055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2B421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_Toc24634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_Toc24634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390BE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_Toc5162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_Toc5162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1FAF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_Toc3092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E9B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_Toc29464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F943F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_Toc29684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_Toc29684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3B918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_Toc10520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_Toc10520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603EB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_Toc5681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_Toc5681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35840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_Toc20042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1BA6E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_Toc30983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DD4C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_Toc19494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B255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_Toc13171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Informações Usadas</w:t>
          </w:r>
          <w:r>
            <w:tab/>
          </w:r>
          <w:r>
            <w:fldChar w:fldCharType="begin"/>
          </w:r>
          <w:r>
            <w:instrText xml:space="preserve"> PAGEREF _Toc13171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1A80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076A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B1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_Toc11033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Informações Contínuas</w:t>
          </w:r>
          <w:r>
            <w:tab/>
          </w:r>
          <w:r>
            <w:fldChar w:fldCharType="begin"/>
          </w:r>
          <w:r>
            <w:instrText xml:space="preserve"> PAGEREF _Toc11033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D44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_Toc9245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Informações de Sim ou Não</w:t>
          </w:r>
          <w:r>
            <w:tab/>
          </w:r>
          <w:r>
            <w:fldChar w:fldCharType="begin"/>
          </w:r>
          <w:r>
            <w:instrText xml:space="preserve"> PAGEREF _Toc9245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FFD77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_Toc19767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82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_Toc21670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Informações Têm Valor para a Previsão</w:t>
          </w:r>
          <w:r>
            <w:tab/>
          </w:r>
          <w:r>
            <w:fldChar w:fldCharType="begin"/>
          </w:r>
          <w:r>
            <w:instrText xml:space="preserve"> PAGEREF _Toc21670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1760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_Toc14481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_Toc14481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C03C5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_Toc22236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_Toc22236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8BF50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_Toc13253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_Toc13253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555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_Toc29661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91B4A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_Toc29838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_Toc29838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947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_Toc8002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A5C92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_Toc2496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_Toc2496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C90C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_Toc30633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_Toc30633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3AD7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_Toc7730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_Toc7730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6207D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_Toc12405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8630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_Toc9217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_Toc9217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C73B6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_Toc22158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54E38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_Toc13001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_Toc13001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A273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_Toc12329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_Toc12329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7B80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_Toc30918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_Toc30918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9A4AD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_Toc14312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_Toc14312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136B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_Toc24070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38 informações usadas pelo sistema</w:t>
          </w:r>
          <w:r>
            <w:tab/>
          </w:r>
          <w:r>
            <w:fldChar w:fldCharType="begin"/>
          </w:r>
          <w:r>
            <w:instrText xml:space="preserve"> PAGEREF _Toc24070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8408"/>
      <w:r>
        <w:rPr>
          <w:rFonts w:ascii="Arial" w:hAnsi="Arial" w:eastAsia="Arial" w:cs="Arial"/>
          <w:b w:val="0"/>
        </w:rPr>
        <w:t>Introdução</w:t>
      </w:r>
      <w:bookmarkEnd w:id="1"/>
    </w:p>
    <w:p w14:paraId="71BF03DA">
      <w:pPr>
        <w:pStyle w:val="4"/>
        <w:numPr>
          <w:ilvl w:val="1"/>
          <w:numId w:val="1"/>
        </w:numPr>
      </w:pPr>
      <w:bookmarkStart w:id="2" w:name="_Toc590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3098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828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37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7520"/>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972"/>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933"/>
      <w:r>
        <w:rPr>
          <w:rFonts w:ascii="Arial" w:hAnsi="Arial" w:eastAsia="Arial" w:cs="Arial"/>
          <w:b w:val="0"/>
        </w:rPr>
        <w:t>Revisão Bibliográfica</w:t>
      </w:r>
      <w:bookmarkEnd w:id="8"/>
    </w:p>
    <w:p w14:paraId="39C81C03">
      <w:pPr>
        <w:pStyle w:val="4"/>
        <w:numPr>
          <w:ilvl w:val="1"/>
          <w:numId w:val="1"/>
        </w:numPr>
      </w:pPr>
      <w:bookmarkStart w:id="9" w:name="_Toc5620"/>
      <w:r>
        <w:rPr>
          <w:rFonts w:ascii="Arial" w:hAnsi="Arial" w:eastAsia="Arial" w:cs="Arial"/>
          <w:b w:val="0"/>
        </w:rPr>
        <w:t>Fundamentação Teórica</w:t>
      </w:r>
      <w:bookmarkEnd w:id="9"/>
    </w:p>
    <w:p w14:paraId="1319101A">
      <w:pPr>
        <w:pStyle w:val="2"/>
        <w:numPr>
          <w:ilvl w:val="0"/>
          <w:numId w:val="1"/>
        </w:numPr>
        <w:rPr>
          <w:color w:val="000000"/>
        </w:rPr>
      </w:pPr>
      <w:bookmarkStart w:id="10" w:name="_Toc21535"/>
      <w:r>
        <w:rPr>
          <w:rFonts w:ascii="Arial" w:hAnsi="Arial" w:eastAsia="Arial" w:cs="Arial"/>
          <w:b w:val="0"/>
        </w:rPr>
        <w:t>Método de Desenvolvimento</w:t>
      </w:r>
      <w:bookmarkEnd w:id="10"/>
    </w:p>
    <w:p w14:paraId="39EFBDEF">
      <w:pPr>
        <w:pStyle w:val="4"/>
        <w:numPr>
          <w:ilvl w:val="1"/>
          <w:numId w:val="1"/>
        </w:numPr>
      </w:pPr>
      <w:bookmarkStart w:id="11" w:name="_Toc12383"/>
      <w:r>
        <w:rPr>
          <w:rFonts w:ascii="Arial" w:hAnsi="Arial" w:eastAsia="Arial" w:cs="Arial"/>
          <w:b w:val="0"/>
        </w:rPr>
        <w:t>Processo de Desenvolvimento Adotado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2119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742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11512"/>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0605"/>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1551"/>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21269"/>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30832"/>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903"/>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20346"/>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8409"/>
      <w:r>
        <w:rPr>
          <w:rFonts w:ascii="Arial" w:hAnsi="Arial" w:eastAsia="Arial" w:cs="Arial"/>
          <w:b w:val="0"/>
        </w:rPr>
        <w:t>Arquitetura do Software</w:t>
      </w:r>
      <w:bookmarkEnd w:id="21"/>
    </w:p>
    <w:p w14:paraId="527CA8A8">
      <w:pPr>
        <w:pStyle w:val="4"/>
        <w:numPr>
          <w:ilvl w:val="1"/>
          <w:numId w:val="1"/>
        </w:numPr>
      </w:pPr>
      <w:bookmarkStart w:id="22" w:name="_Toc7671"/>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8493"/>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32023"/>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6055"/>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24634"/>
      <w:r>
        <w:rPr>
          <w:rFonts w:ascii="Arial" w:hAnsi="Arial" w:eastAsia="Arial" w:cs="Arial"/>
          <w:b w:val="0"/>
        </w:rPr>
        <w:t>Tecnologias e Aspectos de Implementação</w:t>
      </w:r>
      <w:bookmarkEnd w:id="26"/>
    </w:p>
    <w:p w14:paraId="6E080A24">
      <w:pPr>
        <w:pStyle w:val="4"/>
        <w:numPr>
          <w:ilvl w:val="1"/>
          <w:numId w:val="1"/>
        </w:numPr>
      </w:pPr>
      <w:bookmarkStart w:id="27" w:name="_Toc5162"/>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3092"/>
      <w:r>
        <w:rPr>
          <w:rFonts w:ascii="Arial" w:hAnsi="Arial" w:eastAsia="Arial" w:cs="Arial"/>
          <w:b w:val="0"/>
        </w:rPr>
        <w:t>Aspectos de Implementação</w:t>
      </w:r>
      <w:bookmarkEnd w:id="28"/>
    </w:p>
    <w:p w14:paraId="1D664FD8">
      <w:pPr>
        <w:pStyle w:val="5"/>
        <w:numPr>
          <w:ilvl w:val="2"/>
          <w:numId w:val="1"/>
        </w:numPr>
      </w:pPr>
      <w:bookmarkStart w:id="29" w:name="_Toc29464"/>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9684"/>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10520"/>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5681"/>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0042"/>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30983"/>
      <w:r>
        <w:rPr>
          <w:rFonts w:ascii="Arial" w:hAnsi="Arial" w:eastAsia="Arial" w:cs="Arial"/>
          <w:b w:val="0"/>
        </w:rPr>
        <w:t>Testes e Análise dos Resultados</w:t>
      </w:r>
      <w:bookmarkEnd w:id="34"/>
    </w:p>
    <w:p w14:paraId="5264F51A">
      <w:pPr>
        <w:pStyle w:val="4"/>
        <w:numPr>
          <w:ilvl w:val="1"/>
          <w:numId w:val="1"/>
        </w:numPr>
      </w:pPr>
      <w:bookmarkStart w:id="35" w:name="_Toc1949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3171"/>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2938"/>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Anos que podem servir de origem (t = 2022, 2023)</w:t>
            </w:r>
          </w:p>
        </w:tc>
        <w:tc>
          <w:tcPr>
            <w:tcW w:w="5" w:type="dxa"/>
          </w:tcPr>
          <w:p w14:paraId="189ADD07">
            <w:r>
              <w:rPr>
                <w:rFonts w:ascii="Arial" w:hAnsi="Arial" w:eastAsia="Arial" w:cs="Arial"/>
                <w:b w:val="0"/>
                <w:sz w:val="16"/>
              </w:rPr>
              <w:t>O ano de 2024 não tem 2025 para observar: entra como alvo, não como origem</w:t>
            </w:r>
          </w:p>
        </w:tc>
        <w:tc>
          <w:tcPr>
            <w:tcW w:w="2" w:type="dxa"/>
          </w:tcPr>
          <w:p w14:paraId="386F678D">
            <w:r>
              <w:rPr>
                <w:rFonts w:ascii="Arial" w:hAnsi="Arial" w:eastAsia="Arial" w:cs="Arial"/>
                <w:b w:val="0"/>
                <w:sz w:val="16"/>
              </w:rPr>
              <w:t>−791 → 1.601</w:t>
            </w:r>
          </w:p>
        </w:tc>
        <w:tc>
          <w:tcPr>
            <w:tcW w:w="2" w:type="dxa"/>
          </w:tcPr>
          <w:p w14:paraId="63F28650">
            <w:r>
              <w:rPr>
                <w:rFonts w:ascii="Arial" w:hAnsi="Arial" w:eastAsia="Arial" w:cs="Arial"/>
                <w:b w:val="0"/>
                <w:sz w:val="16"/>
              </w:rPr>
              <w:t>804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Pares completos (t → t+1)</w:t>
            </w:r>
          </w:p>
        </w:tc>
        <w:tc>
          <w:tcPr>
            <w:tcW w:w="5" w:type="dxa"/>
          </w:tcPr>
          <w:p w14:paraId="189ADD07">
            <w:r>
              <w:rPr>
                <w:rFonts w:ascii="Arial" w:hAnsi="Arial" w:eastAsia="Arial" w:cs="Arial"/>
                <w:b w:val="0"/>
                <w:sz w:val="16"/>
              </w:rPr>
              <w:t>Escola sem abandono observado no ano seguinte — saiu da rede ou deixou de ofertar Ensino Médio</w:t>
            </w:r>
          </w:p>
        </w:tc>
        <w:tc>
          <w:tcPr>
            <w:tcW w:w="2" w:type="dxa"/>
          </w:tcPr>
          <w:p w14:paraId="386F678D">
            <w:r>
              <w:rPr>
                <w:rFonts w:ascii="Arial" w:hAnsi="Arial" w:eastAsia="Arial" w:cs="Arial"/>
                <w:b w:val="0"/>
                <w:sz w:val="16"/>
              </w:rPr>
              <w:t>−15 → 1.586</w:t>
            </w:r>
          </w:p>
        </w:tc>
        <w:tc>
          <w:tcPr>
            <w:tcW w:w="2" w:type="dxa"/>
          </w:tcPr>
          <w:p w14:paraId="63F28650">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E588503">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2507"/>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0,9% nas 70 rurais e 6,6% nas 40 escolas indígenas e quilombolas.</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bookmarkStart w:id="39" w:name="_Toc11033"/>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503798E">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3503798E">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503798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9245"/>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5679240A">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8BB3842">
            <w:r>
              <w:rPr>
                <w:rFonts w:ascii="Arial" w:hAnsi="Arial" w:eastAsia="Arial" w:cs="Arial"/>
                <w:b/>
                <w:sz w:val="16"/>
              </w:rPr>
              <w:t>Atributo</w:t>
            </w:r>
          </w:p>
        </w:tc>
        <w:tc>
          <w:tcPr>
            <w:tcW w:w="2" w:type="dxa"/>
          </w:tcPr>
          <w:p w14:paraId="282597E9">
            <w:r>
              <w:rPr>
                <w:rFonts w:ascii="Arial" w:hAnsi="Arial" w:eastAsia="Arial" w:cs="Arial"/>
                <w:b/>
                <w:sz w:val="16"/>
              </w:rPr>
              <w:t>Escolas que têm</w:t>
            </w:r>
          </w:p>
        </w:tc>
        <w:tc>
          <w:tcPr>
            <w:tcW w:w="2" w:type="dxa"/>
          </w:tcPr>
          <w:p w14:paraId="1CEB1107">
            <w:r>
              <w:rPr>
                <w:rFonts w:ascii="Arial" w:hAnsi="Arial" w:eastAsia="Arial" w:cs="Arial"/>
                <w:b/>
                <w:sz w:val="16"/>
              </w:rPr>
              <w:t>Escolas que não têm</w:t>
            </w:r>
          </w:p>
        </w:tc>
        <w:tc>
          <w:tcPr>
            <w:tcW w:w="2" w:type="dxa"/>
          </w:tcPr>
          <w:p w14:paraId="5266E42C">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8A04792">
            <w:r>
              <w:rPr>
                <w:rFonts w:ascii="Arial" w:hAnsi="Arial" w:eastAsia="Arial" w:cs="Arial"/>
                <w:b/>
                <w:sz w:val="16"/>
              </w:rPr>
              <w:t>Diferença (p.p.)</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diferenciada (indígena/quilombola)</w:t>
            </w:r>
          </w:p>
        </w:tc>
        <w:tc>
          <w:tcPr>
            <w:tcW w:w="2" w:type="dxa"/>
          </w:tcPr>
          <w:p w14:paraId="189ADD07">
            <w:r>
              <w:rPr>
                <w:rFonts w:ascii="Arial" w:hAnsi="Arial" w:eastAsia="Arial" w:cs="Arial"/>
                <w:b w:val="0"/>
                <w:sz w:val="16"/>
              </w:rPr>
              <w:t>81 (5,1%)</w:t>
            </w:r>
          </w:p>
        </w:tc>
        <w:tc>
          <w:tcPr>
            <w:tcW w:w="2" w:type="dxa"/>
          </w:tcPr>
          <w:p w14:paraId="386F678D">
            <w:r>
              <w:rPr>
                <w:rFonts w:ascii="Arial" w:hAnsi="Arial" w:eastAsia="Arial" w:cs="Arial"/>
                <w:b w:val="0"/>
                <w:sz w:val="16"/>
              </w:rPr>
              <w:t>1.505 (94,9%)</w:t>
            </w:r>
          </w:p>
        </w:tc>
        <w:tc>
          <w:tcPr>
            <w:tcW w:w="2" w:type="dxa"/>
          </w:tcPr>
          <w:p w14:paraId="63F28650">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8,25***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rural</w:t>
            </w:r>
          </w:p>
        </w:tc>
        <w:tc>
          <w:tcPr>
            <w:tcW w:w="2" w:type="dxa"/>
          </w:tcPr>
          <w:p w14:paraId="189ADD07">
            <w:r>
              <w:rPr>
                <w:rFonts w:ascii="Arial" w:hAnsi="Arial" w:eastAsia="Arial" w:cs="Arial"/>
                <w:b w:val="0"/>
                <w:sz w:val="16"/>
              </w:rPr>
              <w:t>218 (13,7%)</w:t>
            </w:r>
          </w:p>
        </w:tc>
        <w:tc>
          <w:tcPr>
            <w:tcW w:w="2" w:type="dxa"/>
          </w:tcPr>
          <w:p w14:paraId="386F678D">
            <w:r>
              <w:rPr>
                <w:rFonts w:ascii="Arial" w:hAnsi="Arial" w:eastAsia="Arial" w:cs="Arial"/>
                <w:b w:val="0"/>
                <w:sz w:val="16"/>
              </w:rPr>
              <w:t>1.368 (86,3%)</w:t>
            </w:r>
          </w:p>
        </w:tc>
        <w:tc>
          <w:tcPr>
            <w:tcW w:w="2" w:type="dxa"/>
          </w:tcPr>
          <w:p w14:paraId="63F28650">
            <w:r>
              <w:rPr>
                <w:rFonts w:ascii="Arial" w:hAnsi="Arial" w:eastAsia="Arial" w:cs="Arial"/>
                <w:b w:val="0"/>
                <w:sz w:val="16"/>
              </w:rPr>
              <w:t>3,74%</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3,04***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Biblioteca</w:t>
            </w:r>
          </w:p>
        </w:tc>
        <w:tc>
          <w:tcPr>
            <w:tcW w:w="2" w:type="dxa"/>
          </w:tcPr>
          <w:p w14:paraId="189ADD07">
            <w:r>
              <w:rPr>
                <w:rFonts w:ascii="Arial" w:hAnsi="Arial" w:eastAsia="Arial" w:cs="Arial"/>
                <w:b w:val="0"/>
                <w:sz w:val="16"/>
              </w:rPr>
              <w:t>1.438 (90,7%)</w:t>
            </w:r>
          </w:p>
        </w:tc>
        <w:tc>
          <w:tcPr>
            <w:tcW w:w="2" w:type="dxa"/>
          </w:tcPr>
          <w:p w14:paraId="386F678D">
            <w:r>
              <w:rPr>
                <w:rFonts w:ascii="Arial" w:hAnsi="Arial" w:eastAsia="Arial" w:cs="Arial"/>
                <w:b w:val="0"/>
                <w:sz w:val="16"/>
              </w:rPr>
              <w:t>148 (9,3%)</w:t>
            </w:r>
          </w:p>
        </w:tc>
        <w:tc>
          <w:tcPr>
            <w:tcW w:w="2" w:type="dxa"/>
          </w:tcPr>
          <w:p w14:paraId="63F28650">
            <w:r>
              <w:rPr>
                <w:rFonts w:ascii="Arial" w:hAnsi="Arial" w:eastAsia="Arial" w:cs="Arial"/>
                <w:b w:val="0"/>
                <w:sz w:val="16"/>
              </w:rPr>
              <w:t>0,93%</w:t>
            </w:r>
          </w:p>
        </w:tc>
        <w:tc>
          <w:tcPr>
            <w:tcW w:w="2" w:type="dxa"/>
          </w:tcPr>
          <w:p w14:paraId="086C4CE4">
            <w:r>
              <w:rPr>
                <w:rFonts w:ascii="Arial" w:hAnsi="Arial" w:eastAsia="Arial" w:cs="Arial"/>
                <w:b w:val="0"/>
                <w:sz w:val="16"/>
              </w:rPr>
              <w:t>3,01%</w:t>
            </w:r>
          </w:p>
        </w:tc>
        <w:tc>
          <w:tcPr>
            <w:tcW w:w="2" w:type="dxa"/>
          </w:tcPr>
          <w:p w14:paraId="086C4CE4">
            <w:r>
              <w:rPr>
                <w:rFonts w:ascii="Arial" w:hAnsi="Arial" w:eastAsia="Arial" w:cs="Arial"/>
                <w:b w:val="0"/>
                <w:sz w:val="16"/>
              </w:rPr>
              <w:t>−2,08**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informática</w:t>
            </w:r>
          </w:p>
        </w:tc>
        <w:tc>
          <w:tcPr>
            <w:tcW w:w="2" w:type="dxa"/>
          </w:tcPr>
          <w:p w14:paraId="189ADD07">
            <w:r>
              <w:rPr>
                <w:rFonts w:ascii="Arial" w:hAnsi="Arial" w:eastAsia="Arial" w:cs="Arial"/>
                <w:b w:val="0"/>
                <w:sz w:val="16"/>
              </w:rPr>
              <w:t>1.228 (77,4%)</w:t>
            </w:r>
          </w:p>
        </w:tc>
        <w:tc>
          <w:tcPr>
            <w:tcW w:w="2" w:type="dxa"/>
          </w:tcPr>
          <w:p w14:paraId="386F678D">
            <w:r>
              <w:rPr>
                <w:rFonts w:ascii="Arial" w:hAnsi="Arial" w:eastAsia="Arial" w:cs="Arial"/>
                <w:b w:val="0"/>
                <w:sz w:val="16"/>
              </w:rPr>
              <w:t>358 (22,6%)</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2,44%</w:t>
            </w:r>
          </w:p>
        </w:tc>
        <w:tc>
          <w:tcPr>
            <w:tcW w:w="2" w:type="dxa"/>
          </w:tcPr>
          <w:p w14:paraId="086C4CE4">
            <w:r>
              <w:rPr>
                <w:rFonts w:ascii="Arial" w:hAnsi="Arial" w:eastAsia="Arial" w:cs="Arial"/>
                <w:b w:val="0"/>
                <w:sz w:val="16"/>
              </w:rPr>
              <w:t>−1,71***</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Banda larga</w:t>
            </w:r>
          </w:p>
        </w:tc>
        <w:tc>
          <w:tcPr>
            <w:tcW w:w="2" w:type="dxa"/>
          </w:tcPr>
          <w:p w14:paraId="189ADD07">
            <w:r>
              <w:rPr>
                <w:rFonts w:ascii="Arial" w:hAnsi="Arial" w:eastAsia="Arial" w:cs="Arial"/>
                <w:b w:val="0"/>
                <w:sz w:val="16"/>
              </w:rPr>
              <w:t>1.393 (87,8%)</w:t>
            </w:r>
          </w:p>
        </w:tc>
        <w:tc>
          <w:tcPr>
            <w:tcW w:w="2" w:type="dxa"/>
          </w:tcPr>
          <w:p w14:paraId="386F678D">
            <w:r>
              <w:rPr>
                <w:rFonts w:ascii="Arial" w:hAnsi="Arial" w:eastAsia="Arial" w:cs="Arial"/>
                <w:b w:val="0"/>
                <w:sz w:val="16"/>
              </w:rPr>
              <w:t>193 (12,2%)</w:t>
            </w:r>
          </w:p>
        </w:tc>
        <w:tc>
          <w:tcPr>
            <w:tcW w:w="2" w:type="dxa"/>
          </w:tcPr>
          <w:p w14:paraId="63F28650">
            <w:r>
              <w:rPr>
                <w:rFonts w:ascii="Arial" w:hAnsi="Arial" w:eastAsia="Arial" w:cs="Arial"/>
                <w:b w:val="0"/>
                <w:sz w:val="16"/>
              </w:rPr>
              <w:t>0,95%</w:t>
            </w:r>
          </w:p>
        </w:tc>
        <w:tc>
          <w:tcPr>
            <w:tcW w:w="2" w:type="dxa"/>
          </w:tcPr>
          <w:p w14:paraId="086C4CE4">
            <w:r>
              <w:rPr>
                <w:rFonts w:ascii="Arial" w:hAnsi="Arial" w:eastAsia="Arial" w:cs="Arial"/>
                <w:b w:val="0"/>
                <w:sz w:val="16"/>
              </w:rPr>
              <w:t>2,34%</w:t>
            </w:r>
          </w:p>
        </w:tc>
        <w:tc>
          <w:tcPr>
            <w:tcW w:w="2" w:type="dxa"/>
          </w:tcPr>
          <w:p w14:paraId="086C4CE4">
            <w:r>
              <w:rPr>
                <w:rFonts w:ascii="Arial" w:hAnsi="Arial" w:eastAsia="Arial" w:cs="Arial"/>
                <w:b w:val="0"/>
                <w:sz w:val="16"/>
              </w:rPr>
              <w:t>−1,39</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Quadra de esportes</w:t>
            </w:r>
          </w:p>
        </w:tc>
        <w:tc>
          <w:tcPr>
            <w:tcW w:w="2" w:type="dxa"/>
          </w:tcPr>
          <w:p w14:paraId="189ADD07">
            <w:r>
              <w:rPr>
                <w:rFonts w:ascii="Arial" w:hAnsi="Arial" w:eastAsia="Arial" w:cs="Arial"/>
                <w:b w:val="0"/>
                <w:sz w:val="16"/>
              </w:rPr>
              <w:t>1.120 (70,6%)</w:t>
            </w:r>
          </w:p>
        </w:tc>
        <w:tc>
          <w:tcPr>
            <w:tcW w:w="2" w:type="dxa"/>
          </w:tcPr>
          <w:p w14:paraId="386F678D">
            <w:r>
              <w:rPr>
                <w:rFonts w:ascii="Arial" w:hAnsi="Arial" w:eastAsia="Arial" w:cs="Arial"/>
                <w:b w:val="0"/>
                <w:sz w:val="16"/>
              </w:rPr>
              <w:t>466 (29,4%)</w:t>
            </w:r>
          </w:p>
        </w:tc>
        <w:tc>
          <w:tcPr>
            <w:tcW w:w="2" w:type="dxa"/>
          </w:tcPr>
          <w:p w14:paraId="63F28650">
            <w:r>
              <w:rPr>
                <w:rFonts w:ascii="Arial" w:hAnsi="Arial" w:eastAsia="Arial" w:cs="Arial"/>
                <w:b w:val="0"/>
                <w:sz w:val="16"/>
              </w:rPr>
              <w:t>0,79%</w:t>
            </w:r>
          </w:p>
        </w:tc>
        <w:tc>
          <w:tcPr>
            <w:tcW w:w="2" w:type="dxa"/>
          </w:tcPr>
          <w:p w14:paraId="086C4CE4">
            <w:r>
              <w:rPr>
                <w:rFonts w:ascii="Arial" w:hAnsi="Arial" w:eastAsia="Arial" w:cs="Arial"/>
                <w:b w:val="0"/>
                <w:sz w:val="16"/>
              </w:rPr>
              <w:t>1,93%</w:t>
            </w:r>
          </w:p>
        </w:tc>
        <w:tc>
          <w:tcPr>
            <w:tcW w:w="2" w:type="dxa"/>
          </w:tcPr>
          <w:p w14:paraId="086C4CE4">
            <w:r>
              <w:rPr>
                <w:rFonts w:ascii="Arial" w:hAnsi="Arial" w:eastAsia="Arial" w:cs="Arial"/>
                <w:b w:val="0"/>
                <w:sz w:val="16"/>
              </w:rPr>
              <w:t>−1,14*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ciências</w:t>
            </w:r>
          </w:p>
        </w:tc>
        <w:tc>
          <w:tcPr>
            <w:tcW w:w="2" w:type="dxa"/>
          </w:tcPr>
          <w:p w14:paraId="189ADD07">
            <w:r>
              <w:rPr>
                <w:rFonts w:ascii="Arial" w:hAnsi="Arial" w:eastAsia="Arial" w:cs="Arial"/>
                <w:b w:val="0"/>
                <w:sz w:val="16"/>
              </w:rPr>
              <w:t>705 (44,5%)</w:t>
            </w:r>
          </w:p>
        </w:tc>
        <w:tc>
          <w:tcPr>
            <w:tcW w:w="2" w:type="dxa"/>
          </w:tcPr>
          <w:p w14:paraId="386F678D">
            <w:r>
              <w:rPr>
                <w:rFonts w:ascii="Arial" w:hAnsi="Arial" w:eastAsia="Arial" w:cs="Arial"/>
                <w:b w:val="0"/>
                <w:sz w:val="16"/>
              </w:rPr>
              <w:t>881 (55,5%)</w:t>
            </w:r>
          </w:p>
        </w:tc>
        <w:tc>
          <w:tcPr>
            <w:tcW w:w="2" w:type="dxa"/>
          </w:tcPr>
          <w:p w14:paraId="63F28650">
            <w:r>
              <w:rPr>
                <w:rFonts w:ascii="Arial" w:hAnsi="Arial" w:eastAsia="Arial" w:cs="Arial"/>
                <w:b w:val="0"/>
                <w:sz w:val="16"/>
              </w:rPr>
              <w:t>0,53%</w:t>
            </w:r>
          </w:p>
        </w:tc>
        <w:tc>
          <w:tcPr>
            <w:tcW w:w="2" w:type="dxa"/>
          </w:tcPr>
          <w:p w14:paraId="086C4CE4">
            <w:r>
              <w:rPr>
                <w:rFonts w:ascii="Arial" w:hAnsi="Arial" w:eastAsia="Arial" w:cs="Arial"/>
                <w:b w:val="0"/>
                <w:sz w:val="16"/>
              </w:rPr>
              <w:t>1,59%</w:t>
            </w:r>
          </w:p>
        </w:tc>
        <w:tc>
          <w:tcPr>
            <w:tcW w:w="2" w:type="dxa"/>
          </w:tcPr>
          <w:p w14:paraId="086C4CE4">
            <w:r>
              <w:rPr>
                <w:rFonts w:ascii="Arial" w:hAnsi="Arial" w:eastAsia="Arial" w:cs="Arial"/>
                <w:b w:val="0"/>
                <w:sz w:val="16"/>
              </w:rPr>
              <w:t>−1,06***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Esgoto em rede pública</w:t>
            </w:r>
          </w:p>
        </w:tc>
        <w:tc>
          <w:tcPr>
            <w:tcW w:w="2" w:type="dxa"/>
          </w:tcPr>
          <w:p w14:paraId="189ADD07">
            <w:r>
              <w:rPr>
                <w:rFonts w:ascii="Arial" w:hAnsi="Arial" w:eastAsia="Arial" w:cs="Arial"/>
                <w:b w:val="0"/>
                <w:sz w:val="16"/>
              </w:rPr>
              <w:t>952 (60,0%)</w:t>
            </w:r>
          </w:p>
        </w:tc>
        <w:tc>
          <w:tcPr>
            <w:tcW w:w="2" w:type="dxa"/>
          </w:tcPr>
          <w:p w14:paraId="386F678D">
            <w:r>
              <w:rPr>
                <w:rFonts w:ascii="Arial" w:hAnsi="Arial" w:eastAsia="Arial" w:cs="Arial"/>
                <w:b w:val="0"/>
                <w:sz w:val="16"/>
              </w:rPr>
              <w:t>634 (40,0%)</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1,70%</w:t>
            </w:r>
          </w:p>
        </w:tc>
        <w:tc>
          <w:tcPr>
            <w:tcW w:w="2" w:type="dxa"/>
          </w:tcPr>
          <w:p w14:paraId="086C4CE4">
            <w:r>
              <w:rPr>
                <w:rFonts w:ascii="Arial" w:hAnsi="Arial" w:eastAsia="Arial" w:cs="Arial"/>
                <w:b w:val="0"/>
                <w:sz w:val="16"/>
              </w:rPr>
              <w:t>−0,96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Água potável</w:t>
            </w:r>
          </w:p>
        </w:tc>
        <w:tc>
          <w:tcPr>
            <w:tcW w:w="2" w:type="dxa"/>
          </w:tcPr>
          <w:p w14:paraId="189ADD07">
            <w:r>
              <w:rPr>
                <w:rFonts w:ascii="Arial" w:hAnsi="Arial" w:eastAsia="Arial" w:cs="Arial"/>
                <w:b w:val="0"/>
                <w:sz w:val="16"/>
              </w:rPr>
              <w:t>1.509 (95,1%)</w:t>
            </w:r>
          </w:p>
        </w:tc>
        <w:tc>
          <w:tcPr>
            <w:tcW w:w="2" w:type="dxa"/>
          </w:tcPr>
          <w:p w14:paraId="386F678D">
            <w:r>
              <w:rPr>
                <w:rFonts w:ascii="Arial" w:hAnsi="Arial" w:eastAsia="Arial" w:cs="Arial"/>
                <w:b w:val="0"/>
                <w:sz w:val="16"/>
              </w:rPr>
              <w:t>77 (4,9%)</w:t>
            </w:r>
          </w:p>
        </w:tc>
        <w:tc>
          <w:tcPr>
            <w:tcW w:w="2" w:type="dxa"/>
          </w:tcPr>
          <w:p w14:paraId="63F28650">
            <w:r>
              <w:rPr>
                <w:rFonts w:ascii="Arial" w:hAnsi="Arial" w:eastAsia="Arial" w:cs="Arial"/>
                <w:b w:val="0"/>
                <w:sz w:val="16"/>
              </w:rPr>
              <w:t>1,08%</w:t>
            </w:r>
          </w:p>
        </w:tc>
        <w:tc>
          <w:tcPr>
            <w:tcW w:w="2" w:type="dxa"/>
          </w:tcPr>
          <w:p w14:paraId="086C4CE4">
            <w:r>
              <w:rPr>
                <w:rFonts w:ascii="Arial" w:hAnsi="Arial" w:eastAsia="Arial" w:cs="Arial"/>
                <w:b w:val="0"/>
                <w:sz w:val="16"/>
              </w:rPr>
              <w:t>1,91%</w:t>
            </w:r>
          </w:p>
        </w:tc>
        <w:tc>
          <w:tcPr>
            <w:tcW w:w="2" w:type="dxa"/>
          </w:tcPr>
          <w:p w14:paraId="086C4CE4">
            <w:r>
              <w:rPr>
                <w:rFonts w:ascii="Arial" w:hAnsi="Arial" w:eastAsia="Arial" w:cs="Arial"/>
                <w:b w:val="0"/>
                <w:sz w:val="16"/>
              </w:rPr>
              <w:t>−0,83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 para alunos</w:t>
            </w:r>
          </w:p>
        </w:tc>
        <w:tc>
          <w:tcPr>
            <w:tcW w:w="2" w:type="dxa"/>
          </w:tcPr>
          <w:p w14:paraId="189ADD07">
            <w:r>
              <w:rPr>
                <w:rFonts w:ascii="Arial" w:hAnsi="Arial" w:eastAsia="Arial" w:cs="Arial"/>
                <w:b w:val="0"/>
                <w:sz w:val="16"/>
              </w:rPr>
              <w:t>1.170 (73,8%)</w:t>
            </w:r>
          </w:p>
        </w:tc>
        <w:tc>
          <w:tcPr>
            <w:tcW w:w="2" w:type="dxa"/>
          </w:tcPr>
          <w:p w14:paraId="386F678D">
            <w:r>
              <w:rPr>
                <w:rFonts w:ascii="Arial" w:hAnsi="Arial" w:eastAsia="Arial" w:cs="Arial"/>
                <w:b w:val="0"/>
                <w:sz w:val="16"/>
              </w:rPr>
              <w:t>416 (26,2%)</w:t>
            </w:r>
          </w:p>
        </w:tc>
        <w:tc>
          <w:tcPr>
            <w:tcW w:w="2" w:type="dxa"/>
          </w:tcPr>
          <w:p w14:paraId="63F28650">
            <w:r>
              <w:rPr>
                <w:rFonts w:ascii="Arial" w:hAnsi="Arial" w:eastAsia="Arial" w:cs="Arial"/>
                <w:b w:val="0"/>
                <w:sz w:val="16"/>
              </w:rPr>
              <w:t>0,92%</w:t>
            </w:r>
          </w:p>
        </w:tc>
        <w:tc>
          <w:tcPr>
            <w:tcW w:w="2" w:type="dxa"/>
          </w:tcPr>
          <w:p w14:paraId="086C4CE4">
            <w:r>
              <w:rPr>
                <w:rFonts w:ascii="Arial" w:hAnsi="Arial" w:eastAsia="Arial" w:cs="Arial"/>
                <w:b w:val="0"/>
                <w:sz w:val="16"/>
              </w:rPr>
              <w:t>1,69%</w:t>
            </w:r>
          </w:p>
        </w:tc>
        <w:tc>
          <w:tcPr>
            <w:tcW w:w="2" w:type="dxa"/>
          </w:tcPr>
          <w:p w14:paraId="086C4CE4">
            <w:r>
              <w:rPr>
                <w:rFonts w:ascii="Arial" w:hAnsi="Arial" w:eastAsia="Arial" w:cs="Arial"/>
                <w:b w:val="0"/>
                <w:sz w:val="16"/>
              </w:rPr>
              <w:t>−0,77***</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w:t>
            </w:r>
          </w:p>
        </w:tc>
        <w:tc>
          <w:tcPr>
            <w:tcW w:w="2" w:type="dxa"/>
          </w:tcPr>
          <w:p w14:paraId="189ADD07">
            <w:r>
              <w:rPr>
                <w:rFonts w:ascii="Arial" w:hAnsi="Arial" w:eastAsia="Arial" w:cs="Arial"/>
                <w:b w:val="0"/>
                <w:sz w:val="16"/>
              </w:rPr>
              <w:t>1.574 (99,2%)</w:t>
            </w:r>
          </w:p>
        </w:tc>
        <w:tc>
          <w:tcPr>
            <w:tcW w:w="2" w:type="dxa"/>
          </w:tcPr>
          <w:p w14:paraId="386F678D">
            <w:r>
              <w:rPr>
                <w:rFonts w:ascii="Arial" w:hAnsi="Arial" w:eastAsia="Arial" w:cs="Arial"/>
                <w:b w:val="0"/>
                <w:sz w:val="16"/>
              </w:rPr>
              <w:t>12 (0,8%)</w:t>
            </w:r>
          </w:p>
        </w:tc>
        <w:tc>
          <w:tcPr>
            <w:tcW w:w="2" w:type="dxa"/>
          </w:tcPr>
          <w:p w14:paraId="63F28650">
            <w:r>
              <w:rPr>
                <w:rFonts w:ascii="Arial" w:hAnsi="Arial" w:eastAsia="Arial" w:cs="Arial"/>
                <w:b w:val="0"/>
                <w:sz w:val="16"/>
              </w:rPr>
              <w:t>1,12%</w:t>
            </w:r>
          </w:p>
        </w:tc>
        <w:tc>
          <w:tcPr>
            <w:tcW w:w="2" w:type="dxa"/>
          </w:tcPr>
          <w:p w14:paraId="086C4CE4">
            <w:r>
              <w:rPr>
                <w:rFonts w:ascii="Arial" w:hAnsi="Arial" w:eastAsia="Arial" w:cs="Arial"/>
                <w:b w:val="0"/>
                <w:sz w:val="16"/>
              </w:rPr>
              <w:t>1,84%</w:t>
            </w:r>
          </w:p>
        </w:tc>
        <w:tc>
          <w:tcPr>
            <w:tcW w:w="2" w:type="dxa"/>
          </w:tcPr>
          <w:p w14:paraId="086C4CE4">
            <w:r>
              <w:rPr>
                <w:rFonts w:ascii="Arial" w:hAnsi="Arial" w:eastAsia="Arial" w:cs="Arial"/>
                <w:b w:val="0"/>
                <w:sz w:val="16"/>
              </w:rPr>
              <w:t>−0,73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Refeitório</w:t>
            </w:r>
          </w:p>
        </w:tc>
        <w:tc>
          <w:tcPr>
            <w:tcW w:w="2" w:type="dxa"/>
          </w:tcPr>
          <w:p w14:paraId="189ADD07">
            <w:r>
              <w:rPr>
                <w:rFonts w:ascii="Arial" w:hAnsi="Arial" w:eastAsia="Arial" w:cs="Arial"/>
                <w:b w:val="0"/>
                <w:sz w:val="16"/>
              </w:rPr>
              <w:t>511 (32,2%)</w:t>
            </w:r>
          </w:p>
        </w:tc>
        <w:tc>
          <w:tcPr>
            <w:tcW w:w="2" w:type="dxa"/>
          </w:tcPr>
          <w:p w14:paraId="386F678D">
            <w:r>
              <w:rPr>
                <w:rFonts w:ascii="Arial" w:hAnsi="Arial" w:eastAsia="Arial" w:cs="Arial"/>
                <w:b w:val="0"/>
                <w:sz w:val="16"/>
              </w:rPr>
              <w:t>1.075 (67,8%)</w:t>
            </w:r>
          </w:p>
        </w:tc>
        <w:tc>
          <w:tcPr>
            <w:tcW w:w="2" w:type="dxa"/>
          </w:tcPr>
          <w:p w14:paraId="63F28650">
            <w:r>
              <w:rPr>
                <w:rFonts w:ascii="Arial" w:hAnsi="Arial" w:eastAsia="Arial" w:cs="Arial"/>
                <w:b w:val="0"/>
                <w:sz w:val="16"/>
              </w:rPr>
              <w:t>0,73%</w:t>
            </w:r>
          </w:p>
        </w:tc>
        <w:tc>
          <w:tcPr>
            <w:tcW w:w="2" w:type="dxa"/>
          </w:tcPr>
          <w:p w14:paraId="086C4CE4">
            <w:r>
              <w:rPr>
                <w:rFonts w:ascii="Arial" w:hAnsi="Arial" w:eastAsia="Arial" w:cs="Arial"/>
                <w:b w:val="0"/>
                <w:sz w:val="16"/>
              </w:rPr>
              <w:t>1,31%</w:t>
            </w:r>
          </w:p>
        </w:tc>
        <w:tc>
          <w:tcPr>
            <w:tcW w:w="2" w:type="dxa"/>
          </w:tcPr>
          <w:p w14:paraId="086C4CE4">
            <w:r>
              <w:rPr>
                <w:rFonts w:ascii="Arial" w:hAnsi="Arial" w:eastAsia="Arial" w:cs="Arial"/>
                <w:b w:val="0"/>
                <w:sz w:val="16"/>
              </w:rPr>
              <w:t>−0,58*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Auditório</w:t>
            </w:r>
          </w:p>
        </w:tc>
        <w:tc>
          <w:tcPr>
            <w:tcW w:w="2" w:type="dxa"/>
          </w:tcPr>
          <w:p w14:paraId="189ADD07">
            <w:r>
              <w:rPr>
                <w:rFonts w:ascii="Arial" w:hAnsi="Arial" w:eastAsia="Arial" w:cs="Arial"/>
                <w:b w:val="0"/>
                <w:sz w:val="16"/>
              </w:rPr>
              <w:t>438 (27,6%)</w:t>
            </w:r>
          </w:p>
        </w:tc>
        <w:tc>
          <w:tcPr>
            <w:tcW w:w="2" w:type="dxa"/>
          </w:tcPr>
          <w:p w14:paraId="386F678D">
            <w:r>
              <w:rPr>
                <w:rFonts w:ascii="Arial" w:hAnsi="Arial" w:eastAsia="Arial" w:cs="Arial"/>
                <w:b w:val="0"/>
                <w:sz w:val="16"/>
              </w:rPr>
              <w:t>1.148 (72,4%)</w:t>
            </w:r>
          </w:p>
        </w:tc>
        <w:tc>
          <w:tcPr>
            <w:tcW w:w="2" w:type="dxa"/>
          </w:tcPr>
          <w:p w14:paraId="63F28650">
            <w:r>
              <w:rPr>
                <w:rFonts w:ascii="Arial" w:hAnsi="Arial" w:eastAsia="Arial" w:cs="Arial"/>
                <w:b w:val="0"/>
                <w:sz w:val="16"/>
              </w:rPr>
              <w:t>0,75%</w:t>
            </w:r>
          </w:p>
        </w:tc>
        <w:tc>
          <w:tcPr>
            <w:tcW w:w="2" w:type="dxa"/>
          </w:tcPr>
          <w:p w14:paraId="086C4CE4">
            <w:r>
              <w:rPr>
                <w:rFonts w:ascii="Arial" w:hAnsi="Arial" w:eastAsia="Arial" w:cs="Arial"/>
                <w:b w:val="0"/>
                <w:sz w:val="16"/>
              </w:rPr>
              <w:t>1,26%</w:t>
            </w:r>
          </w:p>
        </w:tc>
        <w:tc>
          <w:tcPr>
            <w:tcW w:w="2" w:type="dxa"/>
          </w:tcPr>
          <w:p w14:paraId="086C4CE4">
            <w:r>
              <w:rPr>
                <w:rFonts w:ascii="Arial" w:hAnsi="Arial" w:eastAsia="Arial" w:cs="Arial"/>
                <w:b w:val="0"/>
                <w:sz w:val="16"/>
              </w:rPr>
              <w:t>−0,52</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Oferta de EM fora das séries regulares (EJA/modular)</w:t>
            </w:r>
          </w:p>
        </w:tc>
        <w:tc>
          <w:tcPr>
            <w:tcW w:w="2" w:type="dxa"/>
          </w:tcPr>
          <w:p w14:paraId="189ADD07">
            <w:r>
              <w:rPr>
                <w:rFonts w:ascii="Arial" w:hAnsi="Arial" w:eastAsia="Arial" w:cs="Arial"/>
                <w:b w:val="0"/>
                <w:sz w:val="16"/>
              </w:rPr>
              <w:t>283 (17,8%)</w:t>
            </w:r>
          </w:p>
        </w:tc>
        <w:tc>
          <w:tcPr>
            <w:tcW w:w="2" w:type="dxa"/>
          </w:tcPr>
          <w:p w14:paraId="386F678D">
            <w:r>
              <w:rPr>
                <w:rFonts w:ascii="Arial" w:hAnsi="Arial" w:eastAsia="Arial" w:cs="Arial"/>
                <w:b w:val="0"/>
                <w:sz w:val="16"/>
              </w:rPr>
              <w:t>1.303 (82,2%)</w:t>
            </w:r>
          </w:p>
        </w:tc>
        <w:tc>
          <w:tcPr>
            <w:tcW w:w="2" w:type="dxa"/>
          </w:tcPr>
          <w:p w14:paraId="63F28650">
            <w:r>
              <w:rPr>
                <w:rFonts w:ascii="Arial" w:hAnsi="Arial" w:eastAsia="Arial" w:cs="Arial"/>
                <w:b w:val="0"/>
                <w:sz w:val="16"/>
              </w:rPr>
              <w:t>1,49%</w:t>
            </w:r>
          </w:p>
        </w:tc>
        <w:tc>
          <w:tcPr>
            <w:tcW w:w="2" w:type="dxa"/>
          </w:tcPr>
          <w:p w14:paraId="086C4CE4">
            <w:r>
              <w:rPr>
                <w:rFonts w:ascii="Arial" w:hAnsi="Arial" w:eastAsia="Arial" w:cs="Arial"/>
                <w:b w:val="0"/>
                <w:sz w:val="16"/>
              </w:rPr>
              <w:t>1,04%</w:t>
            </w:r>
          </w:p>
        </w:tc>
        <w:tc>
          <w:tcPr>
            <w:tcW w:w="2" w:type="dxa"/>
          </w:tcPr>
          <w:p w14:paraId="086C4CE4">
            <w:r>
              <w:rPr>
                <w:rFonts w:ascii="Arial" w:hAnsi="Arial" w:eastAsia="Arial" w:cs="Arial"/>
                <w:b w:val="0"/>
                <w:sz w:val="16"/>
              </w:rPr>
              <w:t>0,45***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Sala de leitura</w:t>
            </w:r>
          </w:p>
        </w:tc>
        <w:tc>
          <w:tcPr>
            <w:tcW w:w="2" w:type="dxa"/>
          </w:tcPr>
          <w:p w14:paraId="189ADD07">
            <w:r>
              <w:rPr>
                <w:rFonts w:ascii="Arial" w:hAnsi="Arial" w:eastAsia="Arial" w:cs="Arial"/>
                <w:b w:val="0"/>
                <w:sz w:val="16"/>
              </w:rPr>
              <w:t>244 (15,4%)</w:t>
            </w:r>
          </w:p>
        </w:tc>
        <w:tc>
          <w:tcPr>
            <w:tcW w:w="2" w:type="dxa"/>
          </w:tcPr>
          <w:p w14:paraId="386F678D">
            <w:r>
              <w:rPr>
                <w:rFonts w:ascii="Arial" w:hAnsi="Arial" w:eastAsia="Arial" w:cs="Arial"/>
                <w:b w:val="0"/>
                <w:sz w:val="16"/>
              </w:rPr>
              <w:t>1.342 (84,6%)</w:t>
            </w:r>
          </w:p>
        </w:tc>
        <w:tc>
          <w:tcPr>
            <w:tcW w:w="2" w:type="dxa"/>
          </w:tcPr>
          <w:p w14:paraId="63F28650">
            <w:r>
              <w:rPr>
                <w:rFonts w:ascii="Arial" w:hAnsi="Arial" w:eastAsia="Arial" w:cs="Arial"/>
                <w:b w:val="0"/>
                <w:sz w:val="16"/>
              </w:rPr>
              <w:t>1,38%</w:t>
            </w:r>
          </w:p>
        </w:tc>
        <w:tc>
          <w:tcPr>
            <w:tcW w:w="2" w:type="dxa"/>
          </w:tcPr>
          <w:p w14:paraId="086C4CE4">
            <w:r>
              <w:rPr>
                <w:rFonts w:ascii="Arial" w:hAnsi="Arial" w:eastAsia="Arial" w:cs="Arial"/>
                <w:b w:val="0"/>
                <w:sz w:val="16"/>
              </w:rPr>
              <w:t>1,07%</w:t>
            </w:r>
          </w:p>
        </w:tc>
        <w:tc>
          <w:tcPr>
            <w:tcW w:w="2" w:type="dxa"/>
          </w:tcPr>
          <w:p w14:paraId="086C4CE4">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679240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14"/>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19767"/>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w:t>
      </w:r>
      <w:bookmarkStart w:id="60" w:name="_GoBack"/>
      <w:bookmarkEnd w:id="60"/>
      <w:r>
        <w:rPr>
          <w:rFonts w:ascii="Arial" w:hAnsi="Arial" w:eastAsia="Arial" w:cs="Arial"/>
          <w:b w:val="0"/>
          <w:sz w:val="20"/>
        </w:rPr>
        <w:t>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21670"/>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bookmarkStart w:id="43" w:name="_Toc14481"/>
      <w:r>
        <w:rPr>
          <w:rFonts w:ascii="Arial" w:hAnsi="Arial" w:eastAsia="Arial" w:cs="Arial"/>
          <w:b w:val="0"/>
        </w:rPr>
        <w:t>Desempenho do Sistema</w:t>
      </w:r>
      <w:bookmarkEnd w:id="43"/>
    </w:p>
    <w:p w14:paraId="4805032B">
      <w:pPr>
        <w:pStyle w:val="5"/>
        <w:numPr>
          <w:ilvl w:val="2"/>
          <w:numId w:val="1"/>
        </w:numPr>
      </w:pPr>
      <w:bookmarkStart w:id="44" w:name="_Toc22236"/>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13253"/>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29661"/>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29838"/>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8002"/>
      <w:r>
        <w:rPr>
          <w:rFonts w:ascii="Arial" w:hAnsi="Arial" w:eastAsia="Arial" w:cs="Arial"/>
          <w:b w:val="0"/>
        </w:rPr>
        <w:t>Explicação das Indicações</w:t>
      </w:r>
      <w:bookmarkEnd w:id="48"/>
    </w:p>
    <w:p w14:paraId="4564E80B">
      <w:pPr>
        <w:pStyle w:val="5"/>
        <w:numPr>
          <w:ilvl w:val="2"/>
          <w:numId w:val="1"/>
        </w:numPr>
      </w:pPr>
      <w:bookmarkStart w:id="49" w:name="_Toc2496"/>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30633"/>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7730"/>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2405"/>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9217"/>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22158"/>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13001"/>
      <w:r>
        <w:rPr>
          <w:rFonts w:ascii="Arial" w:hAnsi="Arial" w:eastAsia="Arial" w:cs="Arial"/>
          <w:b w:val="0"/>
        </w:rPr>
        <w:t>Conclusões e Trabalhos Futuros</w:t>
      </w:r>
      <w:bookmarkEnd w:id="55"/>
    </w:p>
    <w:p w14:paraId="2B49EC9B">
      <w:pPr>
        <w:pStyle w:val="4"/>
        <w:numPr>
          <w:ilvl w:val="1"/>
          <w:numId w:val="1"/>
        </w:numPr>
      </w:pPr>
      <w:bookmarkStart w:id="56" w:name="_Toc12329"/>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30918"/>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14312"/>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24070"/>
      <w:r>
        <w:rPr>
          <w:rFonts w:ascii="Arial" w:hAnsi="Arial" w:eastAsia="Arial" w:cs="Arial"/>
          <w:b w:val="0"/>
        </w:rPr>
        <w:t>Apêndice A – Relação das 39 características usadas pelo sistema</w:t>
      </w:r>
      <w:bookmarkEnd w:id="59"/>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75C8B2ED">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40EF343-197B-45B6-B361-BCE55AC5B2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40B32B-B1B5-4624-8EC8-D8C76B847455}"/>
  </w:font>
  <w:font w:name="Wingdings">
    <w:panose1 w:val="05000000000000000000"/>
    <w:charset w:val="02"/>
    <w:family w:val="auto"/>
    <w:pitch w:val="default"/>
    <w:sig w:usb0="00000000" w:usb1="00000000" w:usb2="00000000" w:usb3="00000000" w:csb0="80000000" w:csb1="00000000"/>
    <w:embedRegular r:id="rId3" w:fontKey="{155A3641-1C11-4F6E-9C79-9591741368BE}"/>
  </w:font>
  <w:font w:name="Calibri">
    <w:panose1 w:val="020F0502020204030204"/>
    <w:charset w:val="00"/>
    <w:family w:val="swiss"/>
    <w:pitch w:val="default"/>
    <w:sig w:usb0="E4002EFF" w:usb1="C200247B" w:usb2="00000009" w:usb3="00000000" w:csb0="200001FF" w:csb1="00000000"/>
    <w:embedRegular r:id="rId4" w:fontKey="{81CC51A1-0070-4A2E-95E7-23C1E33B6AE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8D26270-2126-4C30-984A-F76C9708CF71}"/>
  </w:font>
  <w:font w:name="Georgia">
    <w:panose1 w:val="02040502050405020303"/>
    <w:charset w:val="00"/>
    <w:family w:val="roman"/>
    <w:pitch w:val="default"/>
    <w:sig w:usb0="00000287" w:usb1="00000000" w:usb2="00000000" w:usb3="00000000" w:csb0="2000009F" w:csb1="00000000"/>
    <w:embedRegular r:id="rId6" w:fontKey="{11C39046-433B-4F6E-8021-780C8F63F89F}"/>
  </w:font>
  <w:font w:name="Liberation Sans">
    <w:panose1 w:val="020B0604020202020204"/>
    <w:charset w:val="00"/>
    <w:family w:val="swiss"/>
    <w:pitch w:val="default"/>
    <w:sig w:usb0="E0000AFF" w:usb1="500078FF" w:usb2="00000021" w:usb3="00000000" w:csb0="600001BF" w:csb1="DFF70000"/>
    <w:embedRegular r:id="rId7" w:fontKey="{60BFDB73-92A5-4DAC-8C56-85B42AD5EF1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56</Pages>
  <Words>9961</Words>
  <Characters>54488</Characters>
  <Paragraphs>463</Paragraphs>
  <TotalTime>83</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2026-07-21T22:49:25Z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