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8B377">
      <w:pPr>
        <w:ind w:firstLine="0"/>
        <w:jc w:val="center"/>
        <w:rPr>
          <w:rFonts w:cs="Arial"/>
          <w:bCs/>
          <w:color w:val="auto"/>
          <w:szCs w:val="24"/>
          <w:lang w:eastAsia="pt-BR"/>
        </w:rPr>
      </w:pPr>
      <w:bookmarkStart w:id="0" w:name="_Toc47640896"/>
      <w:r>
        <w:rPr>
          <w:rFonts w:cs="Arial"/>
          <w:bCs/>
          <w:color w:val="auto"/>
          <w:szCs w:val="24"/>
          <w:lang w:eastAsia="pt-BR"/>
        </w:rPr>
        <w:drawing>
          <wp:anchor distT="0" distB="0" distL="114300" distR="114300" simplePos="0" relativeHeight="251660288" behindDoc="1" locked="0" layoutInCell="1" allowOverlap="1">
            <wp:simplePos x="0" y="0"/>
            <wp:positionH relativeFrom="margin">
              <wp:posOffset>2350770</wp:posOffset>
            </wp:positionH>
            <wp:positionV relativeFrom="paragraph">
              <wp:posOffset>-633095</wp:posOffset>
            </wp:positionV>
            <wp:extent cx="613410" cy="979170"/>
            <wp:effectExtent l="0" t="0" r="0" b="0"/>
            <wp:wrapNone/>
            <wp:docPr id="4" name="Imagem 4" descr="Diagrama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Diagrama  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3410" cy="979170"/>
                    </a:xfrm>
                    <a:prstGeom prst="rect">
                      <a:avLst/>
                    </a:prstGeom>
                  </pic:spPr>
                </pic:pic>
              </a:graphicData>
            </a:graphic>
          </wp:anchor>
        </w:drawing>
      </w:r>
    </w:p>
    <w:p w14:paraId="2593ADCD">
      <w:pPr>
        <w:ind w:firstLine="0"/>
        <w:jc w:val="center"/>
        <w:rPr>
          <w:rFonts w:cs="Arial"/>
          <w:bCs/>
          <w:color w:val="auto"/>
          <w:szCs w:val="24"/>
          <w:lang w:eastAsia="pt-BR"/>
        </w:rPr>
      </w:pPr>
    </w:p>
    <w:p w14:paraId="26D1415A">
      <w:pPr>
        <w:ind w:firstLine="0"/>
        <w:jc w:val="center"/>
        <w:rPr>
          <w:rFonts w:cs="Arial"/>
          <w:b/>
          <w:color w:val="auto"/>
          <w:sz w:val="32"/>
          <w:szCs w:val="32"/>
          <w:lang w:eastAsia="pt-BR"/>
        </w:rPr>
      </w:pPr>
      <w:r>
        <w:rPr>
          <w:rFonts w:cs="Arial"/>
          <w:b/>
          <w:color w:val="auto"/>
          <w:sz w:val="32"/>
          <w:szCs w:val="32"/>
          <w:lang w:eastAsia="pt-BR"/>
        </w:rPr>
        <w:t xml:space="preserve">Pontifícia Universidade Católica de São Paulo </w:t>
      </w:r>
    </w:p>
    <w:p w14:paraId="51191374">
      <w:pPr>
        <w:ind w:firstLine="0"/>
        <w:jc w:val="center"/>
        <w:rPr>
          <w:rFonts w:cs="Arial"/>
          <w:b/>
          <w:color w:val="auto"/>
          <w:sz w:val="28"/>
          <w:szCs w:val="28"/>
          <w:lang w:eastAsia="pt-BR"/>
        </w:rPr>
      </w:pPr>
      <w:r>
        <w:rPr>
          <w:rFonts w:cs="Arial"/>
          <w:b/>
          <w:color w:val="auto"/>
          <w:sz w:val="28"/>
          <w:szCs w:val="28"/>
          <w:lang w:eastAsia="pt-BR"/>
        </w:rPr>
        <w:t>Especialização em Engenharia de Software</w:t>
      </w:r>
    </w:p>
    <w:p w14:paraId="282CAB91">
      <w:pPr>
        <w:ind w:firstLine="0"/>
        <w:jc w:val="center"/>
        <w:rPr>
          <w:rFonts w:cs="Arial"/>
          <w:b/>
          <w:color w:val="auto"/>
          <w:szCs w:val="24"/>
          <w:lang w:eastAsia="pt-BR"/>
        </w:rPr>
      </w:pPr>
    </w:p>
    <w:p w14:paraId="4A0C1A83">
      <w:pPr>
        <w:ind w:firstLine="0"/>
        <w:jc w:val="center"/>
        <w:rPr>
          <w:rFonts w:cs="Arial"/>
          <w:b/>
          <w:color w:val="auto"/>
          <w:szCs w:val="24"/>
          <w:lang w:eastAsia="pt-BR"/>
        </w:rPr>
      </w:pPr>
    </w:p>
    <w:p w14:paraId="4D61F778">
      <w:pPr>
        <w:ind w:firstLine="0"/>
        <w:jc w:val="center"/>
        <w:rPr>
          <w:rFonts w:cs="Arial"/>
          <w:b/>
          <w:color w:val="auto"/>
          <w:szCs w:val="24"/>
          <w:lang w:eastAsia="pt-BR"/>
        </w:rPr>
      </w:pPr>
    </w:p>
    <w:p w14:paraId="67EF9B96">
      <w:pPr>
        <w:ind w:firstLine="0"/>
        <w:jc w:val="center"/>
        <w:rPr>
          <w:rFonts w:cs="Arial"/>
          <w:b/>
          <w:color w:val="auto"/>
          <w:szCs w:val="24"/>
          <w:lang w:eastAsia="pt-BR"/>
        </w:rPr>
      </w:pPr>
    </w:p>
    <w:p w14:paraId="39BC0F7B">
      <w:pPr>
        <w:ind w:firstLine="0"/>
        <w:jc w:val="center"/>
        <w:rPr>
          <w:rFonts w:cs="Arial"/>
          <w:bCs/>
          <w:color w:val="auto"/>
          <w:szCs w:val="24"/>
          <w:lang w:eastAsia="pt-BR"/>
        </w:rPr>
      </w:pPr>
    </w:p>
    <w:p w14:paraId="7672FAA7">
      <w:pPr>
        <w:ind w:firstLine="0"/>
        <w:jc w:val="center"/>
        <w:rPr>
          <w:rFonts w:cs="Arial"/>
          <w:bCs/>
          <w:color w:val="auto"/>
          <w:szCs w:val="24"/>
          <w:lang w:eastAsia="pt-BR"/>
        </w:rPr>
      </w:pPr>
    </w:p>
    <w:p w14:paraId="6E30C9EB">
      <w:pPr>
        <w:ind w:firstLine="0"/>
        <w:jc w:val="center"/>
        <w:rPr>
          <w:rFonts w:cs="Arial"/>
          <w:bCs/>
          <w:color w:val="auto"/>
          <w:szCs w:val="24"/>
          <w:lang w:eastAsia="pt-BR"/>
        </w:rPr>
      </w:pPr>
      <w:r>
        <w:rPr>
          <w:rFonts w:cs="Arial"/>
          <w:bCs/>
          <w:color w:val="auto"/>
          <w:szCs w:val="24"/>
          <w:lang w:eastAsia="pt-BR"/>
        </w:rPr>
        <w:t>Nome do Autor</w:t>
      </w:r>
    </w:p>
    <w:p w14:paraId="3A520C8E">
      <w:pPr>
        <w:ind w:firstLine="0"/>
        <w:jc w:val="center"/>
        <w:rPr>
          <w:rFonts w:cs="Arial"/>
          <w:bCs/>
          <w:color w:val="auto"/>
          <w:szCs w:val="24"/>
          <w:lang w:eastAsia="pt-BR"/>
        </w:rPr>
      </w:pPr>
    </w:p>
    <w:p w14:paraId="78B88703">
      <w:pPr>
        <w:ind w:firstLine="0"/>
        <w:jc w:val="center"/>
        <w:rPr>
          <w:rFonts w:cs="Arial"/>
          <w:bCs/>
          <w:color w:val="auto"/>
          <w:szCs w:val="24"/>
          <w:lang w:eastAsia="pt-BR"/>
        </w:rPr>
      </w:pPr>
    </w:p>
    <w:p w14:paraId="0B6C7D88">
      <w:pPr>
        <w:ind w:firstLine="0"/>
        <w:jc w:val="center"/>
        <w:rPr>
          <w:rFonts w:cs="Arial"/>
          <w:bCs/>
          <w:color w:val="auto"/>
          <w:szCs w:val="24"/>
          <w:lang w:eastAsia="pt-BR"/>
        </w:rPr>
      </w:pPr>
    </w:p>
    <w:p w14:paraId="306052C5">
      <w:pPr>
        <w:ind w:firstLine="0"/>
        <w:jc w:val="center"/>
        <w:rPr>
          <w:rFonts w:cs="Arial"/>
          <w:bCs/>
          <w:color w:val="auto"/>
          <w:szCs w:val="24"/>
          <w:lang w:eastAsia="pt-BR"/>
        </w:rPr>
      </w:pPr>
    </w:p>
    <w:p w14:paraId="2BD0729D">
      <w:pPr>
        <w:ind w:firstLine="0"/>
        <w:jc w:val="center"/>
        <w:rPr>
          <w:rFonts w:cs="Arial"/>
          <w:bCs/>
          <w:color w:val="auto"/>
          <w:szCs w:val="24"/>
          <w:lang w:eastAsia="pt-BR"/>
        </w:rPr>
      </w:pPr>
    </w:p>
    <w:p w14:paraId="76C9B06C">
      <w:pPr>
        <w:ind w:firstLine="0"/>
        <w:jc w:val="center"/>
        <w:rPr>
          <w:rFonts w:cs="Arial"/>
          <w:bCs/>
          <w:color w:val="auto"/>
          <w:szCs w:val="24"/>
          <w:lang w:eastAsia="pt-BR"/>
        </w:rPr>
      </w:pPr>
    </w:p>
    <w:p w14:paraId="368BA20E">
      <w:pPr>
        <w:ind w:firstLine="0"/>
        <w:jc w:val="center"/>
        <w:rPr>
          <w:rFonts w:cs="Arial"/>
          <w:bCs/>
          <w:color w:val="auto"/>
          <w:szCs w:val="24"/>
          <w:lang w:eastAsia="pt-BR"/>
        </w:rPr>
      </w:pPr>
    </w:p>
    <w:p w14:paraId="328212B3">
      <w:pPr>
        <w:ind w:firstLine="0"/>
        <w:jc w:val="center"/>
        <w:rPr>
          <w:rFonts w:cs="Arial"/>
          <w:color w:val="auto"/>
          <w:szCs w:val="24"/>
        </w:rPr>
      </w:pPr>
      <w:r>
        <w:rPr>
          <w:rFonts w:cs="Arial"/>
          <w:bCs/>
          <w:color w:val="auto"/>
          <w:szCs w:val="24"/>
        </w:rPr>
        <w:t>Título do trabalho:</w:t>
      </w:r>
      <w:r>
        <w:rPr>
          <w:rFonts w:cs="Arial"/>
          <w:color w:val="auto"/>
          <w:szCs w:val="24"/>
        </w:rPr>
        <w:t xml:space="preserve"> subtítulo</w:t>
      </w:r>
    </w:p>
    <w:p w14:paraId="4314336B">
      <w:pPr>
        <w:ind w:firstLine="0"/>
        <w:jc w:val="center"/>
        <w:rPr>
          <w:rFonts w:cs="Arial"/>
          <w:b/>
          <w:color w:val="auto"/>
          <w:szCs w:val="24"/>
          <w:lang w:eastAsia="pt-BR"/>
        </w:rPr>
      </w:pPr>
    </w:p>
    <w:p w14:paraId="79057A44">
      <w:pPr>
        <w:ind w:firstLine="0"/>
        <w:jc w:val="center"/>
        <w:rPr>
          <w:rFonts w:cs="Arial"/>
          <w:b/>
          <w:color w:val="auto"/>
          <w:szCs w:val="24"/>
          <w:lang w:eastAsia="pt-BR"/>
        </w:rPr>
      </w:pPr>
    </w:p>
    <w:p w14:paraId="3C4B40C1">
      <w:pPr>
        <w:ind w:firstLine="0"/>
        <w:jc w:val="center"/>
        <w:rPr>
          <w:rFonts w:cs="Arial"/>
          <w:b/>
          <w:color w:val="auto"/>
          <w:szCs w:val="24"/>
          <w:lang w:eastAsia="pt-BR"/>
        </w:rPr>
      </w:pPr>
    </w:p>
    <w:p w14:paraId="64282CDF">
      <w:pPr>
        <w:ind w:firstLine="0"/>
        <w:jc w:val="center"/>
        <w:rPr>
          <w:rFonts w:cs="Arial"/>
          <w:bCs/>
          <w:color w:val="auto"/>
          <w:szCs w:val="24"/>
          <w:lang w:eastAsia="pt-BR"/>
        </w:rPr>
      </w:pPr>
    </w:p>
    <w:p w14:paraId="744E4CD6">
      <w:pPr>
        <w:ind w:firstLine="0"/>
        <w:jc w:val="center"/>
        <w:rPr>
          <w:rFonts w:cs="Arial"/>
          <w:b/>
          <w:color w:val="auto"/>
          <w:sz w:val="32"/>
          <w:szCs w:val="32"/>
          <w:lang w:eastAsia="pt-BR"/>
        </w:rPr>
      </w:pPr>
    </w:p>
    <w:p w14:paraId="7AE6A82C">
      <w:pPr>
        <w:ind w:firstLine="0"/>
        <w:jc w:val="center"/>
        <w:rPr>
          <w:rFonts w:cs="Arial"/>
          <w:bCs/>
          <w:color w:val="auto"/>
          <w:szCs w:val="24"/>
          <w:lang w:eastAsia="pt-BR"/>
        </w:rPr>
      </w:pPr>
    </w:p>
    <w:p w14:paraId="6F7276F0">
      <w:pPr>
        <w:ind w:firstLine="0"/>
        <w:jc w:val="center"/>
        <w:rPr>
          <w:rFonts w:cs="Arial"/>
          <w:bCs/>
          <w:color w:val="auto"/>
          <w:szCs w:val="24"/>
          <w:lang w:eastAsia="pt-BR"/>
        </w:rPr>
      </w:pPr>
    </w:p>
    <w:p w14:paraId="7DCE98B1">
      <w:pPr>
        <w:ind w:firstLine="0"/>
        <w:jc w:val="center"/>
        <w:rPr>
          <w:rFonts w:cs="Arial"/>
          <w:bCs/>
          <w:color w:val="auto"/>
          <w:szCs w:val="24"/>
          <w:lang w:eastAsia="pt-BR"/>
        </w:rPr>
      </w:pPr>
    </w:p>
    <w:p w14:paraId="79C4B01D">
      <w:pPr>
        <w:ind w:firstLine="0"/>
        <w:jc w:val="center"/>
        <w:rPr>
          <w:rFonts w:cs="Arial"/>
          <w:bCs/>
          <w:color w:val="auto"/>
          <w:szCs w:val="24"/>
          <w:lang w:eastAsia="pt-BR"/>
        </w:rPr>
      </w:pPr>
    </w:p>
    <w:p w14:paraId="09A54572">
      <w:pPr>
        <w:pStyle w:val="55"/>
        <w:rPr>
          <w:b w:val="0"/>
          <w:bCs/>
          <w:color w:val="auto"/>
        </w:rPr>
      </w:pPr>
    </w:p>
    <w:p w14:paraId="2465D219">
      <w:pPr>
        <w:ind w:firstLine="0"/>
        <w:jc w:val="center"/>
        <w:rPr>
          <w:rFonts w:cs="Arial"/>
          <w:bCs/>
          <w:color w:val="auto"/>
          <w:szCs w:val="24"/>
          <w:lang w:eastAsia="pt-BR"/>
        </w:rPr>
      </w:pPr>
    </w:p>
    <w:p w14:paraId="542AF042">
      <w:pPr>
        <w:ind w:firstLine="0"/>
        <w:jc w:val="center"/>
        <w:rPr>
          <w:rFonts w:cs="Arial"/>
          <w:bCs/>
          <w:color w:val="auto"/>
          <w:szCs w:val="24"/>
          <w:lang w:eastAsia="pt-BR"/>
        </w:rPr>
      </w:pPr>
    </w:p>
    <w:p w14:paraId="0E50080B">
      <w:pPr>
        <w:ind w:firstLine="0"/>
        <w:jc w:val="center"/>
        <w:rPr>
          <w:rFonts w:cs="Arial"/>
          <w:bCs/>
          <w:color w:val="auto"/>
          <w:szCs w:val="24"/>
          <w:lang w:eastAsia="pt-BR"/>
        </w:rPr>
      </w:pPr>
      <w:r>
        <w:rPr>
          <w:rFonts w:cs="Arial"/>
          <w:bCs/>
          <w:color w:val="auto"/>
          <w:szCs w:val="24"/>
          <w:lang w:eastAsia="pt-BR"/>
        </w:rPr>
        <w:t>São Paulo</w:t>
      </w:r>
    </w:p>
    <w:p w14:paraId="2F514F56">
      <w:pPr>
        <w:ind w:firstLine="0"/>
        <w:jc w:val="center"/>
        <w:rPr>
          <w:rFonts w:cs="Arial"/>
          <w:b/>
          <w:color w:val="auto"/>
          <w:szCs w:val="24"/>
          <w:lang w:eastAsia="pt-BR"/>
        </w:rPr>
      </w:pPr>
      <w:r>
        <w:rPr>
          <w:rFonts w:cs="Arial"/>
          <w:bCs/>
          <w:color w:val="auto"/>
          <w:szCs w:val="24"/>
          <w:lang w:eastAsia="pt-BR"/>
        </w:rPr>
        <w:t>2021</w:t>
      </w:r>
      <w:r>
        <w:rPr>
          <w:rFonts w:cs="Arial"/>
          <w:b/>
          <w:color w:val="auto"/>
          <w:szCs w:val="24"/>
          <w:lang w:eastAsia="pt-BR"/>
        </w:rPr>
        <w:br w:type="page"/>
      </w:r>
    </w:p>
    <w:p w14:paraId="42CB007A">
      <w:pPr>
        <w:pStyle w:val="55"/>
        <w:rPr>
          <w:b w:val="0"/>
          <w:bCs/>
          <w:color w:val="auto"/>
        </w:rPr>
      </w:pPr>
      <w:r>
        <w:rPr>
          <w:b w:val="0"/>
          <w:bCs/>
          <w:caps w:val="0"/>
          <w:color w:val="auto"/>
        </w:rPr>
        <w:t>Nome do Autor</w:t>
      </w:r>
    </w:p>
    <w:p w14:paraId="00DE14C0">
      <w:pPr>
        <w:pStyle w:val="55"/>
        <w:rPr>
          <w:color w:val="auto"/>
        </w:rPr>
      </w:pPr>
    </w:p>
    <w:p w14:paraId="62CEC7B7">
      <w:pPr>
        <w:pStyle w:val="55"/>
        <w:rPr>
          <w:color w:val="auto"/>
        </w:rPr>
      </w:pPr>
    </w:p>
    <w:p w14:paraId="31D099A4">
      <w:pPr>
        <w:pStyle w:val="55"/>
        <w:rPr>
          <w:color w:val="auto"/>
        </w:rPr>
      </w:pPr>
    </w:p>
    <w:p w14:paraId="2AA2E592">
      <w:pPr>
        <w:pStyle w:val="55"/>
        <w:rPr>
          <w:color w:val="auto"/>
        </w:rPr>
      </w:pPr>
    </w:p>
    <w:p w14:paraId="464DE655">
      <w:pPr>
        <w:pStyle w:val="55"/>
        <w:rPr>
          <w:color w:val="auto"/>
        </w:rPr>
      </w:pPr>
    </w:p>
    <w:p w14:paraId="358A31FB">
      <w:pPr>
        <w:pStyle w:val="55"/>
        <w:rPr>
          <w:color w:val="auto"/>
        </w:rPr>
      </w:pPr>
    </w:p>
    <w:p w14:paraId="11AC41A1">
      <w:pPr>
        <w:pStyle w:val="55"/>
        <w:rPr>
          <w:color w:val="auto"/>
        </w:rPr>
      </w:pPr>
    </w:p>
    <w:p w14:paraId="10EE568D">
      <w:pPr>
        <w:pStyle w:val="55"/>
        <w:rPr>
          <w:color w:val="auto"/>
        </w:rPr>
      </w:pPr>
    </w:p>
    <w:p w14:paraId="0BEF2533">
      <w:pPr>
        <w:pStyle w:val="55"/>
        <w:rPr>
          <w:color w:val="auto"/>
        </w:rPr>
      </w:pPr>
    </w:p>
    <w:p w14:paraId="3317393B">
      <w:pPr>
        <w:pStyle w:val="55"/>
        <w:rPr>
          <w:color w:val="auto"/>
        </w:rPr>
      </w:pPr>
    </w:p>
    <w:p w14:paraId="1CFB55CA">
      <w:pPr>
        <w:pStyle w:val="55"/>
        <w:rPr>
          <w:color w:val="auto"/>
        </w:rPr>
      </w:pPr>
    </w:p>
    <w:p w14:paraId="669A6DEC">
      <w:pPr>
        <w:pStyle w:val="55"/>
        <w:rPr>
          <w:color w:val="auto"/>
        </w:rPr>
      </w:pPr>
    </w:p>
    <w:p w14:paraId="7116F98D">
      <w:pPr>
        <w:pStyle w:val="55"/>
        <w:rPr>
          <w:color w:val="auto"/>
        </w:rPr>
      </w:pPr>
    </w:p>
    <w:p w14:paraId="41E264AA">
      <w:pPr>
        <w:ind w:firstLine="0"/>
        <w:jc w:val="center"/>
        <w:rPr>
          <w:rFonts w:cs="Arial"/>
          <w:bCs/>
          <w:color w:val="auto"/>
          <w:szCs w:val="24"/>
          <w:lang w:eastAsia="pt-BR"/>
        </w:rPr>
      </w:pPr>
      <w:r>
        <w:rPr>
          <w:rFonts w:cs="Arial"/>
          <w:bCs/>
          <w:color w:val="auto"/>
          <w:szCs w:val="24"/>
          <w:lang w:eastAsia="pt-BR"/>
        </w:rPr>
        <w:t>Título do trabalho: subtítulo</w:t>
      </w:r>
    </w:p>
    <w:p w14:paraId="0D19FE70">
      <w:pPr>
        <w:pStyle w:val="55"/>
        <w:rPr>
          <w:color w:val="auto"/>
        </w:rPr>
      </w:pPr>
    </w:p>
    <w:p w14:paraId="3942C28A">
      <w:pPr>
        <w:pStyle w:val="55"/>
        <w:rPr>
          <w:color w:val="auto"/>
        </w:rPr>
      </w:pPr>
    </w:p>
    <w:p w14:paraId="512DF648">
      <w:pPr>
        <w:pStyle w:val="55"/>
        <w:rPr>
          <w:color w:val="auto"/>
        </w:rPr>
      </w:pPr>
    </w:p>
    <w:p w14:paraId="0A8AB37F">
      <w:pPr>
        <w:pStyle w:val="56"/>
        <w:rPr>
          <w:color w:val="auto"/>
        </w:rPr>
      </w:pPr>
      <w:r>
        <w:rPr>
          <w:color w:val="auto"/>
        </w:rPr>
        <w:t>Trabalho de Conclusão de Curso apresentado à banca examinadora da Pontifícia Universidade Católica de São Paulo, como exigência parcial para obtenção do título de Especialista em Engenharia de Software, sob a orientação do(a) prof.(a), dr.(a) - (</w:t>
      </w:r>
      <w:r>
        <w:rPr>
          <w:b/>
          <w:bCs/>
          <w:color w:val="auto"/>
        </w:rPr>
        <w:t>nome do completo do(a) orientador(a)</w:t>
      </w:r>
      <w:r>
        <w:rPr>
          <w:color w:val="auto"/>
        </w:rPr>
        <w:t>).</w:t>
      </w:r>
    </w:p>
    <w:p w14:paraId="03BA6FAD">
      <w:pPr>
        <w:pStyle w:val="55"/>
        <w:rPr>
          <w:color w:val="auto"/>
        </w:rPr>
      </w:pPr>
    </w:p>
    <w:p w14:paraId="6FEFC1BE">
      <w:pPr>
        <w:pStyle w:val="55"/>
        <w:rPr>
          <w:color w:val="auto"/>
        </w:rPr>
      </w:pPr>
    </w:p>
    <w:p w14:paraId="5B97B5CA">
      <w:pPr>
        <w:pStyle w:val="55"/>
        <w:rPr>
          <w:color w:val="auto"/>
        </w:rPr>
      </w:pPr>
    </w:p>
    <w:p w14:paraId="5BE88511">
      <w:pPr>
        <w:pStyle w:val="55"/>
        <w:rPr>
          <w:color w:val="auto"/>
        </w:rPr>
      </w:pPr>
    </w:p>
    <w:p w14:paraId="0245BE83">
      <w:pPr>
        <w:pStyle w:val="55"/>
        <w:rPr>
          <w:color w:val="auto"/>
        </w:rPr>
      </w:pPr>
    </w:p>
    <w:p w14:paraId="48AA5931">
      <w:pPr>
        <w:pStyle w:val="55"/>
        <w:rPr>
          <w:color w:val="auto"/>
        </w:rPr>
      </w:pPr>
    </w:p>
    <w:p w14:paraId="4A2C9015">
      <w:pPr>
        <w:pStyle w:val="55"/>
        <w:rPr>
          <w:color w:val="auto"/>
        </w:rPr>
      </w:pPr>
    </w:p>
    <w:p w14:paraId="2AA059F6">
      <w:pPr>
        <w:pStyle w:val="55"/>
        <w:rPr>
          <w:color w:val="auto"/>
        </w:rPr>
      </w:pPr>
    </w:p>
    <w:p w14:paraId="64A7EE28">
      <w:pPr>
        <w:pStyle w:val="55"/>
        <w:rPr>
          <w:b w:val="0"/>
          <w:bCs/>
          <w:color w:val="auto"/>
        </w:rPr>
      </w:pPr>
      <w:r>
        <w:rPr>
          <w:b w:val="0"/>
          <w:bCs/>
          <w:caps w:val="0"/>
          <w:color w:val="auto"/>
        </w:rPr>
        <w:t>São Paulo</w:t>
      </w:r>
    </w:p>
    <w:p w14:paraId="196872CA">
      <w:pPr>
        <w:pStyle w:val="55"/>
        <w:rPr>
          <w:color w:val="auto"/>
        </w:rPr>
      </w:pPr>
      <w:r>
        <w:rPr>
          <w:b w:val="0"/>
          <w:bCs/>
          <w:caps w:val="0"/>
          <w:color w:val="auto"/>
        </w:rPr>
        <w:t>2021</w:t>
      </w:r>
      <w:r>
        <w:rPr>
          <w:color w:val="auto"/>
        </w:rPr>
        <w:br w:type="page"/>
      </w:r>
    </w:p>
    <w:p w14:paraId="4E5138A7">
      <w:pPr>
        <w:spacing w:line="259" w:lineRule="auto"/>
        <w:jc w:val="left"/>
        <w:rPr>
          <w:rFonts w:cs="Arial"/>
          <w:bCs/>
          <w:color w:val="auto"/>
          <w:szCs w:val="24"/>
        </w:rPr>
      </w:pPr>
      <w:r>
        <w:rPr>
          <w:rFonts w:cs="Arial"/>
          <w:b/>
          <w:color w:val="auto"/>
          <w:szCs w:val="24"/>
        </w:rP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-213360</wp:posOffset>
                </wp:positionV>
                <wp:extent cx="5734050" cy="1600200"/>
                <wp:effectExtent l="0" t="0" r="19050" b="19050"/>
                <wp:wrapNone/>
                <wp:docPr id="2" name="Retângulo 2"/>
                <wp:cNvGraphicFramePr/>
                <a:graphic xmlns:a="http://schemas.openxmlformats.org/drawingml/2006/main">
                  <a:graphicData uri="http://schemas.microsoft.com/office/word/2010/wordprocessingShape">
                    <wps:wsp>
                      <wps:cNvSpPr/>
                      <wps:spPr>
                        <a:xfrm>
                          <a:off x="0" y="0"/>
                          <a:ext cx="5734050" cy="1600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pt;margin-top:-16.8pt;height:126pt;width:451.5pt;z-index:251659264;v-text-anchor:middle;mso-width-relative:page;mso-height-relative:page;" filled="f" stroked="t" coordsize="21600,21600" o:gfxdata="UEsDBAoAAAAAAIdO4kAAAAAAAAAAAAAAAAAEAAAAZHJzL1BLAwQUAAAACACHTuJAqKXhYtkAAAAJ AQAADwAAAGRycy9kb3ducmV2LnhtbE2PwU7DMBBE70j8g7VI3Fo7TRu1aZwegjggkBCFCzc3dpNA vI5sJyl/z3Kix9kZzbwtDhfbs8n40DmUkCwFMIO10x02Ej7eHxdbYCEq1Kp3aCT8mACH8vamULl2 M76Z6RgbRiUYciWhjXHIOQ91a6wKSzcYJO/svFWRpG+49mqmctvzlRAZt6pDWmjVYKrW1N/H0Ur4 3Hzx166a1fjy9PC8mbwT1dpJeX+XiD2waC7xPwx/+IQOJTGd3Ig6sF5CuqOghEWaZsDI34mMLicJ q2S7Bl4W/PqD8hdQSwMEFAAAAAgAh07iQGUwgtFjAgAA0AQAAA4AAABkcnMvZTJvRG9jLnhtbK1U y27bMBC8F+g/ELw3kl3nUSFyYMRIUSBogqZFzzRFSQT4KklbTj+nv9Ify5BSEjftIYf6QO9yl7Pc 4azOL/ZakZ3wQVpT09lRSYkw3DbSdDX99vXq3RklITLTMGWNqOm9CPRi+fbN+eAqMbe9VY3wBCAm VIOraR+jq4oi8F5oFo6sEwbB1nrNIlzfFY1nA9C1KuZleVIM1jfOWy5CwO56DNIJ0b8G0Lat5GJt +VYLE0dULxSLaCn00gW6zLdtW8HjTdsGEYmqKTqNeUUR2Ju0FstzVnWeuV7y6QrsNVd40ZNm0qDo E9SaRUa2Xv4FpSX3Ntg2HnGri7GRzAi6mJUvuLnrmRO5F1Ad3BPp4f/B8s+7W09kU9M5JYZpPPgX EX//Mt1WWTJP/AwuVEi7c7d+8gLM1Oy+9Tr9ow2yz5zeP3Eq9pFwbB6fvl+Ux6CbIzY7KUtoIKEW z8edD/GjsJoko6Yej5a5ZLvrEMfUx5RUzdgrqRT2WaUMGYA6PwUm4QxqbKECmNqho2A6SpjqIHMe fYYMVskmHU+ng+82l8qTHUviyL/pZn+kpdprFvoxL4dSGqu0jJgEJXVNzw5PK4P2EmsjT8na2OYe PHs7CjA4fiUBe81CvGUeisP9MZPxBkurLJqyk0VJb/3Pf+2nfAgBUUoGKBgN/9gyLyhRnwwk8mG2 WAA2ZmdxfDqH4w8jm8OI2epLCx5mmH7Hs5nyo3o0W2/1d4zuKlVFiBmO2iO1k3MZx8nC8HOxWuU0 yNyxeG3uHE/g4wOuttG2Mr/tMzsTaRB6Vsc0lGmSDv2c9fwhWj4AUEsDBAoAAAAAAIdO4kAAAAAA AAAAAAAAAAAGAAAAX3JlbHMvUEsDBBQAAAAIAIdO4kCKFGY80QAAAJQBAAALAAAAX3JlbHMvLnJl bHOlkMFqwzAMhu+DvYPRfXGawxijTi+j0GvpHsDYimMaW0Yy2fr28w6DZfS2o36h7xP//vCZFrUi S6RsYNf1oDA78jEHA++X49MLKKk2e7tQRgM3FDiMjw/7My62tiOZYxHVKFkMzLWWV63FzZisdFQw t81EnGxtIwddrLvagHro+2fNvxkwbpjq5A3wyQ+gLrfSzH/YKTomoal2jpKmaYruHlUHtmWO7sg2 4Ru5RrMcsBrwLBoHalnXfgR9X7/7p97TRz7jutV+h4zrj1dvuhy/AFBLAwQUAAAACACHTuJAfubl IPcAAADhAQAAEwAAAFtDb250ZW50X1R5cGVzXS54bWyVkUFOwzAQRfdI3MHyFiVOu0AIJemCtEtA qBxgZE8Si2RseUxob4+TthtEkVjaM/+/J7vcHMZBTBjYOqrkKi+kQNLOWOoq+b7fZQ9ScAQyMDjC Sh6R5aa+vSn3R48sUpq4kn2M/lEp1j2OwLnzSGnSujBCTMfQKQ/6AzpU66K4V9pRRIpZnDtkXTbY wucQxfaQrk8mAQeW4um0OLMqCd4PVkNMpmoi84OSnQl5Si473FvPd0lDql8J8+Q64Jx7SU8TrEHx CiE+w5g0lAmsjPuigFP+d8lsOXLm2tZqzJvATYq94XSxutaOa9c4/d/y7ZK6dKvlg+pvUEsBAhQA FAAAAAgAh07iQH7m5SD3AAAA4QEAABMAAAAAAAAAAQAgAAAA1QQAAFtDb250ZW50X1R5cGVzXS54 bWxQSwECFAAKAAAAAACHTuJAAAAAAAAAAAAAAAAABgAAAAAAAAAAABAAAAC3AwAAX3JlbHMvUEsB AhQAFAAAAAgAh07iQIoUZjzRAAAAlAEAAAsAAAAAAAAAAQAgAAAA2wMAAF9yZWxzLy5yZWxzUEsB AhQACgAAAAAAh07iQAAAAAAAAAAAAAAAAAQAAAAAAAAAAAAQAAAAAAAAAGRycy9QSwECFAAUAAAA CACHTuJAqKXhYtkAAAAJAQAADwAAAAAAAAABACAAAAAiAAAAZHJzL2Rvd25yZXYueG1sUEsBAhQA FAAAAAgAh07iQGUwgtFjAgAA0AQAAA4AAAAAAAAAAQAgAAAAKAEAAGRycy9lMm9Eb2MueG1sUEsF BgAAAAAGAAYAWQEAAP0FAAAAAA== ">
                <v:fill on="f" focussize="0,0"/>
                <v:stroke weight="1pt" color="#000000 [3213]" miterlimit="8" joinstyle="miter"/>
                <v:imagedata o:title=""/>
                <o:lock v:ext="edit" aspectratio="f"/>
              </v:rect>
            </w:pict>
          </mc:Fallback>
        </mc:AlternateContent>
      </w:r>
      <w:r>
        <w:rPr>
          <w:rFonts w:cs="Arial"/>
          <w:bCs/>
          <w:color w:val="auto"/>
          <w:szCs w:val="24"/>
        </w:rPr>
        <w:t xml:space="preserve">Gerenciador de ficha catalográfica: </w:t>
      </w:r>
    </w:p>
    <w:p w14:paraId="0DAD0E5B">
      <w:pPr>
        <w:spacing w:line="259" w:lineRule="auto"/>
        <w:ind w:left="284" w:firstLine="0"/>
        <w:jc w:val="left"/>
        <w:rPr>
          <w:rFonts w:cs="Arial"/>
          <w:bCs/>
          <w:szCs w:val="24"/>
        </w:rPr>
      </w:pPr>
    </w:p>
    <w:p w14:paraId="01FC45BE">
      <w:pPr>
        <w:spacing w:line="259" w:lineRule="auto"/>
        <w:ind w:left="284" w:firstLine="0"/>
        <w:jc w:val="left"/>
        <w:rPr>
          <w:rFonts w:cs="Arial"/>
          <w:bCs/>
          <w:color w:val="auto"/>
          <w:szCs w:val="24"/>
        </w:rPr>
      </w:pPr>
      <w:r>
        <w:fldChar w:fldCharType="begin"/>
        <w:instrText xml:space="preserve"> HYPERLINK "http://biblio2.pucsp.br/ficha/?_ga=2.154384056.1415767632.1628681585-1429258994.1628681585" </w:instrText>
        <w:fldChar w:fldCharType="separate"/>
      </w:r>
      <w:r>
        <w:rPr>
          <w:rStyle w:val="17"/>
          <w:rFonts w:cs="Arial"/>
          <w:bCs/>
          <w:szCs w:val="24"/>
        </w:rPr>
        <w:t>http://biblio2.pucsp.br/ficha/?_ga=2.154384056.1415767632.1628681585-1429258994.1628681585</w:t>
        <w:fldChar w:fldCharType="end"/>
      </w:r>
    </w:p>
    <w:p w14:paraId="7E82C628">
      <w:pPr>
        <w:spacing w:line="259" w:lineRule="auto"/>
        <w:jc w:val="left"/>
        <w:rPr>
          <w:rFonts w:cs="Arial"/>
          <w:bCs/>
          <w:color w:val="auto"/>
          <w:szCs w:val="24"/>
        </w:rPr>
      </w:pPr>
    </w:p>
    <w:p w14:paraId="64662D45">
      <w:pPr>
        <w:spacing w:line="259" w:lineRule="auto"/>
        <w:jc w:val="left"/>
        <w:rPr>
          <w:rFonts w:cs="Arial"/>
          <w:b/>
          <w:color w:val="auto"/>
          <w:szCs w:val="24"/>
        </w:rPr>
      </w:pPr>
      <w:r>
        <w:rPr>
          <w:rFonts w:cs="Arial"/>
          <w:b/>
          <w:color w:val="auto"/>
          <w:szCs w:val="24"/>
        </w:rPr>
        <w:t>Obs. Após inserir a ficha deletar este texto</w:t>
      </w:r>
    </w:p>
    <w:p w14:paraId="1C753528">
      <w:pPr>
        <w:spacing w:line="259" w:lineRule="auto"/>
        <w:jc w:val="left"/>
        <w:rPr>
          <w:rFonts w:cs="Arial"/>
          <w:b/>
          <w:color w:val="auto"/>
          <w:szCs w:val="24"/>
        </w:rPr>
      </w:pPr>
    </w:p>
    <w:p w14:paraId="460C2E83">
      <w:pPr>
        <w:spacing w:line="259" w:lineRule="auto"/>
        <w:jc w:val="left"/>
        <w:rPr>
          <w:rFonts w:cs="Arial"/>
          <w:b/>
          <w:color w:val="auto"/>
          <w:szCs w:val="24"/>
        </w:rPr>
      </w:pPr>
    </w:p>
    <w:p w14:paraId="5C61430A">
      <w:pPr>
        <w:spacing w:line="259" w:lineRule="auto"/>
        <w:jc w:val="left"/>
        <w:rPr>
          <w:rFonts w:cs="Arial"/>
          <w:b/>
          <w:color w:val="auto"/>
          <w:szCs w:val="24"/>
        </w:rPr>
      </w:pPr>
    </w:p>
    <w:p w14:paraId="1A55B33F">
      <w:pPr>
        <w:spacing w:line="259" w:lineRule="auto"/>
        <w:jc w:val="left"/>
        <w:rPr>
          <w:rFonts w:cs="Arial"/>
          <w:b/>
          <w:color w:val="auto"/>
          <w:szCs w:val="24"/>
        </w:rPr>
      </w:pPr>
    </w:p>
    <w:p w14:paraId="64CA3ED8">
      <w:pPr>
        <w:spacing w:line="259" w:lineRule="auto"/>
        <w:jc w:val="left"/>
        <w:rPr>
          <w:rFonts w:cs="Arial"/>
          <w:b/>
          <w:color w:val="auto"/>
          <w:szCs w:val="24"/>
        </w:rPr>
      </w:pPr>
    </w:p>
    <w:p w14:paraId="3DD9BED5">
      <w:pPr>
        <w:spacing w:line="259" w:lineRule="auto"/>
        <w:jc w:val="left"/>
        <w:rPr>
          <w:rFonts w:cs="Arial"/>
          <w:b/>
          <w:color w:val="auto"/>
          <w:szCs w:val="24"/>
        </w:rPr>
      </w:pPr>
    </w:p>
    <w:p w14:paraId="657ACD77">
      <w:pPr>
        <w:spacing w:line="259" w:lineRule="auto"/>
        <w:jc w:val="left"/>
        <w:rPr>
          <w:rFonts w:cs="Arial"/>
          <w:b/>
          <w:color w:val="auto"/>
          <w:szCs w:val="24"/>
        </w:rPr>
      </w:pPr>
    </w:p>
    <w:p w14:paraId="33293123">
      <w:pPr>
        <w:spacing w:line="259" w:lineRule="auto"/>
        <w:jc w:val="left"/>
        <w:rPr>
          <w:rFonts w:cs="Arial"/>
          <w:b/>
          <w:color w:val="auto"/>
          <w:szCs w:val="24"/>
        </w:rPr>
      </w:pPr>
      <w:r>
        <w:rPr>
          <w:rFonts w:cs="Arial"/>
          <w:b/>
          <w:color w:val="auto"/>
          <w:szCs w:val="24"/>
        </w:rPr>
        <w:br w:type="page"/>
      </w:r>
    </w:p>
    <w:p w14:paraId="786525FC">
      <w:pPr>
        <w:pStyle w:val="56"/>
        <w:rPr>
          <w:color w:val="auto"/>
        </w:rPr>
      </w:pPr>
    </w:p>
    <w:p w14:paraId="2F655BFD">
      <w:pPr>
        <w:pStyle w:val="56"/>
        <w:rPr>
          <w:color w:val="auto"/>
        </w:rPr>
      </w:pPr>
    </w:p>
    <w:p w14:paraId="756F7FFF">
      <w:pPr>
        <w:pStyle w:val="56"/>
        <w:rPr>
          <w:color w:val="auto"/>
        </w:rPr>
      </w:pPr>
    </w:p>
    <w:p w14:paraId="5BFCCB94">
      <w:pPr>
        <w:pStyle w:val="56"/>
        <w:rPr>
          <w:color w:val="auto"/>
        </w:rPr>
      </w:pPr>
    </w:p>
    <w:p w14:paraId="559D8C2E">
      <w:pPr>
        <w:pStyle w:val="56"/>
        <w:rPr>
          <w:color w:val="auto"/>
        </w:rPr>
      </w:pPr>
    </w:p>
    <w:p w14:paraId="5FD55F42">
      <w:pPr>
        <w:pStyle w:val="56"/>
        <w:rPr>
          <w:color w:val="auto"/>
        </w:rPr>
      </w:pPr>
    </w:p>
    <w:p w14:paraId="7D57935B">
      <w:pPr>
        <w:pStyle w:val="56"/>
        <w:rPr>
          <w:color w:val="auto"/>
        </w:rPr>
      </w:pPr>
    </w:p>
    <w:p w14:paraId="25C9A377">
      <w:pPr>
        <w:pStyle w:val="56"/>
        <w:rPr>
          <w:color w:val="auto"/>
        </w:rPr>
      </w:pPr>
    </w:p>
    <w:p w14:paraId="276FC261">
      <w:pPr>
        <w:pStyle w:val="56"/>
        <w:rPr>
          <w:color w:val="auto"/>
        </w:rPr>
      </w:pPr>
    </w:p>
    <w:p w14:paraId="3852A09B">
      <w:pPr>
        <w:pStyle w:val="56"/>
        <w:rPr>
          <w:color w:val="auto"/>
        </w:rPr>
      </w:pPr>
    </w:p>
    <w:p w14:paraId="6BC3805C">
      <w:pPr>
        <w:pStyle w:val="56"/>
        <w:rPr>
          <w:color w:val="auto"/>
        </w:rPr>
      </w:pPr>
    </w:p>
    <w:p w14:paraId="602B2B7E">
      <w:pPr>
        <w:pStyle w:val="56"/>
        <w:rPr>
          <w:color w:val="auto"/>
        </w:rPr>
      </w:pPr>
    </w:p>
    <w:p w14:paraId="77AA90BC">
      <w:pPr>
        <w:pStyle w:val="55"/>
        <w:rPr>
          <w:color w:val="auto"/>
        </w:rPr>
      </w:pPr>
    </w:p>
    <w:p w14:paraId="4275352A">
      <w:pPr>
        <w:pStyle w:val="55"/>
        <w:rPr>
          <w:color w:val="auto"/>
        </w:rPr>
      </w:pPr>
    </w:p>
    <w:p w14:paraId="0A1D9996">
      <w:pPr>
        <w:pStyle w:val="55"/>
        <w:rPr>
          <w:color w:val="auto"/>
        </w:rPr>
      </w:pPr>
    </w:p>
    <w:p w14:paraId="20134A34">
      <w:pPr>
        <w:pStyle w:val="55"/>
        <w:rPr>
          <w:color w:val="auto"/>
        </w:rPr>
      </w:pPr>
    </w:p>
    <w:p w14:paraId="1ECE4A69">
      <w:pPr>
        <w:pStyle w:val="55"/>
        <w:rPr>
          <w:color w:val="auto"/>
        </w:rPr>
      </w:pPr>
    </w:p>
    <w:p w14:paraId="60564961">
      <w:pPr>
        <w:pStyle w:val="55"/>
        <w:rPr>
          <w:color w:val="auto"/>
        </w:rPr>
      </w:pPr>
    </w:p>
    <w:p w14:paraId="560AF9E6">
      <w:pPr>
        <w:pStyle w:val="55"/>
        <w:rPr>
          <w:color w:val="auto"/>
        </w:rPr>
      </w:pPr>
    </w:p>
    <w:p w14:paraId="71F594A7">
      <w:pPr>
        <w:pStyle w:val="55"/>
        <w:rPr>
          <w:color w:val="auto"/>
        </w:rPr>
      </w:pPr>
    </w:p>
    <w:p w14:paraId="4EAD3924">
      <w:pPr>
        <w:pStyle w:val="55"/>
        <w:rPr>
          <w:color w:val="auto"/>
        </w:rPr>
      </w:pPr>
    </w:p>
    <w:p w14:paraId="3B27CCF5">
      <w:pPr>
        <w:pStyle w:val="55"/>
        <w:jc w:val="right"/>
        <w:rPr>
          <w:b w:val="0"/>
          <w:bCs/>
          <w:caps w:val="0"/>
          <w:color w:val="auto"/>
        </w:rPr>
      </w:pPr>
      <w:r>
        <w:rPr>
          <w:b w:val="0"/>
          <w:bCs/>
          <w:caps w:val="0"/>
          <w:color w:val="auto"/>
        </w:rPr>
        <w:t>Banca Examinadora</w:t>
      </w:r>
    </w:p>
    <w:p w14:paraId="1CD9601D">
      <w:pPr>
        <w:pStyle w:val="55"/>
        <w:jc w:val="right"/>
        <w:rPr>
          <w:b w:val="0"/>
          <w:bCs/>
          <w:caps w:val="0"/>
          <w:color w:val="auto"/>
        </w:rPr>
      </w:pPr>
    </w:p>
    <w:p w14:paraId="3DFCD972">
      <w:pPr>
        <w:pStyle w:val="55"/>
        <w:jc w:val="right"/>
        <w:rPr>
          <w:b w:val="0"/>
          <w:bCs/>
          <w:color w:val="auto"/>
        </w:rPr>
      </w:pPr>
      <w:r>
        <w:rPr>
          <w:b w:val="0"/>
          <w:bCs/>
          <w:caps w:val="0"/>
          <w:color w:val="auto"/>
        </w:rPr>
        <w:t>_________________________________</w:t>
      </w:r>
    </w:p>
    <w:p w14:paraId="7DC7D306">
      <w:pPr>
        <w:pStyle w:val="55"/>
        <w:rPr>
          <w:color w:val="auto"/>
        </w:rPr>
      </w:pPr>
    </w:p>
    <w:p w14:paraId="172464D3">
      <w:pPr>
        <w:pStyle w:val="55"/>
        <w:jc w:val="right"/>
        <w:rPr>
          <w:b w:val="0"/>
          <w:bCs/>
          <w:color w:val="auto"/>
        </w:rPr>
      </w:pPr>
      <w:r>
        <w:rPr>
          <w:b w:val="0"/>
          <w:bCs/>
          <w:caps w:val="0"/>
          <w:color w:val="auto"/>
        </w:rPr>
        <w:t>_________________________________</w:t>
      </w:r>
    </w:p>
    <w:p w14:paraId="36D374FC">
      <w:pPr>
        <w:pStyle w:val="55"/>
        <w:rPr>
          <w:color w:val="auto"/>
        </w:rPr>
      </w:pPr>
    </w:p>
    <w:p w14:paraId="70080A9A">
      <w:pPr>
        <w:pStyle w:val="55"/>
        <w:jc w:val="right"/>
        <w:rPr>
          <w:b w:val="0"/>
          <w:bCs/>
          <w:color w:val="auto"/>
        </w:rPr>
      </w:pPr>
      <w:r>
        <w:rPr>
          <w:b w:val="0"/>
          <w:bCs/>
          <w:caps w:val="0"/>
          <w:color w:val="auto"/>
        </w:rPr>
        <w:t>_________________________________</w:t>
      </w:r>
    </w:p>
    <w:p w14:paraId="361F763E">
      <w:pPr>
        <w:pStyle w:val="55"/>
        <w:rPr>
          <w:color w:val="auto"/>
        </w:rPr>
      </w:pPr>
    </w:p>
    <w:p w14:paraId="019F65CD">
      <w:pPr>
        <w:pStyle w:val="55"/>
        <w:jc w:val="right"/>
        <w:rPr>
          <w:b w:val="0"/>
          <w:bCs/>
          <w:color w:val="auto"/>
        </w:rPr>
      </w:pPr>
      <w:r>
        <w:rPr>
          <w:b w:val="0"/>
          <w:bCs/>
          <w:caps w:val="0"/>
          <w:color w:val="auto"/>
        </w:rPr>
        <w:t>_________________________________</w:t>
      </w:r>
    </w:p>
    <w:p w14:paraId="2C8190DE">
      <w:pPr>
        <w:pStyle w:val="55"/>
        <w:rPr>
          <w:color w:val="auto"/>
        </w:rPr>
      </w:pPr>
    </w:p>
    <w:p w14:paraId="5B0EBFFC">
      <w:pPr>
        <w:pStyle w:val="55"/>
        <w:jc w:val="right"/>
        <w:rPr>
          <w:b w:val="0"/>
          <w:bCs/>
          <w:color w:val="auto"/>
        </w:rPr>
      </w:pPr>
      <w:r>
        <w:rPr>
          <w:b w:val="0"/>
          <w:bCs/>
          <w:caps w:val="0"/>
          <w:color w:val="auto"/>
        </w:rPr>
        <w:t>_________________________________</w:t>
      </w:r>
    </w:p>
    <w:p w14:paraId="61908579">
      <w:pPr>
        <w:pStyle w:val="58"/>
        <w:rPr>
          <w:color w:val="auto"/>
        </w:rPr>
      </w:pPr>
      <w:r>
        <w:rPr>
          <w:color w:val="auto"/>
        </w:rPr>
        <w:br w:type="page"/>
      </w:r>
    </w:p>
    <w:p w14:paraId="3E500C4E">
      <w:pPr>
        <w:pStyle w:val="58"/>
        <w:ind w:left="4536"/>
        <w:jc w:val="both"/>
        <w:rPr>
          <w:color w:val="auto"/>
        </w:rPr>
      </w:pPr>
    </w:p>
    <w:p w14:paraId="0F3AF487">
      <w:pPr>
        <w:pStyle w:val="58"/>
        <w:ind w:left="4536"/>
        <w:jc w:val="both"/>
        <w:rPr>
          <w:color w:val="auto"/>
        </w:rPr>
      </w:pPr>
    </w:p>
    <w:p w14:paraId="5F015F32">
      <w:pPr>
        <w:pStyle w:val="58"/>
        <w:ind w:left="4536"/>
        <w:jc w:val="both"/>
        <w:rPr>
          <w:color w:val="auto"/>
        </w:rPr>
      </w:pPr>
    </w:p>
    <w:p w14:paraId="76329EF1">
      <w:pPr>
        <w:pStyle w:val="58"/>
        <w:ind w:left="4536"/>
        <w:jc w:val="both"/>
        <w:rPr>
          <w:color w:val="auto"/>
        </w:rPr>
      </w:pPr>
    </w:p>
    <w:p w14:paraId="52E7698D">
      <w:pPr>
        <w:pStyle w:val="58"/>
        <w:ind w:left="4536"/>
        <w:jc w:val="both"/>
        <w:rPr>
          <w:color w:val="auto"/>
        </w:rPr>
      </w:pPr>
    </w:p>
    <w:p w14:paraId="4AEDDFD1">
      <w:pPr>
        <w:pStyle w:val="58"/>
        <w:ind w:left="4536"/>
        <w:jc w:val="both"/>
        <w:rPr>
          <w:color w:val="auto"/>
        </w:rPr>
      </w:pPr>
    </w:p>
    <w:p w14:paraId="5DE4B104">
      <w:pPr>
        <w:pStyle w:val="58"/>
        <w:ind w:left="4536"/>
        <w:jc w:val="both"/>
        <w:rPr>
          <w:color w:val="auto"/>
        </w:rPr>
      </w:pPr>
    </w:p>
    <w:p w14:paraId="111437B3">
      <w:pPr>
        <w:pStyle w:val="58"/>
        <w:ind w:left="4536"/>
        <w:jc w:val="both"/>
        <w:rPr>
          <w:color w:val="auto"/>
        </w:rPr>
      </w:pPr>
    </w:p>
    <w:p w14:paraId="35895BA6">
      <w:pPr>
        <w:pStyle w:val="58"/>
        <w:ind w:left="4536"/>
        <w:jc w:val="both"/>
        <w:rPr>
          <w:color w:val="auto"/>
        </w:rPr>
      </w:pPr>
    </w:p>
    <w:p w14:paraId="642BA77D">
      <w:pPr>
        <w:pStyle w:val="58"/>
        <w:ind w:left="4536"/>
        <w:jc w:val="both"/>
        <w:rPr>
          <w:color w:val="auto"/>
        </w:rPr>
      </w:pPr>
    </w:p>
    <w:p w14:paraId="1F726699">
      <w:pPr>
        <w:pStyle w:val="58"/>
        <w:ind w:left="4536"/>
        <w:jc w:val="both"/>
        <w:rPr>
          <w:color w:val="auto"/>
        </w:rPr>
      </w:pPr>
    </w:p>
    <w:p w14:paraId="01572081">
      <w:pPr>
        <w:pStyle w:val="58"/>
        <w:ind w:left="4536"/>
        <w:jc w:val="both"/>
        <w:rPr>
          <w:color w:val="auto"/>
        </w:rPr>
      </w:pPr>
    </w:p>
    <w:p w14:paraId="76D83B91">
      <w:pPr>
        <w:pStyle w:val="58"/>
        <w:ind w:left="4536"/>
        <w:jc w:val="both"/>
        <w:rPr>
          <w:color w:val="auto"/>
        </w:rPr>
      </w:pPr>
    </w:p>
    <w:p w14:paraId="12DFE2F4">
      <w:pPr>
        <w:pStyle w:val="58"/>
        <w:ind w:left="4536"/>
        <w:jc w:val="both"/>
        <w:rPr>
          <w:color w:val="auto"/>
        </w:rPr>
      </w:pPr>
    </w:p>
    <w:p w14:paraId="05C595AB">
      <w:pPr>
        <w:pStyle w:val="58"/>
        <w:ind w:left="4536"/>
        <w:jc w:val="both"/>
        <w:rPr>
          <w:color w:val="auto"/>
        </w:rPr>
      </w:pPr>
    </w:p>
    <w:p w14:paraId="3BE0B39B">
      <w:pPr>
        <w:pStyle w:val="58"/>
        <w:ind w:left="4536"/>
        <w:jc w:val="both"/>
        <w:rPr>
          <w:color w:val="auto"/>
        </w:rPr>
      </w:pPr>
    </w:p>
    <w:p w14:paraId="46AAF320">
      <w:pPr>
        <w:pStyle w:val="58"/>
        <w:ind w:left="4536"/>
        <w:jc w:val="both"/>
        <w:rPr>
          <w:color w:val="auto"/>
        </w:rPr>
      </w:pPr>
    </w:p>
    <w:p w14:paraId="0AEAE255">
      <w:pPr>
        <w:pStyle w:val="58"/>
        <w:ind w:left="4536"/>
        <w:jc w:val="both"/>
        <w:rPr>
          <w:color w:val="auto"/>
        </w:rPr>
      </w:pPr>
    </w:p>
    <w:p w14:paraId="53C4B0A7">
      <w:pPr>
        <w:pStyle w:val="58"/>
        <w:ind w:left="4536"/>
        <w:jc w:val="both"/>
        <w:rPr>
          <w:color w:val="auto"/>
        </w:rPr>
      </w:pPr>
    </w:p>
    <w:p w14:paraId="622AA0C7">
      <w:pPr>
        <w:pStyle w:val="58"/>
        <w:ind w:left="4536"/>
        <w:jc w:val="both"/>
        <w:rPr>
          <w:color w:val="auto"/>
        </w:rPr>
      </w:pPr>
    </w:p>
    <w:p w14:paraId="3BE8780F">
      <w:pPr>
        <w:pStyle w:val="58"/>
        <w:ind w:left="4536"/>
        <w:jc w:val="both"/>
        <w:rPr>
          <w:color w:val="auto"/>
        </w:rPr>
      </w:pPr>
    </w:p>
    <w:p w14:paraId="5BE19E29">
      <w:pPr>
        <w:pStyle w:val="58"/>
        <w:ind w:left="4536"/>
        <w:jc w:val="both"/>
        <w:rPr>
          <w:color w:val="auto"/>
        </w:rPr>
      </w:pPr>
    </w:p>
    <w:p w14:paraId="5EB02260">
      <w:pPr>
        <w:pStyle w:val="58"/>
        <w:ind w:left="4536"/>
        <w:jc w:val="both"/>
        <w:rPr>
          <w:color w:val="auto"/>
        </w:rPr>
      </w:pPr>
    </w:p>
    <w:p w14:paraId="41001DA2">
      <w:pPr>
        <w:pStyle w:val="58"/>
        <w:ind w:left="4536"/>
        <w:jc w:val="both"/>
        <w:rPr>
          <w:color w:val="auto"/>
        </w:rPr>
      </w:pPr>
    </w:p>
    <w:p w14:paraId="39CD1507">
      <w:pPr>
        <w:pStyle w:val="58"/>
        <w:ind w:left="4536"/>
        <w:jc w:val="both"/>
        <w:rPr>
          <w:color w:val="auto"/>
        </w:rPr>
      </w:pPr>
    </w:p>
    <w:p w14:paraId="74A48E57">
      <w:pPr>
        <w:pStyle w:val="58"/>
        <w:ind w:left="4536"/>
        <w:jc w:val="both"/>
        <w:rPr>
          <w:color w:val="auto"/>
        </w:rPr>
      </w:pPr>
    </w:p>
    <w:p w14:paraId="53516D58">
      <w:pPr>
        <w:pStyle w:val="58"/>
        <w:ind w:left="4536"/>
        <w:jc w:val="both"/>
        <w:rPr>
          <w:color w:val="auto"/>
        </w:rPr>
      </w:pPr>
    </w:p>
    <w:p w14:paraId="2DFF7E1F">
      <w:pPr>
        <w:pStyle w:val="58"/>
        <w:ind w:left="4536"/>
        <w:jc w:val="both"/>
        <w:rPr>
          <w:color w:val="auto"/>
        </w:rPr>
      </w:pPr>
    </w:p>
    <w:p w14:paraId="3F18E847">
      <w:pPr>
        <w:pStyle w:val="58"/>
        <w:ind w:left="4536"/>
        <w:jc w:val="both"/>
        <w:rPr>
          <w:color w:val="auto"/>
        </w:rPr>
      </w:pPr>
    </w:p>
    <w:p w14:paraId="7106C5EE">
      <w:pPr>
        <w:pStyle w:val="58"/>
        <w:ind w:left="4536"/>
        <w:jc w:val="both"/>
        <w:rPr>
          <w:rFonts w:cs="Arial"/>
          <w:b/>
          <w:color w:val="auto"/>
          <w:szCs w:val="24"/>
        </w:rPr>
      </w:pPr>
      <w:r>
        <w:rPr>
          <w:color w:val="auto"/>
        </w:rPr>
        <w:t>À comunidade da Pontifícia Universidade Católica de São Paulo pelo apoio permanente.</w:t>
      </w:r>
    </w:p>
    <w:p w14:paraId="2BE4342C">
      <w:pPr>
        <w:pStyle w:val="58"/>
        <w:ind w:left="4536"/>
        <w:jc w:val="both"/>
        <w:rPr>
          <w:color w:val="auto"/>
        </w:rPr>
      </w:pPr>
    </w:p>
    <w:p w14:paraId="6CB2476F">
      <w:pPr>
        <w:pStyle w:val="58"/>
        <w:ind w:left="4536"/>
        <w:jc w:val="both"/>
        <w:rPr>
          <w:rFonts w:cs="Arial"/>
          <w:b/>
          <w:color w:val="auto"/>
          <w:szCs w:val="24"/>
        </w:rPr>
      </w:pPr>
      <w:r>
        <w:rPr>
          <w:color w:val="auto"/>
        </w:rPr>
        <w:br w:type="page"/>
      </w:r>
    </w:p>
    <w:p w14:paraId="26245E72">
      <w:pPr>
        <w:pStyle w:val="47"/>
        <w:rPr>
          <w:color w:val="auto"/>
        </w:rPr>
      </w:pPr>
      <w:r>
        <w:rPr>
          <w:color w:val="auto"/>
        </w:rPr>
        <w:t>AGRADECIMENTOS</w:t>
      </w:r>
    </w:p>
    <w:p w14:paraId="49D44BAF">
      <w:pPr>
        <w:rPr>
          <w:color w:val="auto"/>
        </w:rPr>
      </w:pPr>
    </w:p>
    <w:p w14:paraId="5932704A">
      <w:pPr>
        <w:rPr>
          <w:color w:val="auto"/>
        </w:rPr>
      </w:pPr>
      <w:r>
        <w:rPr>
          <w:color w:val="auto"/>
        </w:rPr>
        <w:t>Agradeço ao meu orientador............................................................................... .......................................................................................................................................................................................................................</w:t>
      </w:r>
    </w:p>
    <w:p w14:paraId="54EA34B5">
      <w:pPr>
        <w:rPr>
          <w:color w:val="auto"/>
        </w:rPr>
      </w:pPr>
      <w:r>
        <w:rPr>
          <w:color w:val="auto"/>
        </w:rPr>
        <w:t>A todos os meus professores............................................................................. ........................................................................................................................................................................................................................</w:t>
      </w:r>
    </w:p>
    <w:p w14:paraId="2FDD3447">
      <w:pPr>
        <w:rPr>
          <w:color w:val="auto"/>
        </w:rPr>
      </w:pPr>
      <w:r>
        <w:rPr>
          <w:color w:val="auto"/>
        </w:rPr>
        <w:t>Aos meus pais.................................................................................................... ........................................................................................................................................................................................................................</w:t>
      </w:r>
    </w:p>
    <w:p w14:paraId="29CA15A7">
      <w:pPr>
        <w:rPr>
          <w:color w:val="auto"/>
        </w:rPr>
      </w:pPr>
      <w:r>
        <w:rPr>
          <w:color w:val="auto"/>
        </w:rPr>
        <w:t>........................................................................................................................................................................................................................</w:t>
      </w:r>
    </w:p>
    <w:p w14:paraId="70685987">
      <w:pPr>
        <w:rPr>
          <w:rFonts w:cs="Arial"/>
          <w:b/>
          <w:color w:val="auto"/>
          <w:szCs w:val="24"/>
        </w:rPr>
      </w:pPr>
      <w:r>
        <w:rPr>
          <w:rFonts w:cs="Arial"/>
          <w:b/>
          <w:color w:val="auto"/>
          <w:szCs w:val="24"/>
        </w:rPr>
        <w:br w:type="page"/>
      </w:r>
    </w:p>
    <w:p w14:paraId="446023CF">
      <w:pPr>
        <w:pStyle w:val="59"/>
        <w:rPr>
          <w:color w:val="auto"/>
        </w:rPr>
      </w:pPr>
    </w:p>
    <w:p w14:paraId="41FADFDC">
      <w:pPr>
        <w:pStyle w:val="59"/>
        <w:rPr>
          <w:color w:val="auto"/>
        </w:rPr>
      </w:pPr>
    </w:p>
    <w:p w14:paraId="2BEFDFD8">
      <w:pPr>
        <w:pStyle w:val="59"/>
        <w:rPr>
          <w:color w:val="auto"/>
        </w:rPr>
      </w:pPr>
    </w:p>
    <w:p w14:paraId="2542C03D">
      <w:pPr>
        <w:pStyle w:val="59"/>
        <w:rPr>
          <w:color w:val="auto"/>
        </w:rPr>
      </w:pPr>
    </w:p>
    <w:p w14:paraId="7E851C11">
      <w:pPr>
        <w:pStyle w:val="59"/>
        <w:rPr>
          <w:color w:val="auto"/>
        </w:rPr>
      </w:pPr>
    </w:p>
    <w:p w14:paraId="3CA74AC8">
      <w:pPr>
        <w:pStyle w:val="59"/>
        <w:rPr>
          <w:color w:val="auto"/>
        </w:rPr>
      </w:pPr>
    </w:p>
    <w:p w14:paraId="2B766214">
      <w:pPr>
        <w:pStyle w:val="59"/>
        <w:rPr>
          <w:color w:val="auto"/>
        </w:rPr>
      </w:pPr>
    </w:p>
    <w:p w14:paraId="6BA98342">
      <w:pPr>
        <w:pStyle w:val="59"/>
        <w:rPr>
          <w:color w:val="auto"/>
        </w:rPr>
      </w:pPr>
    </w:p>
    <w:p w14:paraId="407C02F2">
      <w:pPr>
        <w:pStyle w:val="59"/>
        <w:rPr>
          <w:color w:val="auto"/>
        </w:rPr>
      </w:pPr>
    </w:p>
    <w:p w14:paraId="71358F28">
      <w:pPr>
        <w:pStyle w:val="59"/>
        <w:rPr>
          <w:color w:val="auto"/>
        </w:rPr>
      </w:pPr>
    </w:p>
    <w:p w14:paraId="5EF0E73C">
      <w:pPr>
        <w:pStyle w:val="59"/>
        <w:rPr>
          <w:color w:val="auto"/>
        </w:rPr>
      </w:pPr>
    </w:p>
    <w:p w14:paraId="720FF1F5">
      <w:pPr>
        <w:pStyle w:val="59"/>
        <w:rPr>
          <w:color w:val="auto"/>
        </w:rPr>
      </w:pPr>
    </w:p>
    <w:p w14:paraId="7DC2ADF6">
      <w:pPr>
        <w:pStyle w:val="59"/>
        <w:rPr>
          <w:color w:val="auto"/>
        </w:rPr>
      </w:pPr>
    </w:p>
    <w:p w14:paraId="6FBA58AD">
      <w:pPr>
        <w:pStyle w:val="59"/>
        <w:rPr>
          <w:color w:val="auto"/>
        </w:rPr>
      </w:pPr>
    </w:p>
    <w:p w14:paraId="2F6C464D">
      <w:pPr>
        <w:pStyle w:val="59"/>
        <w:rPr>
          <w:color w:val="auto"/>
        </w:rPr>
      </w:pPr>
    </w:p>
    <w:p w14:paraId="768D9430">
      <w:pPr>
        <w:pStyle w:val="59"/>
        <w:rPr>
          <w:color w:val="auto"/>
        </w:rPr>
      </w:pPr>
    </w:p>
    <w:p w14:paraId="79ACB50C">
      <w:pPr>
        <w:pStyle w:val="59"/>
        <w:rPr>
          <w:color w:val="auto"/>
        </w:rPr>
      </w:pPr>
    </w:p>
    <w:p w14:paraId="354DD2EC">
      <w:pPr>
        <w:pStyle w:val="59"/>
        <w:rPr>
          <w:color w:val="auto"/>
        </w:rPr>
      </w:pPr>
    </w:p>
    <w:p w14:paraId="1EBE440B">
      <w:pPr>
        <w:pStyle w:val="59"/>
        <w:rPr>
          <w:color w:val="auto"/>
        </w:rPr>
      </w:pPr>
    </w:p>
    <w:p w14:paraId="6B86C592">
      <w:pPr>
        <w:pStyle w:val="59"/>
        <w:rPr>
          <w:color w:val="auto"/>
        </w:rPr>
      </w:pPr>
    </w:p>
    <w:p w14:paraId="08CEA447">
      <w:pPr>
        <w:pStyle w:val="59"/>
        <w:rPr>
          <w:color w:val="auto"/>
        </w:rPr>
      </w:pPr>
    </w:p>
    <w:p w14:paraId="3F55A1A9">
      <w:pPr>
        <w:pStyle w:val="59"/>
        <w:rPr>
          <w:color w:val="auto"/>
        </w:rPr>
      </w:pPr>
    </w:p>
    <w:p w14:paraId="33645559">
      <w:pPr>
        <w:pStyle w:val="59"/>
        <w:rPr>
          <w:color w:val="auto"/>
        </w:rPr>
      </w:pPr>
    </w:p>
    <w:p w14:paraId="2F7508B1">
      <w:pPr>
        <w:pStyle w:val="59"/>
        <w:rPr>
          <w:color w:val="auto"/>
        </w:rPr>
      </w:pPr>
    </w:p>
    <w:p w14:paraId="6EE4C75B">
      <w:pPr>
        <w:pStyle w:val="59"/>
        <w:rPr>
          <w:color w:val="auto"/>
        </w:rPr>
      </w:pPr>
    </w:p>
    <w:p w14:paraId="57E364B5">
      <w:pPr>
        <w:pStyle w:val="59"/>
        <w:rPr>
          <w:color w:val="auto"/>
        </w:rPr>
      </w:pPr>
    </w:p>
    <w:p w14:paraId="69A88799">
      <w:pPr>
        <w:pStyle w:val="59"/>
        <w:rPr>
          <w:color w:val="auto"/>
        </w:rPr>
      </w:pPr>
    </w:p>
    <w:p w14:paraId="6596F1DF">
      <w:pPr>
        <w:pStyle w:val="59"/>
        <w:rPr>
          <w:color w:val="auto"/>
        </w:rPr>
      </w:pPr>
    </w:p>
    <w:p w14:paraId="5F0DEC98">
      <w:pPr>
        <w:pStyle w:val="59"/>
        <w:rPr>
          <w:color w:val="auto"/>
        </w:rPr>
      </w:pPr>
    </w:p>
    <w:p w14:paraId="5E46F58B">
      <w:pPr>
        <w:pStyle w:val="59"/>
        <w:spacing w:line="240" w:lineRule="auto"/>
        <w:rPr>
          <w:color w:val="auto"/>
        </w:rPr>
      </w:pPr>
      <w:r>
        <w:rPr>
          <w:color w:val="auto"/>
        </w:rPr>
        <w:t>Ninguém ignora tudo. Ninguém sabe tudo. Todos nós sabemos alguma coisa. Todos nós ignoramos alguma coisa. Por isso aprendemos sempre. (FREIRE, 1987, p. 45).</w:t>
      </w:r>
    </w:p>
    <w:p w14:paraId="59AD834B">
      <w:pPr>
        <w:pStyle w:val="59"/>
        <w:rPr>
          <w:color w:val="auto"/>
        </w:rPr>
      </w:pPr>
    </w:p>
    <w:p w14:paraId="1319DCBB">
      <w:pPr>
        <w:pStyle w:val="47"/>
        <w:rPr>
          <w:color w:val="auto"/>
        </w:rPr>
      </w:pPr>
      <w:r>
        <w:rPr>
          <w:color w:val="auto"/>
        </w:rPr>
        <w:t>Resumo</w:t>
      </w:r>
    </w:p>
    <w:p w14:paraId="2D094789">
      <w:pPr>
        <w:pStyle w:val="48"/>
        <w:rPr>
          <w:color w:val="auto"/>
        </w:rPr>
      </w:pPr>
    </w:p>
    <w:p w14:paraId="4268C4EA">
      <w:pPr>
        <w:pStyle w:val="48"/>
        <w:rPr>
          <w:color w:val="auto"/>
        </w:rPr>
      </w:pPr>
      <w:r>
        <w:t>SANTIAGO, Artur Oliveira. Identificação precoce de risco de evasão escolar em escolas estaduais de Ensino Médio de Pernambuco: um sistema baseado em aprendizado de máquina. 2026. Trabalho de Conclusão de Curso — Engenharia de Software.</w:t>
      </w:r>
    </w:p>
    <w:p w14:paraId="07960266">
      <w:pPr>
        <w:pStyle w:val="48"/>
        <w:rPr>
          <w:color w:val="auto"/>
        </w:rPr>
      </w:pPr>
    </w:p>
    <w:p w14:paraId="1498854F">
      <w:pPr>
        <w:pStyle w:val="48"/>
        <w:rPr>
          <w:color w:val="auto"/>
        </w:rPr>
      </w:pPr>
      <w:r>
        <w:t>A evasão escolar no Ensino Médio representa um dos principais entraves ao desenvolvimento educacional no Brasil. Em Pernambuco, a rede estadual conta com cerca de 800 escolas de Ensino Médio distribuídas em 185 municípios. Este trabalho desenvolve um pipeline completo de ciência de dados para identificação precoce do risco de abandono escolar em nível de escola, utilizando microdados do Censo Escolar do INEP (2022–2024) e indicadores complementares — Nível Socioeconômico (INSE), Regularidade do Corpo Docente (IRD), Distorção Idade-Série (TDI) e Adequação da Formação Docente (AFD). A unidade de análise é a escola, e a variável-alvo é a taxa de abandono do ano seguinte (t+1). O pipeline inclui ETL, análise exploratória, feature engineering e modelagem com XGBoost, complementado por análise de interpretabilidade SHAP para identificar os fatores de maior influência. O painel longitudinal final reúne 806 escolas únicas e 2.392 observações; o conjunto de modelagem derivado contém 1.586 observações e 30 features, com 0% de valores ausentes após imputação. A análise exploratória revelou infraestrutura significativamente inferior nas escolas rurais (índice médio 0,52 vs. 0,71 nas urbanas; p&lt;0,0001), crescimento expressivo do ensino integral (de 56,7% em 2022 para 64,9% em 2024) e concentração de risco na mesorregião do São Francisco Pernambucano. As variáveis com maior correlação com o abandono futuro são o histórico de abandono (lag), a distorção idade-série e o nível socioeconômico, sustentando a relevância dos indicadores complementares para a predição.</w:t>
      </w:r>
    </w:p>
    <w:p w14:paraId="1C1CD479">
      <w:pPr>
        <w:pStyle w:val="48"/>
        <w:rPr>
          <w:color w:val="auto"/>
        </w:rPr>
      </w:pPr>
    </w:p>
    <w:p w14:paraId="3E618E78">
      <w:pPr>
        <w:pStyle w:val="48"/>
        <w:rPr>
          <w:color w:val="auto"/>
        </w:rPr>
      </w:pPr>
      <w:r>
        <w:t>Palavras-chave: evasão escolar; abandono escolar; aprendizado de máquina; XGBoost; SHAP; Ensino Médio; Pernambuco; Censo Escolar INEP; predição educacional.</w:t>
      </w:r>
    </w:p>
    <w:p w14:paraId="2001D7C1">
      <w:pPr>
        <w:pStyle w:val="48"/>
        <w:rPr>
          <w:color w:val="auto"/>
        </w:rPr>
      </w:pPr>
    </w:p>
    <w:p w14:paraId="0D148403">
      <w:pPr>
        <w:spacing w:after="160" w:line="259" w:lineRule="auto"/>
        <w:ind w:firstLine="0"/>
        <w:jc w:val="left"/>
        <w:rPr>
          <w:color w:val="auto"/>
        </w:rPr>
      </w:pPr>
      <w:r>
        <w:rPr>
          <w:color w:val="auto"/>
        </w:rPr>
        <w:br w:type="page"/>
      </w:r>
    </w:p>
    <w:p w14:paraId="4C53305B">
      <w:pPr>
        <w:pStyle w:val="47"/>
        <w:rPr>
          <w:color w:val="auto"/>
        </w:rPr>
      </w:pPr>
      <w:r>
        <w:rPr>
          <w:color w:val="auto"/>
        </w:rPr>
        <w:t>ABSTRACT</w:t>
      </w:r>
    </w:p>
    <w:p w14:paraId="7866E988">
      <w:pPr>
        <w:pStyle w:val="48"/>
        <w:rPr>
          <w:color w:val="auto"/>
        </w:rPr>
      </w:pPr>
    </w:p>
    <w:p w14:paraId="18B2523A">
      <w:pPr>
        <w:pStyle w:val="48"/>
        <w:rPr>
          <w:color w:val="auto"/>
        </w:rPr>
      </w:pPr>
      <w:r>
        <w:t>SANTIAGO, Artur Oliveira. Early identification of school dropout risk in state high schools in Pernambuco: a machine learning-based system. 2026. Final Course Paper — Software Engineering.</w:t>
      </w:r>
    </w:p>
    <w:p w14:paraId="04781C4F">
      <w:pPr>
        <w:pStyle w:val="48"/>
        <w:rPr>
          <w:color w:val="auto"/>
        </w:rPr>
      </w:pPr>
    </w:p>
    <w:p w14:paraId="420C9C8F">
      <w:pPr>
        <w:pStyle w:val="48"/>
        <w:rPr>
          <w:color w:val="auto"/>
        </w:rPr>
      </w:pPr>
      <w:r>
        <w:t>School dropout at the secondary level is one of the main challenges of Brazilian public education. In Pernambuco, the state network comprises approximately 800 active high schools across 185 municipalities. This work develops a complete data science pipeline for early identification of school-level dropout risk, using microdata from the National School Census (INEP, 2022–2024) and complementary indicators — Socioeconomic Level (INSE), Teacher Regularity Index (IRD), Age-Grade Distortion Rate (TDI), and Teacher Training Adequacy (AFD). The unit of analysis is the school, and the target variable is the following year's dropout rate (t+1). The pipeline includes ETL, exploratory analysis, feature engineering, and XGBoost modeling, complemented by SHAP interpretability analysis. The final longitudinal panel contains 806 unique schools and 2,392 observations; the derived modeling dataset has 1,586 observations and 30 features, with 0% missing after imputation. Exploratory analysis revealed significantly lower infrastructure in rural schools (mean index 0.52 vs. 0.71 for urban; p&lt;0.0001), notable growth of full-time schooling (from 56.7% in 2022 to 64.9% in 2024), and risk concentration in the São Francisco Pernambucano region. Variables most correlated with future dropout are the dropout history lag, age-grade distortion, and socioeconomic level, confirming the relevance of complementary indicators for prediction.</w:t>
      </w:r>
    </w:p>
    <w:p w14:paraId="50EBC8D1">
      <w:pPr>
        <w:pStyle w:val="48"/>
        <w:rPr>
          <w:color w:val="auto"/>
        </w:rPr>
      </w:pPr>
    </w:p>
    <w:p w14:paraId="0169CB95">
      <w:pPr>
        <w:pStyle w:val="48"/>
        <w:rPr>
          <w:color w:val="auto"/>
          <w:lang w:val="en-US"/>
        </w:rPr>
      </w:pPr>
      <w:r>
        <w:t>Keywords: school dropout; machine learning; XGBoost; SHAP; high school; Pernambuco; national school census; educational data mining.</w:t>
      </w:r>
    </w:p>
    <w:p w14:paraId="5C995549">
      <w:pPr>
        <w:pStyle w:val="48"/>
        <w:rPr>
          <w:color w:val="auto"/>
          <w:lang w:val="en-US"/>
        </w:rPr>
      </w:pPr>
    </w:p>
    <w:p w14:paraId="512BFEFD">
      <w:pPr>
        <w:spacing w:after="160" w:line="259" w:lineRule="auto"/>
        <w:ind w:firstLine="0"/>
        <w:jc w:val="left"/>
        <w:rPr>
          <w:color w:val="auto"/>
          <w:lang w:val="en-US"/>
        </w:rPr>
      </w:pPr>
      <w:r>
        <w:rPr>
          <w:color w:val="auto"/>
          <w:lang w:val="en-US"/>
        </w:rPr>
        <w:br w:type="page"/>
      </w:r>
    </w:p>
    <w:p w14:paraId="3FC3D7E7">
      <w:pPr>
        <w:pStyle w:val="47"/>
        <w:rPr>
          <w:color w:val="auto"/>
          <w:lang w:val="en-US"/>
        </w:rPr>
      </w:pPr>
      <w:r>
        <w:rPr>
          <w:color w:val="auto"/>
          <w:lang w:val="en-US"/>
        </w:rPr>
        <w:t>LISTA DE ILUSTRAÇÕES</w:t>
      </w:r>
    </w:p>
    <w:p w14:paraId="573E8D96">
      <w:pPr>
        <w:rPr>
          <w:rFonts w:cs="Arial"/>
          <w:b/>
          <w:color w:val="auto"/>
          <w:szCs w:val="24"/>
          <w:lang w:val="en-US"/>
        </w:rPr>
      </w:pPr>
    </w:p>
    <w:p w14:paraId="15D6638D">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instrText xml:space="preserve"> TOC \h \z \c "Figura" </w:instrText>
        <w:fldChar w:fldCharType="separate"/>
      </w:r>
      <w:r>
        <w:fldChar w:fldCharType="begin"/>
        <w:instrText xml:space="preserve"> HYPERLINK \l "_Toc81404915" </w:instrText>
        <w:fldChar w:fldCharType="separate"/>
      </w:r>
      <w:r>
        <w:rPr>
          <w:rStyle w:val="17"/>
          <w:color w:val="auto"/>
        </w:rPr>
        <w:t>Figura 1 - Estrutura de trabalhos acadêmicos. (ABNT NBR 14724)</w:t>
      </w:r>
      <w:r>
        <w:tab/>
        <w:fldChar w:fldCharType="begin"/>
        <w:instrText xml:space="preserve"> PAGEREF _Toc81404915 \h </w:instrText>
        <w:fldChar w:fldCharType="separate"/>
      </w:r>
      <w:r>
        <w:rPr>
          <w:b/>
          <w:bCs/>
        </w:rPr>
        <w:t>Erro! Indicador não definido.</w:t>
      </w:r>
      <w:r>
        <w:fldChar w:fldCharType="end"/>
        <w:fldChar w:fldCharType="end"/>
      </w:r>
    </w:p>
    <w:p w14:paraId="594B089A">
      <w:pPr>
        <w:rPr>
          <w:rFonts w:cs="Arial"/>
          <w:b/>
          <w:color w:val="auto"/>
          <w:szCs w:val="24"/>
        </w:rPr>
      </w:pPr>
      <w:r>
        <w:rPr>
          <w:rFonts w:cs="Arial"/>
          <w:b/>
          <w:color w:val="auto"/>
          <w:szCs w:val="24"/>
        </w:rPr>
        <w:fldChar w:fldCharType="end"/>
      </w:r>
    </w:p>
    <w:p w14:paraId="625D53E8">
      <w:pPr>
        <w:pStyle w:val="47"/>
        <w:rPr>
          <w:color w:val="auto"/>
        </w:rPr>
      </w:pPr>
      <w:r>
        <w:rPr>
          <w:color w:val="auto"/>
        </w:rPr>
        <w:t>lista de gráficos</w:t>
      </w:r>
    </w:p>
    <w:p w14:paraId="1DF42A31">
      <w:pPr>
        <w:pStyle w:val="48"/>
        <w:rPr>
          <w:color w:val="auto"/>
        </w:rPr>
      </w:pPr>
    </w:p>
    <w:p w14:paraId="31F50F13">
      <w:pPr>
        <w:pStyle w:val="22"/>
        <w:tabs>
          <w:tab w:val="right" w:leader="dot" w:pos="9061"/>
        </w:tabs>
        <w:rPr>
          <w:rFonts w:asciiTheme="minorHAnsi" w:hAnsiTheme="minorHAnsi" w:eastAsiaTheme="minorEastAsia" w:cstheme="minorBidi"/>
          <w:sz w:val="22"/>
          <w:szCs w:val="22"/>
          <w:lang w:eastAsia="pt-BR"/>
        </w:rPr>
      </w:pPr>
      <w:r>
        <w:fldChar w:fldCharType="begin"/>
        <w:instrText xml:space="preserve"> TOC \h \z \c "Gráfico" </w:instrText>
        <w:fldChar w:fldCharType="separate"/>
        <w:fldChar w:fldCharType="begin"/>
        <w:instrText xml:space="preserve"> HYPERLINK \l "_Toc81400594" </w:instrText>
        <w:fldChar w:fldCharType="separate"/>
      </w:r>
      <w:r>
        <w:rPr>
          <w:rStyle w:val="17"/>
          <w:color w:val="auto"/>
        </w:rPr>
        <w:t>Gráfico 1 – Grupos etários</w:t>
      </w:r>
      <w:r>
        <w:tab/>
        <w:fldChar w:fldCharType="begin"/>
        <w:instrText xml:space="preserve"> PAGEREF _Toc81400594 \h </w:instrText>
        <w:fldChar w:fldCharType="separate"/>
      </w:r>
      <w:r>
        <w:rPr>
          <w:b/>
          <w:bCs/>
        </w:rPr>
        <w:t>Erro! Indicador não definido.</w:t>
      </w:r>
      <w:r>
        <w:fldChar w:fldCharType="end"/>
        <w:fldChar w:fldCharType="end"/>
      </w:r>
    </w:p>
    <w:p w14:paraId="0A565BD8">
      <w:pPr>
        <w:pStyle w:val="48"/>
        <w:rPr>
          <w:color w:val="auto"/>
        </w:rPr>
      </w:pPr>
      <w:r>
        <w:rPr>
          <w:color w:val="auto"/>
        </w:rPr>
        <w:fldChar w:fldCharType="end"/>
      </w:r>
    </w:p>
    <w:p w14:paraId="733CD96A">
      <w:pPr>
        <w:pStyle w:val="47"/>
        <w:rPr>
          <w:color w:val="auto"/>
        </w:rPr>
      </w:pPr>
      <w:r>
        <w:rPr>
          <w:color w:val="auto"/>
        </w:rPr>
        <w:t>LISTA DE QUADROS</w:t>
      </w:r>
    </w:p>
    <w:p w14:paraId="006DBD8F">
      <w:pPr>
        <w:rPr>
          <w:rFonts w:cs="Arial"/>
          <w:b/>
          <w:color w:val="auto"/>
          <w:szCs w:val="24"/>
        </w:rPr>
      </w:pPr>
    </w:p>
    <w:p w14:paraId="3747AAE4">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instrText xml:space="preserve"> TOC \h \z \c "Quadro" </w:instrText>
        <w:fldChar w:fldCharType="separate"/>
      </w:r>
      <w:r>
        <w:fldChar w:fldCharType="begin"/>
        <w:instrText xml:space="preserve"> HYPERLINK \l "_Toc80625082" </w:instrText>
        <w:fldChar w:fldCharType="separate"/>
      </w:r>
      <w:r>
        <w:rPr>
          <w:rStyle w:val="17"/>
          <w:color w:val="auto"/>
        </w:rPr>
        <w:t>Quadro 1 – Formato de apresentação</w:t>
      </w:r>
      <w:r>
        <w:tab/>
        <w:fldChar w:fldCharType="begin"/>
        <w:instrText xml:space="preserve"> PAGEREF _Toc80625082 \h </w:instrText>
        <w:fldChar w:fldCharType="separate"/>
      </w:r>
      <w:r>
        <w:rPr>
          <w:b/>
          <w:bCs/>
        </w:rPr>
        <w:t>Erro! Indicador não definido.</w:t>
      </w:r>
      <w:r>
        <w:fldChar w:fldCharType="end"/>
        <w:fldChar w:fldCharType="end"/>
      </w:r>
    </w:p>
    <w:p w14:paraId="206FA372">
      <w:pPr>
        <w:rPr>
          <w:rFonts w:cs="Arial"/>
          <w:b/>
          <w:color w:val="auto"/>
          <w:szCs w:val="24"/>
        </w:rPr>
      </w:pPr>
      <w:r>
        <w:rPr>
          <w:rFonts w:cs="Arial"/>
          <w:b/>
          <w:color w:val="auto"/>
          <w:szCs w:val="24"/>
        </w:rPr>
        <w:fldChar w:fldCharType="end"/>
      </w:r>
    </w:p>
    <w:p w14:paraId="02D36708">
      <w:pPr>
        <w:pStyle w:val="47"/>
        <w:rPr>
          <w:color w:val="auto"/>
        </w:rPr>
      </w:pPr>
      <w:r>
        <w:rPr>
          <w:color w:val="auto"/>
        </w:rPr>
        <w:t>LISTA DE TABELAS</w:t>
      </w:r>
    </w:p>
    <w:p w14:paraId="03244326">
      <w:pPr>
        <w:rPr>
          <w:rFonts w:cs="Arial"/>
          <w:color w:val="auto"/>
          <w:szCs w:val="24"/>
        </w:rPr>
      </w:pPr>
    </w:p>
    <w:p w14:paraId="444C5F5B">
      <w:pPr>
        <w:pStyle w:val="22"/>
        <w:tabs>
          <w:tab w:val="right" w:leader="dot" w:pos="9061"/>
        </w:tabs>
        <w:rPr>
          <w:rFonts w:asciiTheme="minorHAnsi" w:hAnsiTheme="minorHAnsi" w:eastAsiaTheme="minorEastAsia" w:cstheme="minorBidi"/>
          <w:sz w:val="22"/>
          <w:szCs w:val="22"/>
          <w:lang w:eastAsia="pt-BR"/>
        </w:rPr>
      </w:pPr>
      <w:r>
        <w:rPr>
          <w:rFonts w:cs="Arial"/>
          <w:szCs w:val="24"/>
        </w:rPr>
        <w:fldChar w:fldCharType="begin"/>
        <w:instrText xml:space="preserve"> TOC \h \z \c "Tabela" </w:instrText>
        <w:fldChar w:fldCharType="separate"/>
      </w:r>
      <w:r>
        <w:fldChar w:fldCharType="begin"/>
        <w:instrText xml:space="preserve"> HYPERLINK \l "_Toc80625091" </w:instrText>
        <w:fldChar w:fldCharType="separate"/>
      </w:r>
      <w:r>
        <w:rPr>
          <w:rStyle w:val="17"/>
          <w:color w:val="auto"/>
        </w:rPr>
        <w:t>Tabela 1 - Modelo de tabela</w:t>
      </w:r>
      <w:r>
        <w:tab/>
        <w:fldChar w:fldCharType="begin"/>
        <w:instrText xml:space="preserve"> PAGEREF _Toc80625091 \h </w:instrText>
        <w:fldChar w:fldCharType="separate"/>
      </w:r>
      <w:r>
        <w:rPr>
          <w:b/>
          <w:bCs/>
        </w:rPr>
        <w:t>Erro! Indicador não definido.</w:t>
      </w:r>
      <w:r>
        <w:fldChar w:fldCharType="end"/>
        <w:fldChar w:fldCharType="end"/>
      </w:r>
    </w:p>
    <w:p w14:paraId="6017D1E4">
      <w:pPr>
        <w:rPr>
          <w:rFonts w:cs="Arial"/>
          <w:color w:val="auto"/>
          <w:szCs w:val="24"/>
        </w:rPr>
      </w:pPr>
      <w:r>
        <w:rPr>
          <w:rFonts w:cs="Arial"/>
          <w:color w:val="auto"/>
          <w:szCs w:val="24"/>
        </w:rPr>
        <w:fldChar w:fldCharType="end"/>
      </w:r>
    </w:p>
    <w:p w14:paraId="6EB5E910">
      <w:pPr>
        <w:pStyle w:val="47"/>
        <w:rPr>
          <w:color w:val="auto"/>
        </w:rPr>
      </w:pPr>
      <w:r>
        <w:rPr>
          <w:color w:val="auto"/>
        </w:rPr>
        <w:t>LISTA DE ABREVIATURAS E SIGLAS</w:t>
      </w:r>
    </w:p>
    <w:p w14:paraId="53BB08C4">
      <w:pPr>
        <w:jc w:val="left"/>
        <w:rPr>
          <w:color w:val="auto"/>
        </w:rPr>
      </w:pPr>
    </w:p>
    <w:tbl>
      <w:tblPr>
        <w:tblStyle w:val="33"/>
        <w:tblW w:w="88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7603"/>
      </w:tblGrid>
      <w:tr w14:paraId="69109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494C2E14">
            <w:pPr>
              <w:ind w:firstLine="0"/>
              <w:jc w:val="left"/>
              <w:rPr>
                <w:color w:val="auto"/>
              </w:rPr>
            </w:pPr>
            <w:r>
              <w:rPr>
                <w:rFonts w:cs="Arial"/>
                <w:color w:val="auto"/>
                <w:szCs w:val="24"/>
              </w:rPr>
              <w:t>ABNT</w:t>
            </w:r>
          </w:p>
        </w:tc>
        <w:tc>
          <w:tcPr>
            <w:tcW w:w="7603" w:type="dxa"/>
          </w:tcPr>
          <w:p w14:paraId="0A909E2B">
            <w:pPr>
              <w:ind w:firstLine="0"/>
              <w:jc w:val="left"/>
              <w:rPr>
                <w:color w:val="auto"/>
              </w:rPr>
            </w:pPr>
            <w:r>
              <w:rPr>
                <w:rFonts w:cs="Arial"/>
                <w:color w:val="auto"/>
                <w:szCs w:val="24"/>
              </w:rPr>
              <w:t>Associação Brasileira de Normas Técnicas</w:t>
            </w:r>
          </w:p>
        </w:tc>
      </w:tr>
      <w:tr w14:paraId="17161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C69FC19">
            <w:pPr>
              <w:ind w:firstLine="0"/>
              <w:jc w:val="left"/>
              <w:rPr>
                <w:color w:val="auto"/>
              </w:rPr>
            </w:pPr>
            <w:r>
              <w:rPr>
                <w:rFonts w:cs="Arial"/>
                <w:color w:val="auto"/>
                <w:szCs w:val="24"/>
              </w:rPr>
              <w:t>BU</w:t>
            </w:r>
          </w:p>
        </w:tc>
        <w:tc>
          <w:tcPr>
            <w:tcW w:w="7603" w:type="dxa"/>
          </w:tcPr>
          <w:p w14:paraId="48F917E2">
            <w:pPr>
              <w:ind w:firstLine="0"/>
              <w:jc w:val="left"/>
              <w:rPr>
                <w:color w:val="auto"/>
              </w:rPr>
            </w:pPr>
            <w:r>
              <w:rPr>
                <w:rFonts w:cs="Arial"/>
                <w:color w:val="auto"/>
                <w:szCs w:val="24"/>
              </w:rPr>
              <w:t>Biblioteca Universitária</w:t>
            </w:r>
          </w:p>
        </w:tc>
      </w:tr>
      <w:tr w14:paraId="761D8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206F9C5">
            <w:pPr>
              <w:ind w:firstLine="0"/>
              <w:jc w:val="left"/>
              <w:rPr>
                <w:color w:val="auto"/>
              </w:rPr>
            </w:pPr>
            <w:r>
              <w:rPr>
                <w:rFonts w:cs="Arial"/>
                <w:color w:val="auto"/>
                <w:szCs w:val="24"/>
              </w:rPr>
              <w:t>NBR</w:t>
            </w:r>
          </w:p>
        </w:tc>
        <w:tc>
          <w:tcPr>
            <w:tcW w:w="7603" w:type="dxa"/>
          </w:tcPr>
          <w:p w14:paraId="50A8C86B">
            <w:pPr>
              <w:ind w:firstLine="0"/>
              <w:jc w:val="left"/>
              <w:rPr>
                <w:color w:val="auto"/>
              </w:rPr>
            </w:pPr>
            <w:r>
              <w:rPr>
                <w:rFonts w:cs="Arial"/>
                <w:color w:val="auto"/>
                <w:szCs w:val="24"/>
              </w:rPr>
              <w:t>Normas Técnicas Brasileiras</w:t>
            </w:r>
          </w:p>
        </w:tc>
      </w:tr>
      <w:tr w14:paraId="441BD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64C9EC06">
            <w:pPr>
              <w:ind w:firstLine="0"/>
              <w:jc w:val="left"/>
              <w:rPr>
                <w:color w:val="auto"/>
              </w:rPr>
            </w:pPr>
            <w:r>
              <w:rPr>
                <w:rFonts w:cs="Arial"/>
                <w:color w:val="auto"/>
                <w:szCs w:val="24"/>
              </w:rPr>
              <w:t>TCC</w:t>
            </w:r>
          </w:p>
        </w:tc>
        <w:tc>
          <w:tcPr>
            <w:tcW w:w="7603" w:type="dxa"/>
          </w:tcPr>
          <w:p w14:paraId="31708144">
            <w:pPr>
              <w:ind w:firstLine="0"/>
              <w:jc w:val="left"/>
              <w:rPr>
                <w:color w:val="auto"/>
              </w:rPr>
            </w:pPr>
            <w:r>
              <w:rPr>
                <w:rFonts w:cs="Arial"/>
                <w:color w:val="auto"/>
                <w:szCs w:val="24"/>
              </w:rPr>
              <w:t>Trabalho de Conclusão de Curso</w:t>
            </w:r>
          </w:p>
        </w:tc>
      </w:tr>
      <w:tr w14:paraId="0A2A7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7AB19225">
            <w:pPr>
              <w:ind w:firstLine="0"/>
              <w:jc w:val="left"/>
              <w:rPr>
                <w:color w:val="auto"/>
              </w:rPr>
            </w:pPr>
          </w:p>
        </w:tc>
        <w:tc>
          <w:tcPr>
            <w:tcW w:w="7603" w:type="dxa"/>
          </w:tcPr>
          <w:p w14:paraId="09407DE5">
            <w:pPr>
              <w:ind w:firstLine="0"/>
              <w:jc w:val="left"/>
              <w:rPr>
                <w:color w:val="auto"/>
              </w:rPr>
            </w:pPr>
          </w:p>
        </w:tc>
      </w:tr>
    </w:tbl>
    <w:p w14:paraId="19F47CD4">
      <w:pPr>
        <w:spacing w:line="259" w:lineRule="auto"/>
        <w:jc w:val="left"/>
        <w:rPr>
          <w:color w:val="auto"/>
        </w:rPr>
      </w:pPr>
    </w:p>
    <w:p w14:paraId="53659354">
      <w:pPr>
        <w:spacing w:line="259" w:lineRule="auto"/>
        <w:jc w:val="left"/>
        <w:rPr>
          <w:color w:val="auto"/>
        </w:rPr>
      </w:pPr>
    </w:p>
    <w:p w14:paraId="568E6F70">
      <w:pPr>
        <w:pStyle w:val="47"/>
        <w:rPr>
          <w:color w:val="auto"/>
        </w:rPr>
      </w:pPr>
      <w:r>
        <w:rPr>
          <w:color w:val="auto"/>
        </w:rPr>
        <w:t>lista de símbolos</w:t>
      </w:r>
    </w:p>
    <w:p w14:paraId="4E08DC0E">
      <w:pPr>
        <w:pStyle w:val="48"/>
        <w:rPr>
          <w:color w:val="auto"/>
        </w:rPr>
      </w:pPr>
    </w:p>
    <w:tbl>
      <w:tblPr>
        <w:tblStyle w:val="33"/>
        <w:tblW w:w="86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7365"/>
      </w:tblGrid>
      <w:tr w14:paraId="46C0A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271" w:type="dxa"/>
          </w:tcPr>
          <w:p w14:paraId="379563E5">
            <w:pPr>
              <w:pStyle w:val="48"/>
              <w:rPr>
                <w:color w:val="auto"/>
              </w:rPr>
            </w:pPr>
            <w:r>
              <w:rPr>
                <w:color w:val="auto"/>
              </w:rPr>
              <w:t>@</w:t>
            </w:r>
          </w:p>
        </w:tc>
        <w:tc>
          <w:tcPr>
            <w:tcW w:w="7365" w:type="dxa"/>
          </w:tcPr>
          <w:p w14:paraId="792620AE">
            <w:pPr>
              <w:pStyle w:val="48"/>
              <w:rPr>
                <w:color w:val="auto"/>
              </w:rPr>
            </w:pPr>
            <w:r>
              <w:rPr>
                <w:color w:val="auto"/>
              </w:rPr>
              <w:t>Arroba</w:t>
            </w:r>
          </w:p>
        </w:tc>
      </w:tr>
      <w:tr w14:paraId="6DD82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6E9BB1F">
            <w:pPr>
              <w:pStyle w:val="48"/>
              <w:rPr>
                <w:color w:val="auto"/>
              </w:rPr>
            </w:pPr>
            <w:r>
              <w:rPr>
                <w:color w:val="auto"/>
              </w:rPr>
              <w:t>%</w:t>
            </w:r>
          </w:p>
        </w:tc>
        <w:tc>
          <w:tcPr>
            <w:tcW w:w="7365" w:type="dxa"/>
          </w:tcPr>
          <w:p w14:paraId="2FBC821C">
            <w:pPr>
              <w:pStyle w:val="48"/>
              <w:rPr>
                <w:color w:val="auto"/>
              </w:rPr>
            </w:pPr>
            <w:r>
              <w:rPr>
                <w:color w:val="auto"/>
              </w:rPr>
              <w:t>Porcento</w:t>
            </w:r>
          </w:p>
        </w:tc>
      </w:tr>
      <w:tr w14:paraId="13774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18E6A219">
            <w:pPr>
              <w:pStyle w:val="48"/>
              <w:rPr>
                <w:color w:val="auto"/>
              </w:rPr>
            </w:pPr>
            <w:r>
              <w:rPr>
                <w:rFonts w:cs="Arial"/>
                <w:color w:val="auto"/>
              </w:rPr>
              <w:t>©</w:t>
            </w:r>
          </w:p>
        </w:tc>
        <w:tc>
          <w:tcPr>
            <w:tcW w:w="7365" w:type="dxa"/>
          </w:tcPr>
          <w:p w14:paraId="62E5583F">
            <w:pPr>
              <w:pStyle w:val="48"/>
              <w:rPr>
                <w:color w:val="auto"/>
              </w:rPr>
            </w:pPr>
            <w:r>
              <w:rPr>
                <w:color w:val="auto"/>
              </w:rPr>
              <w:t>Copyright</w:t>
            </w:r>
          </w:p>
        </w:tc>
      </w:tr>
      <w:tr w14:paraId="54EFF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2D5FB377">
            <w:pPr>
              <w:pStyle w:val="48"/>
              <w:rPr>
                <w:color w:val="auto"/>
              </w:rPr>
            </w:pPr>
            <w:r>
              <w:rPr>
                <w:rFonts w:cs="Arial"/>
                <w:color w:val="auto"/>
              </w:rPr>
              <w:t>β</w:t>
            </w:r>
          </w:p>
        </w:tc>
        <w:tc>
          <w:tcPr>
            <w:tcW w:w="7365" w:type="dxa"/>
          </w:tcPr>
          <w:p w14:paraId="4B74A523">
            <w:pPr>
              <w:pStyle w:val="48"/>
              <w:rPr>
                <w:color w:val="auto"/>
              </w:rPr>
            </w:pPr>
            <w:r>
              <w:rPr>
                <w:color w:val="auto"/>
              </w:rPr>
              <w:t>Beta</w:t>
            </w:r>
          </w:p>
        </w:tc>
      </w:tr>
    </w:tbl>
    <w:p w14:paraId="1969CD1A">
      <w:pPr>
        <w:pStyle w:val="48"/>
        <w:rPr>
          <w:color w:val="auto"/>
        </w:rPr>
      </w:pPr>
    </w:p>
    <w:p w14:paraId="7A674EDA">
      <w:pPr>
        <w:pStyle w:val="48"/>
        <w:rPr>
          <w:color w:val="auto"/>
        </w:rPr>
      </w:pPr>
    </w:p>
    <w:p w14:paraId="1D23C51D">
      <w:pPr>
        <w:pStyle w:val="47"/>
        <w:rPr>
          <w:color w:val="auto"/>
        </w:rPr>
      </w:pPr>
      <w:r>
        <w:rPr>
          <w:color w:val="auto"/>
        </w:rPr>
        <w:t>Sumário</w:t>
      </w:r>
    </w:p>
    <w:sdt>
      <w:sdtPr>
        <w:rPr>
          <w:rFonts w:ascii="Arial" w:hAnsi="Arial" w:eastAsiaTheme="minorHAnsi" w:cstheme="minorBidi"/>
          <w:color w:val="auto"/>
          <w:sz w:val="24"/>
          <w:szCs w:val="22"/>
          <w:lang w:eastAsia="en-US"/>
        </w:rPr>
        <w:id w:val="1070616722"/>
        <w:docPartObj>
          <w:docPartGallery w:val="Table of Contents"/>
          <w:docPartUnique/>
        </w:docPartObj>
      </w:sdtPr>
      <w:sdtEndPr>
        <w:rPr>
          <w:rFonts w:ascii="Arial" w:hAnsi="Arial" w:eastAsiaTheme="minorHAnsi" w:cstheme="minorBidi"/>
          <w:b/>
          <w:bCs/>
          <w:color w:val="auto"/>
          <w:sz w:val="24"/>
          <w:szCs w:val="22"/>
          <w:lang w:eastAsia="en-US"/>
        </w:rPr>
      </w:sdtEndPr>
      <w:sdtContent>
        <w:p w14:paraId="3B8D8A5C">
          <w:pPr>
            <w:pStyle w:val="68"/>
            <w:rPr>
              <w:color w:val="auto"/>
            </w:rPr>
          </w:pPr>
        </w:p>
        <w:p w14:paraId="406958EA">
          <w:pPr>
            <w:pStyle w:val="32"/>
            <w:rPr>
              <w:rFonts w:asciiTheme="minorHAnsi" w:hAnsiTheme="minorHAnsi" w:eastAsiaTheme="minorEastAsia"/>
              <w:b w:val="0"/>
              <w:caps w:val="0"/>
              <w:color w:val="auto"/>
              <w:sz w:val="22"/>
              <w:lang w:eastAsia="pt-BR"/>
            </w:rPr>
          </w:pPr>
          <w:r>
            <w:rPr>
              <w:color w:val="auto"/>
            </w:rPr>
            <w:fldChar w:fldCharType="begin"/>
            <w:instrText xml:space="preserve"> TOC \o "1-8" \h \z \u </w:instrText>
            <w:fldChar w:fldCharType="separate"/>
          </w:r>
          <w:r>
            <w:fldChar w:fldCharType="begin"/>
            <w:instrText xml:space="preserve"> HYPERLINK \l "_Toc112914764" </w:instrText>
            <w:fldChar w:fldCharType="separate"/>
          </w:r>
          <w:r>
            <w:rPr>
              <w:rStyle w:val="17"/>
            </w:rPr>
            <w:t>1</w:t>
          </w:r>
          <w:r>
            <w:rPr>
              <w:rFonts w:asciiTheme="minorHAnsi" w:hAnsiTheme="minorHAnsi" w:eastAsiaTheme="minorEastAsia"/>
              <w:b w:val="0"/>
              <w:caps w:val="0"/>
              <w:color w:val="auto"/>
              <w:sz w:val="22"/>
              <w:lang w:eastAsia="pt-BR"/>
            </w:rPr>
            <w:tab/>
          </w:r>
          <w:r>
            <w:rPr>
              <w:rStyle w:val="17"/>
            </w:rPr>
            <w:t>Introdução</w:t>
          </w:r>
          <w:r>
            <w:tab/>
            <w:fldChar w:fldCharType="begin"/>
            <w:instrText xml:space="preserve"> PAGEREF _Toc112914764 \h </w:instrText>
            <w:fldChar w:fldCharType="separate"/>
            <w:t>15</w:t>
            <w:fldChar w:fldCharType="end"/>
            <w:fldChar w:fldCharType="end"/>
          </w:r>
        </w:p>
        <w:p w14:paraId="2484E64C">
          <w:pPr>
            <w:pStyle w:val="18"/>
            <w:rPr>
              <w:rFonts w:asciiTheme="minorHAnsi" w:hAnsiTheme="minorHAnsi" w:eastAsiaTheme="minorEastAsia"/>
              <w:b w:val="0"/>
              <w:color w:val="auto"/>
              <w:sz w:val="22"/>
              <w:lang w:eastAsia="pt-BR"/>
            </w:rPr>
          </w:pPr>
          <w:r>
            <w:fldChar w:fldCharType="begin"/>
            <w:instrText xml:space="preserve"> HYPERLINK \l "_Toc112914765" </w:instrText>
            <w:fldChar w:fldCharType="separate"/>
          </w:r>
          <w:r>
            <w:rPr>
              <w:rStyle w:val="17"/>
            </w:rPr>
            <w:t>1.1</w:t>
          </w:r>
          <w:r>
            <w:rPr>
              <w:rFonts w:asciiTheme="minorHAnsi" w:hAnsiTheme="minorHAnsi" w:eastAsiaTheme="minorEastAsia"/>
              <w:b w:val="0"/>
              <w:color w:val="auto"/>
              <w:sz w:val="22"/>
              <w:lang w:eastAsia="pt-BR"/>
            </w:rPr>
            <w:tab/>
          </w:r>
          <w:r>
            <w:rPr>
              <w:rStyle w:val="17"/>
            </w:rPr>
            <w:t>Objetivo Geral</w:t>
          </w:r>
          <w:r>
            <w:tab/>
            <w:fldChar w:fldCharType="begin"/>
            <w:instrText xml:space="preserve"> PAGEREF _Toc112914765 \h </w:instrText>
            <w:fldChar w:fldCharType="separate"/>
            <w:t>15</w:t>
            <w:fldChar w:fldCharType="end"/>
            <w:fldChar w:fldCharType="end"/>
          </w:r>
        </w:p>
        <w:p w14:paraId="1983AA8F">
          <w:pPr>
            <w:pStyle w:val="18"/>
            <w:rPr>
              <w:rFonts w:asciiTheme="minorHAnsi" w:hAnsiTheme="minorHAnsi" w:eastAsiaTheme="minorEastAsia"/>
              <w:b w:val="0"/>
              <w:color w:val="auto"/>
              <w:sz w:val="22"/>
              <w:lang w:eastAsia="pt-BR"/>
            </w:rPr>
          </w:pPr>
          <w:r>
            <w:fldChar w:fldCharType="begin"/>
            <w:instrText xml:space="preserve"> HYPERLINK \l "_Toc112914766" </w:instrText>
            <w:fldChar w:fldCharType="separate"/>
          </w:r>
          <w:r>
            <w:rPr>
              <w:rStyle w:val="17"/>
            </w:rPr>
            <w:t>1.2</w:t>
          </w:r>
          <w:r>
            <w:rPr>
              <w:rFonts w:asciiTheme="minorHAnsi" w:hAnsiTheme="minorHAnsi" w:eastAsiaTheme="minorEastAsia"/>
              <w:b w:val="0"/>
              <w:color w:val="auto"/>
              <w:sz w:val="22"/>
              <w:lang w:eastAsia="pt-BR"/>
            </w:rPr>
            <w:tab/>
          </w:r>
          <w:r>
            <w:rPr>
              <w:rStyle w:val="17"/>
            </w:rPr>
            <w:t>Objetivos Específicos</w:t>
          </w:r>
          <w:r>
            <w:tab/>
            <w:fldChar w:fldCharType="begin"/>
            <w:instrText xml:space="preserve"> PAGEREF _Toc112914766 \h </w:instrText>
            <w:fldChar w:fldCharType="separate"/>
            <w:t>15</w:t>
            <w:fldChar w:fldCharType="end"/>
            <w:fldChar w:fldCharType="end"/>
          </w:r>
        </w:p>
        <w:p w14:paraId="6B32E539">
          <w:pPr>
            <w:pStyle w:val="18"/>
            <w:rPr>
              <w:rFonts w:asciiTheme="minorHAnsi" w:hAnsiTheme="minorHAnsi" w:eastAsiaTheme="minorEastAsia"/>
              <w:b w:val="0"/>
              <w:color w:val="auto"/>
              <w:sz w:val="22"/>
              <w:lang w:eastAsia="pt-BR"/>
            </w:rPr>
          </w:pPr>
          <w:r>
            <w:fldChar w:fldCharType="begin"/>
            <w:instrText xml:space="preserve"> HYPERLINK \l "_Toc112914767" </w:instrText>
            <w:fldChar w:fldCharType="separate"/>
          </w:r>
          <w:r>
            <w:rPr>
              <w:rStyle w:val="17"/>
            </w:rPr>
            <w:t>1.3</w:t>
          </w:r>
          <w:r>
            <w:rPr>
              <w:rFonts w:asciiTheme="minorHAnsi" w:hAnsiTheme="minorHAnsi" w:eastAsiaTheme="minorEastAsia"/>
              <w:b w:val="0"/>
              <w:color w:val="auto"/>
              <w:sz w:val="22"/>
              <w:lang w:eastAsia="pt-BR"/>
            </w:rPr>
            <w:tab/>
          </w:r>
          <w:r>
            <w:rPr>
              <w:rStyle w:val="17"/>
            </w:rPr>
            <w:t>Escopo do Projeto</w:t>
          </w:r>
          <w:r>
            <w:tab/>
            <w:fldChar w:fldCharType="begin"/>
            <w:instrText xml:space="preserve"> PAGEREF _Toc112914767 \h </w:instrText>
            <w:fldChar w:fldCharType="separate"/>
            <w:t>15</w:t>
            <w:fldChar w:fldCharType="end"/>
            <w:fldChar w:fldCharType="end"/>
          </w:r>
        </w:p>
        <w:p w14:paraId="1A909B2B">
          <w:pPr>
            <w:pStyle w:val="18"/>
            <w:rPr>
              <w:rFonts w:asciiTheme="minorHAnsi" w:hAnsiTheme="minorHAnsi" w:eastAsiaTheme="minorEastAsia"/>
              <w:b w:val="0"/>
              <w:color w:val="auto"/>
              <w:sz w:val="22"/>
              <w:lang w:eastAsia="pt-BR"/>
            </w:rPr>
          </w:pPr>
          <w:r>
            <w:fldChar w:fldCharType="begin"/>
            <w:instrText xml:space="preserve"> HYPERLINK \l "_Toc112914768" </w:instrText>
            <w:fldChar w:fldCharType="separate"/>
          </w:r>
          <w:r>
            <w:rPr>
              <w:rStyle w:val="17"/>
            </w:rPr>
            <w:t>1.4</w:t>
          </w:r>
          <w:r>
            <w:rPr>
              <w:rFonts w:asciiTheme="minorHAnsi" w:hAnsiTheme="minorHAnsi" w:eastAsiaTheme="minorEastAsia"/>
              <w:b w:val="0"/>
              <w:color w:val="auto"/>
              <w:sz w:val="22"/>
              <w:lang w:eastAsia="pt-BR"/>
            </w:rPr>
            <w:tab/>
          </w:r>
          <w:r>
            <w:rPr>
              <w:rStyle w:val="17"/>
            </w:rPr>
            <w:t>Organização do Texto</w:t>
          </w:r>
          <w:r>
            <w:tab/>
            <w:fldChar w:fldCharType="begin"/>
            <w:instrText xml:space="preserve"> PAGEREF _Toc112914768 \h </w:instrText>
            <w:fldChar w:fldCharType="separate"/>
            <w:t>15</w:t>
            <w:fldChar w:fldCharType="end"/>
            <w:fldChar w:fldCharType="end"/>
          </w:r>
        </w:p>
        <w:p w14:paraId="389D83FB">
          <w:pPr>
            <w:pStyle w:val="32"/>
            <w:rPr>
              <w:rFonts w:asciiTheme="minorHAnsi" w:hAnsiTheme="minorHAnsi" w:eastAsiaTheme="minorEastAsia"/>
              <w:b w:val="0"/>
              <w:caps w:val="0"/>
              <w:color w:val="auto"/>
              <w:sz w:val="22"/>
              <w:lang w:eastAsia="pt-BR"/>
            </w:rPr>
          </w:pPr>
          <w:r>
            <w:fldChar w:fldCharType="begin"/>
            <w:instrText xml:space="preserve"> HYPERLINK \l "_Toc112914769" </w:instrText>
            <w:fldChar w:fldCharType="separate"/>
          </w:r>
          <w:r>
            <w:rPr>
              <w:rStyle w:val="17"/>
            </w:rPr>
            <w:t>2</w:t>
          </w:r>
          <w:r>
            <w:rPr>
              <w:rFonts w:asciiTheme="minorHAnsi" w:hAnsiTheme="minorHAnsi" w:eastAsiaTheme="minorEastAsia"/>
              <w:b w:val="0"/>
              <w:caps w:val="0"/>
              <w:color w:val="auto"/>
              <w:sz w:val="22"/>
              <w:lang w:eastAsia="pt-BR"/>
            </w:rPr>
            <w:tab/>
          </w:r>
          <w:r>
            <w:rPr>
              <w:rStyle w:val="17"/>
            </w:rPr>
            <w:t>Revisão bibliográfica</w:t>
          </w:r>
          <w:r>
            <w:tab/>
            <w:fldChar w:fldCharType="begin"/>
            <w:instrText xml:space="preserve"> PAGEREF _Toc112914769 \h </w:instrText>
            <w:fldChar w:fldCharType="separate"/>
            <w:t>16</w:t>
            <w:fldChar w:fldCharType="end"/>
            <w:fldChar w:fldCharType="end"/>
          </w:r>
        </w:p>
        <w:p w14:paraId="0DDD1957">
          <w:pPr>
            <w:pStyle w:val="18"/>
            <w:rPr>
              <w:rFonts w:asciiTheme="minorHAnsi" w:hAnsiTheme="minorHAnsi" w:eastAsiaTheme="minorEastAsia"/>
              <w:b w:val="0"/>
              <w:color w:val="auto"/>
              <w:sz w:val="22"/>
              <w:lang w:eastAsia="pt-BR"/>
            </w:rPr>
          </w:pPr>
          <w:r>
            <w:fldChar w:fldCharType="begin"/>
            <w:instrText xml:space="preserve"> HYPERLINK \l "_Toc112914770" </w:instrText>
            <w:fldChar w:fldCharType="separate"/>
          </w:r>
          <w:r>
            <w:rPr>
              <w:rStyle w:val="17"/>
            </w:rPr>
            <w:t>2.1</w:t>
          </w:r>
          <w:r>
            <w:rPr>
              <w:rFonts w:asciiTheme="minorHAnsi" w:hAnsiTheme="minorHAnsi" w:eastAsiaTheme="minorEastAsia"/>
              <w:b w:val="0"/>
              <w:color w:val="auto"/>
              <w:sz w:val="22"/>
              <w:lang w:eastAsia="pt-BR"/>
            </w:rPr>
            <w:tab/>
          </w:r>
          <w:r>
            <w:rPr>
              <w:rStyle w:val="17"/>
            </w:rPr>
            <w:t>Fundamentação Teórica</w:t>
          </w:r>
          <w:r>
            <w:tab/>
            <w:fldChar w:fldCharType="begin"/>
            <w:instrText xml:space="preserve"> PAGEREF _Toc112914770 \h </w:instrText>
            <w:fldChar w:fldCharType="separate"/>
            <w:t>16</w:t>
            <w:fldChar w:fldCharType="end"/>
            <w:fldChar w:fldCharType="end"/>
          </w:r>
        </w:p>
        <w:p w14:paraId="7621DA52">
          <w:pPr>
            <w:pStyle w:val="18"/>
            <w:rPr>
              <w:rFonts w:asciiTheme="minorHAnsi" w:hAnsiTheme="minorHAnsi" w:eastAsiaTheme="minorEastAsia"/>
              <w:b w:val="0"/>
              <w:color w:val="auto"/>
              <w:sz w:val="22"/>
              <w:lang w:eastAsia="pt-BR"/>
            </w:rPr>
          </w:pPr>
          <w:r>
            <w:fldChar w:fldCharType="begin"/>
            <w:instrText xml:space="preserve"> HYPERLINK \l "_Toc112914771" </w:instrText>
            <w:fldChar w:fldCharType="separate"/>
          </w:r>
          <w:r>
            <w:rPr>
              <w:rStyle w:val="17"/>
            </w:rPr>
            <w:t>2.2</w:t>
          </w:r>
          <w:r>
            <w:rPr>
              <w:rFonts w:asciiTheme="minorHAnsi" w:hAnsiTheme="minorHAnsi" w:eastAsiaTheme="minorEastAsia"/>
              <w:b w:val="0"/>
              <w:color w:val="auto"/>
              <w:sz w:val="22"/>
              <w:lang w:eastAsia="pt-BR"/>
            </w:rPr>
            <w:tab/>
          </w:r>
          <w:r>
            <w:rPr>
              <w:rStyle w:val="17"/>
            </w:rPr>
            <w:t>Trabalhos Relacionados</w:t>
          </w:r>
          <w:r>
            <w:tab/>
            <w:fldChar w:fldCharType="begin"/>
            <w:instrText xml:space="preserve"> PAGEREF _Toc112914771 \h </w:instrText>
            <w:fldChar w:fldCharType="separate"/>
            <w:t>16</w:t>
            <w:fldChar w:fldCharType="end"/>
            <w:fldChar w:fldCharType="end"/>
          </w:r>
        </w:p>
        <w:p w14:paraId="0BC17314">
          <w:pPr>
            <w:pStyle w:val="32"/>
            <w:rPr>
              <w:rFonts w:asciiTheme="minorHAnsi" w:hAnsiTheme="minorHAnsi" w:eastAsiaTheme="minorEastAsia"/>
              <w:b w:val="0"/>
              <w:caps w:val="0"/>
              <w:color w:val="auto"/>
              <w:sz w:val="22"/>
              <w:lang w:eastAsia="pt-BR"/>
            </w:rPr>
          </w:pPr>
          <w:r>
            <w:fldChar w:fldCharType="begin"/>
            <w:instrText xml:space="preserve"> HYPERLINK \l "_Toc112914772" </w:instrText>
            <w:fldChar w:fldCharType="separate"/>
          </w:r>
          <w:r>
            <w:rPr>
              <w:rStyle w:val="17"/>
            </w:rPr>
            <w:t>3</w:t>
          </w:r>
          <w:r>
            <w:rPr>
              <w:rFonts w:asciiTheme="minorHAnsi" w:hAnsiTheme="minorHAnsi" w:eastAsiaTheme="minorEastAsia"/>
              <w:b w:val="0"/>
              <w:caps w:val="0"/>
              <w:color w:val="auto"/>
              <w:sz w:val="22"/>
              <w:lang w:eastAsia="pt-BR"/>
            </w:rPr>
            <w:tab/>
          </w:r>
          <w:r>
            <w:rPr>
              <w:rStyle w:val="17"/>
            </w:rPr>
            <w:t>Método de desenvolvimento</w:t>
          </w:r>
          <w:r>
            <w:tab/>
            <w:fldChar w:fldCharType="begin"/>
            <w:instrText xml:space="preserve"> PAGEREF _Toc112914772 \h </w:instrText>
            <w:fldChar w:fldCharType="separate"/>
            <w:t>17</w:t>
            <w:fldChar w:fldCharType="end"/>
            <w:fldChar w:fldCharType="end"/>
          </w:r>
        </w:p>
        <w:p w14:paraId="17688056">
          <w:pPr>
            <w:pStyle w:val="32"/>
            <w:rPr>
              <w:rFonts w:asciiTheme="minorHAnsi" w:hAnsiTheme="minorHAnsi" w:eastAsiaTheme="minorEastAsia"/>
              <w:b w:val="0"/>
              <w:caps w:val="0"/>
              <w:color w:val="auto"/>
              <w:sz w:val="22"/>
              <w:lang w:eastAsia="pt-BR"/>
            </w:rPr>
          </w:pPr>
          <w:r>
            <w:fldChar w:fldCharType="begin"/>
            <w:instrText xml:space="preserve"> HYPERLINK \l "_Toc112914773" </w:instrText>
            <w:fldChar w:fldCharType="separate"/>
          </w:r>
          <w:r>
            <w:rPr>
              <w:rStyle w:val="17"/>
            </w:rPr>
            <w:t>4</w:t>
          </w:r>
          <w:r>
            <w:rPr>
              <w:rFonts w:asciiTheme="minorHAnsi" w:hAnsiTheme="minorHAnsi" w:eastAsiaTheme="minorEastAsia"/>
              <w:b w:val="0"/>
              <w:caps w:val="0"/>
              <w:color w:val="auto"/>
              <w:sz w:val="22"/>
              <w:lang w:eastAsia="pt-BR"/>
            </w:rPr>
            <w:tab/>
          </w:r>
          <w:r>
            <w:rPr>
              <w:rStyle w:val="17"/>
            </w:rPr>
            <w:t>ARQUITETURA DO SOFTWARE</w:t>
          </w:r>
          <w:r>
            <w:tab/>
            <w:fldChar w:fldCharType="begin"/>
            <w:instrText xml:space="preserve"> PAGEREF _Toc112914773 \h </w:instrText>
            <w:fldChar w:fldCharType="separate"/>
            <w:t>18</w:t>
            <w:fldChar w:fldCharType="end"/>
            <w:fldChar w:fldCharType="end"/>
          </w:r>
        </w:p>
        <w:p w14:paraId="1F103451">
          <w:pPr>
            <w:pStyle w:val="18"/>
            <w:rPr>
              <w:rFonts w:asciiTheme="minorHAnsi" w:hAnsiTheme="minorHAnsi" w:eastAsiaTheme="minorEastAsia"/>
              <w:b w:val="0"/>
              <w:color w:val="auto"/>
              <w:sz w:val="22"/>
              <w:lang w:eastAsia="pt-BR"/>
            </w:rPr>
          </w:pPr>
          <w:r>
            <w:fldChar w:fldCharType="begin"/>
            <w:instrText xml:space="preserve"> HYPERLINK \l "_Toc112914774" </w:instrText>
            <w:fldChar w:fldCharType="separate"/>
          </w:r>
          <w:r>
            <w:rPr>
              <w:rStyle w:val="17"/>
            </w:rPr>
            <w:t>4.1</w:t>
          </w:r>
          <w:r>
            <w:rPr>
              <w:rFonts w:asciiTheme="minorHAnsi" w:hAnsiTheme="minorHAnsi" w:eastAsiaTheme="minorEastAsia"/>
              <w:b w:val="0"/>
              <w:color w:val="auto"/>
              <w:sz w:val="22"/>
              <w:lang w:eastAsia="pt-BR"/>
            </w:rPr>
            <w:tab/>
          </w:r>
          <w:r>
            <w:rPr>
              <w:rStyle w:val="17"/>
            </w:rPr>
            <w:t>Aspectos Funcionais e Não Funcionais</w:t>
          </w:r>
          <w:r>
            <w:tab/>
            <w:fldChar w:fldCharType="begin"/>
            <w:instrText xml:space="preserve"> PAGEREF _Toc112914774 \h </w:instrText>
            <w:fldChar w:fldCharType="separate"/>
            <w:t>18</w:t>
            <w:fldChar w:fldCharType="end"/>
            <w:fldChar w:fldCharType="end"/>
          </w:r>
        </w:p>
        <w:p w14:paraId="4BB3CF6E">
          <w:pPr>
            <w:pStyle w:val="18"/>
            <w:rPr>
              <w:rFonts w:asciiTheme="minorHAnsi" w:hAnsiTheme="minorHAnsi" w:eastAsiaTheme="minorEastAsia"/>
              <w:b w:val="0"/>
              <w:color w:val="auto"/>
              <w:sz w:val="22"/>
              <w:lang w:eastAsia="pt-BR"/>
            </w:rPr>
          </w:pPr>
          <w:r>
            <w:fldChar w:fldCharType="begin"/>
            <w:instrText xml:space="preserve"> HYPERLINK \l "_Toc112914775" </w:instrText>
            <w:fldChar w:fldCharType="separate"/>
          </w:r>
          <w:r>
            <w:rPr>
              <w:rStyle w:val="17"/>
            </w:rPr>
            <w:t>4.2</w:t>
          </w:r>
          <w:r>
            <w:rPr>
              <w:rFonts w:asciiTheme="minorHAnsi" w:hAnsiTheme="minorHAnsi" w:eastAsiaTheme="minorEastAsia"/>
              <w:b w:val="0"/>
              <w:color w:val="auto"/>
              <w:sz w:val="22"/>
              <w:lang w:eastAsia="pt-BR"/>
            </w:rPr>
            <w:tab/>
          </w:r>
          <w:r>
            <w:rPr>
              <w:rStyle w:val="17"/>
            </w:rPr>
            <w:t>Visão Estrutural</w:t>
          </w:r>
          <w:r>
            <w:tab/>
            <w:fldChar w:fldCharType="begin"/>
            <w:instrText xml:space="preserve"> PAGEREF _Toc112914775 \h </w:instrText>
            <w:fldChar w:fldCharType="separate"/>
            <w:t>18</w:t>
            <w:fldChar w:fldCharType="end"/>
            <w:fldChar w:fldCharType="end"/>
          </w:r>
        </w:p>
        <w:p w14:paraId="4C299E27">
          <w:pPr>
            <w:pStyle w:val="18"/>
            <w:rPr>
              <w:rFonts w:asciiTheme="minorHAnsi" w:hAnsiTheme="minorHAnsi" w:eastAsiaTheme="minorEastAsia"/>
              <w:b w:val="0"/>
              <w:color w:val="auto"/>
              <w:sz w:val="22"/>
              <w:lang w:eastAsia="pt-BR"/>
            </w:rPr>
          </w:pPr>
          <w:r>
            <w:fldChar w:fldCharType="begin"/>
            <w:instrText xml:space="preserve"> HYPERLINK \l "_Toc112914776" </w:instrText>
            <w:fldChar w:fldCharType="separate"/>
          </w:r>
          <w:r>
            <w:rPr>
              <w:rStyle w:val="17"/>
            </w:rPr>
            <w:t>4.3</w:t>
          </w:r>
          <w:r>
            <w:rPr>
              <w:rFonts w:asciiTheme="minorHAnsi" w:hAnsiTheme="minorHAnsi" w:eastAsiaTheme="minorEastAsia"/>
              <w:b w:val="0"/>
              <w:color w:val="auto"/>
              <w:sz w:val="22"/>
              <w:lang w:eastAsia="pt-BR"/>
            </w:rPr>
            <w:tab/>
          </w:r>
          <w:r>
            <w:rPr>
              <w:rStyle w:val="17"/>
            </w:rPr>
            <w:t>Visão Comportamental</w:t>
          </w:r>
          <w:r>
            <w:tab/>
            <w:fldChar w:fldCharType="begin"/>
            <w:instrText xml:space="preserve"> PAGEREF _Toc112914776 \h </w:instrText>
            <w:fldChar w:fldCharType="separate"/>
            <w:t>18</w:t>
            <w:fldChar w:fldCharType="end"/>
            <w:fldChar w:fldCharType="end"/>
          </w:r>
        </w:p>
        <w:p w14:paraId="73A52D49">
          <w:pPr>
            <w:pStyle w:val="18"/>
            <w:rPr>
              <w:rFonts w:asciiTheme="minorHAnsi" w:hAnsiTheme="minorHAnsi" w:eastAsiaTheme="minorEastAsia"/>
              <w:b w:val="0"/>
              <w:color w:val="auto"/>
              <w:sz w:val="22"/>
              <w:lang w:eastAsia="pt-BR"/>
            </w:rPr>
          </w:pPr>
          <w:r>
            <w:fldChar w:fldCharType="begin"/>
            <w:instrText xml:space="preserve"> HYPERLINK \l "_Toc112914777" </w:instrText>
            <w:fldChar w:fldCharType="separate"/>
          </w:r>
          <w:r>
            <w:rPr>
              <w:rStyle w:val="17"/>
            </w:rPr>
            <w:t>4.4</w:t>
          </w:r>
          <w:r>
            <w:rPr>
              <w:rFonts w:asciiTheme="minorHAnsi" w:hAnsiTheme="minorHAnsi" w:eastAsiaTheme="minorEastAsia"/>
              <w:b w:val="0"/>
              <w:color w:val="auto"/>
              <w:sz w:val="22"/>
              <w:lang w:eastAsia="pt-BR"/>
            </w:rPr>
            <w:tab/>
          </w:r>
          <w:r>
            <w:rPr>
              <w:rStyle w:val="17"/>
            </w:rPr>
            <w:t>Visão de Implementação e Implantação</w:t>
          </w:r>
          <w:r>
            <w:tab/>
            <w:fldChar w:fldCharType="begin"/>
            <w:instrText xml:space="preserve"> PAGEREF _Toc112914777 \h </w:instrText>
            <w:fldChar w:fldCharType="separate"/>
            <w:t>18</w:t>
            <w:fldChar w:fldCharType="end"/>
            <w:fldChar w:fldCharType="end"/>
          </w:r>
        </w:p>
        <w:p w14:paraId="22C731AC">
          <w:pPr>
            <w:pStyle w:val="32"/>
            <w:rPr>
              <w:rFonts w:asciiTheme="minorHAnsi" w:hAnsiTheme="minorHAnsi" w:eastAsiaTheme="minorEastAsia"/>
              <w:b w:val="0"/>
              <w:caps w:val="0"/>
              <w:color w:val="auto"/>
              <w:sz w:val="22"/>
              <w:lang w:eastAsia="pt-BR"/>
            </w:rPr>
          </w:pPr>
          <w:r>
            <w:fldChar w:fldCharType="begin"/>
            <w:instrText xml:space="preserve"> HYPERLINK \l "_Toc112914778" </w:instrText>
            <w:fldChar w:fldCharType="separate"/>
          </w:r>
          <w:r>
            <w:rPr>
              <w:rStyle w:val="17"/>
            </w:rPr>
            <w:t>5</w:t>
          </w:r>
          <w:r>
            <w:rPr>
              <w:rFonts w:asciiTheme="minorHAnsi" w:hAnsiTheme="minorHAnsi" w:eastAsiaTheme="minorEastAsia"/>
              <w:b w:val="0"/>
              <w:caps w:val="0"/>
              <w:color w:val="auto"/>
              <w:sz w:val="22"/>
              <w:lang w:eastAsia="pt-BR"/>
            </w:rPr>
            <w:tab/>
          </w:r>
          <w:r>
            <w:rPr>
              <w:rStyle w:val="17"/>
            </w:rPr>
            <w:t>TECNOLOGIAS E ASPECTOS DE IMPLEMENTAÇÃO</w:t>
          </w:r>
          <w:r>
            <w:tab/>
            <w:fldChar w:fldCharType="begin"/>
            <w:instrText xml:space="preserve"> PAGEREF _Toc112914778 \h </w:instrText>
            <w:fldChar w:fldCharType="separate"/>
            <w:t>19</w:t>
            <w:fldChar w:fldCharType="end"/>
            <w:fldChar w:fldCharType="end"/>
          </w:r>
        </w:p>
        <w:p w14:paraId="4EC9598B">
          <w:pPr>
            <w:pStyle w:val="18"/>
            <w:rPr>
              <w:rFonts w:asciiTheme="minorHAnsi" w:hAnsiTheme="minorHAnsi" w:eastAsiaTheme="minorEastAsia"/>
              <w:b w:val="0"/>
              <w:color w:val="auto"/>
              <w:sz w:val="22"/>
              <w:lang w:eastAsia="pt-BR"/>
            </w:rPr>
          </w:pPr>
          <w:r>
            <w:fldChar w:fldCharType="begin"/>
            <w:instrText xml:space="preserve"> HYPERLINK \l "_Toc112914779" </w:instrText>
            <w:fldChar w:fldCharType="separate"/>
          </w:r>
          <w:r>
            <w:rPr>
              <w:rStyle w:val="17"/>
            </w:rPr>
            <w:t>5.1</w:t>
          </w:r>
          <w:r>
            <w:rPr>
              <w:rFonts w:asciiTheme="minorHAnsi" w:hAnsiTheme="minorHAnsi" w:eastAsiaTheme="minorEastAsia"/>
              <w:b w:val="0"/>
              <w:color w:val="auto"/>
              <w:sz w:val="22"/>
              <w:lang w:eastAsia="pt-BR"/>
            </w:rPr>
            <w:tab/>
          </w:r>
          <w:r>
            <w:rPr>
              <w:rStyle w:val="17"/>
            </w:rPr>
            <w:t>Soluções de Tecnologia</w:t>
          </w:r>
          <w:r>
            <w:tab/>
            <w:fldChar w:fldCharType="begin"/>
            <w:instrText xml:space="preserve"> PAGEREF _Toc112914779 \h </w:instrText>
            <w:fldChar w:fldCharType="separate"/>
            <w:t>19</w:t>
            <w:fldChar w:fldCharType="end"/>
            <w:fldChar w:fldCharType="end"/>
          </w:r>
        </w:p>
        <w:p w14:paraId="1D7CFCF8">
          <w:pPr>
            <w:pStyle w:val="18"/>
            <w:rPr>
              <w:rFonts w:asciiTheme="minorHAnsi" w:hAnsiTheme="minorHAnsi" w:eastAsiaTheme="minorEastAsia"/>
              <w:b w:val="0"/>
              <w:color w:val="auto"/>
              <w:sz w:val="22"/>
              <w:lang w:eastAsia="pt-BR"/>
            </w:rPr>
          </w:pPr>
          <w:r>
            <w:fldChar w:fldCharType="begin"/>
            <w:instrText xml:space="preserve"> HYPERLINK \l "_Toc112914780" </w:instrText>
            <w:fldChar w:fldCharType="separate"/>
          </w:r>
          <w:r>
            <w:rPr>
              <w:rStyle w:val="17"/>
            </w:rPr>
            <w:t>5.2</w:t>
          </w:r>
          <w:r>
            <w:rPr>
              <w:rFonts w:asciiTheme="minorHAnsi" w:hAnsiTheme="minorHAnsi" w:eastAsiaTheme="minorEastAsia"/>
              <w:b w:val="0"/>
              <w:color w:val="auto"/>
              <w:sz w:val="22"/>
              <w:lang w:eastAsia="pt-BR"/>
            </w:rPr>
            <w:tab/>
          </w:r>
          <w:r>
            <w:rPr>
              <w:rStyle w:val="17"/>
            </w:rPr>
            <w:t>Aspectos de Implementação</w:t>
          </w:r>
          <w:r>
            <w:tab/>
            <w:fldChar w:fldCharType="begin"/>
            <w:instrText xml:space="preserve"> PAGEREF _Toc112914780 \h </w:instrText>
            <w:fldChar w:fldCharType="separate"/>
            <w:t>19</w:t>
            <w:fldChar w:fldCharType="end"/>
            <w:fldChar w:fldCharType="end"/>
          </w:r>
        </w:p>
        <w:p w14:paraId="5F0176E8">
          <w:pPr>
            <w:pStyle w:val="32"/>
            <w:rPr>
              <w:rFonts w:asciiTheme="minorHAnsi" w:hAnsiTheme="minorHAnsi" w:eastAsiaTheme="minorEastAsia"/>
              <w:b w:val="0"/>
              <w:caps w:val="0"/>
              <w:color w:val="auto"/>
              <w:sz w:val="22"/>
              <w:lang w:eastAsia="pt-BR"/>
            </w:rPr>
          </w:pPr>
          <w:r>
            <w:fldChar w:fldCharType="begin"/>
            <w:instrText xml:space="preserve"> HYPERLINK \l "_Toc112914781" </w:instrText>
            <w:fldChar w:fldCharType="separate"/>
          </w:r>
          <w:r>
            <w:rPr>
              <w:rStyle w:val="17"/>
            </w:rPr>
            <w:t>6</w:t>
          </w:r>
          <w:r>
            <w:rPr>
              <w:rFonts w:asciiTheme="minorHAnsi" w:hAnsiTheme="minorHAnsi" w:eastAsiaTheme="minorEastAsia"/>
              <w:b w:val="0"/>
              <w:caps w:val="0"/>
              <w:color w:val="auto"/>
              <w:sz w:val="22"/>
              <w:lang w:eastAsia="pt-BR"/>
            </w:rPr>
            <w:tab/>
          </w:r>
          <w:r>
            <w:rPr>
              <w:rStyle w:val="17"/>
            </w:rPr>
            <w:t>TESTES E ANÁLISE DOS RESULTADOS</w:t>
          </w:r>
          <w:r>
            <w:tab/>
            <w:fldChar w:fldCharType="begin"/>
            <w:instrText xml:space="preserve"> PAGEREF _Toc112914781 \h </w:instrText>
            <w:fldChar w:fldCharType="separate"/>
            <w:t>20</w:t>
            <w:fldChar w:fldCharType="end"/>
            <w:fldChar w:fldCharType="end"/>
          </w:r>
        </w:p>
        <w:p w14:paraId="563B80B1">
          <w:pPr>
            <w:pStyle w:val="32"/>
            <w:rPr>
              <w:rFonts w:asciiTheme="minorHAnsi" w:hAnsiTheme="minorHAnsi" w:eastAsiaTheme="minorEastAsia"/>
              <w:b w:val="0"/>
              <w:caps w:val="0"/>
              <w:color w:val="auto"/>
              <w:sz w:val="22"/>
              <w:lang w:eastAsia="pt-BR"/>
            </w:rPr>
          </w:pPr>
          <w:r>
            <w:fldChar w:fldCharType="begin"/>
            <w:instrText xml:space="preserve"> HYPERLINK \l "_Toc112914782" </w:instrText>
            <w:fldChar w:fldCharType="separate"/>
          </w:r>
          <w:r>
            <w:rPr>
              <w:rStyle w:val="17"/>
            </w:rPr>
            <w:t>7</w:t>
          </w:r>
          <w:r>
            <w:rPr>
              <w:rFonts w:asciiTheme="minorHAnsi" w:hAnsiTheme="minorHAnsi" w:eastAsiaTheme="minorEastAsia"/>
              <w:b w:val="0"/>
              <w:caps w:val="0"/>
              <w:color w:val="auto"/>
              <w:sz w:val="22"/>
              <w:lang w:eastAsia="pt-BR"/>
            </w:rPr>
            <w:tab/>
          </w:r>
          <w:r>
            <w:rPr>
              <w:rStyle w:val="17"/>
            </w:rPr>
            <w:t>CONCLUSÕES E TRABALHOS FUTUROS</w:t>
          </w:r>
          <w:r>
            <w:tab/>
            <w:fldChar w:fldCharType="begin"/>
            <w:instrText xml:space="preserve"> PAGEREF _Toc112914782 \h </w:instrText>
            <w:fldChar w:fldCharType="separate"/>
            <w:t>21</w:t>
            <w:fldChar w:fldCharType="end"/>
            <w:fldChar w:fldCharType="end"/>
          </w:r>
        </w:p>
        <w:p w14:paraId="43C4DB0B">
          <w:pPr>
            <w:pStyle w:val="19"/>
            <w:tabs>
              <w:tab w:val="right" w:leader="dot" w:pos="8494"/>
            </w:tabs>
            <w:ind w:left="0"/>
            <w:rPr>
              <w:rFonts w:asciiTheme="minorHAnsi" w:hAnsiTheme="minorHAnsi" w:eastAsiaTheme="minorEastAsia"/>
              <w:b w:val="0"/>
              <w:caps w:val="0"/>
              <w:color w:val="auto"/>
              <w:sz w:val="22"/>
              <w:lang w:eastAsia="pt-BR"/>
            </w:rPr>
          </w:pPr>
          <w:r>
            <w:fldChar w:fldCharType="begin"/>
            <w:instrText xml:space="preserve"> HYPERLINK \l "_Toc112914783" </w:instrText>
            <w:fldChar w:fldCharType="separate"/>
          </w:r>
          <w:r>
            <w:rPr>
              <w:rStyle w:val="17"/>
            </w:rPr>
            <w:t>Referências Bibliográficas</w:t>
          </w:r>
          <w:r>
            <w:tab/>
            <w:fldChar w:fldCharType="begin"/>
            <w:instrText xml:space="preserve"> PAGEREF _Toc112914783 \h </w:instrText>
            <w:fldChar w:fldCharType="separate"/>
            <w:t>22</w:t>
            <w:fldChar w:fldCharType="end"/>
            <w:fldChar w:fldCharType="end"/>
          </w:r>
        </w:p>
        <w:p w14:paraId="72141F8B">
          <w:pPr>
            <w:pStyle w:val="19"/>
            <w:tabs>
              <w:tab w:val="right" w:leader="dot" w:pos="8494"/>
            </w:tabs>
            <w:ind w:left="0"/>
            <w:rPr>
              <w:rFonts w:asciiTheme="minorHAnsi" w:hAnsiTheme="minorHAnsi" w:eastAsiaTheme="minorEastAsia"/>
              <w:b w:val="0"/>
              <w:caps w:val="0"/>
              <w:color w:val="auto"/>
              <w:sz w:val="22"/>
              <w:lang w:eastAsia="pt-BR"/>
            </w:rPr>
          </w:pPr>
          <w:r>
            <w:fldChar w:fldCharType="begin"/>
            <w:instrText xml:space="preserve"> HYPERLINK \l "_Toc112914784" </w:instrText>
            <w:fldChar w:fldCharType="separate"/>
          </w:r>
          <w:r>
            <w:rPr>
              <w:rStyle w:val="17"/>
            </w:rPr>
            <w:t>Apêndice A – título</w:t>
          </w:r>
          <w:r>
            <w:tab/>
            <w:fldChar w:fldCharType="begin"/>
            <w:instrText xml:space="preserve"> PAGEREF _Toc112914784 \h </w:instrText>
            <w:fldChar w:fldCharType="separate"/>
            <w:t>23</w:t>
            <w:fldChar w:fldCharType="end"/>
            <w:fldChar w:fldCharType="end"/>
          </w:r>
        </w:p>
        <w:p w14:paraId="090AFC94">
          <w:pPr>
            <w:pStyle w:val="19"/>
            <w:tabs>
              <w:tab w:val="right" w:leader="dot" w:pos="8494"/>
            </w:tabs>
            <w:ind w:left="0"/>
            <w:rPr>
              <w:rFonts w:asciiTheme="minorHAnsi" w:hAnsiTheme="minorHAnsi" w:eastAsiaTheme="minorEastAsia"/>
              <w:b w:val="0"/>
              <w:caps w:val="0"/>
              <w:color w:val="auto"/>
              <w:sz w:val="22"/>
              <w:lang w:eastAsia="pt-BR"/>
            </w:rPr>
          </w:pPr>
          <w:r>
            <w:fldChar w:fldCharType="begin"/>
            <w:instrText xml:space="preserve"> HYPERLINK \l "_Toc112914785" </w:instrText>
            <w:fldChar w:fldCharType="separate"/>
          </w:r>
          <w:r>
            <w:rPr>
              <w:rStyle w:val="17"/>
            </w:rPr>
            <w:t>Anexo a – título</w:t>
          </w:r>
          <w:r>
            <w:tab/>
            <w:fldChar w:fldCharType="begin"/>
            <w:instrText xml:space="preserve"> PAGEREF _Toc112914785 \h </w:instrText>
            <w:fldChar w:fldCharType="separate"/>
            <w:t>24</w:t>
            <w:fldChar w:fldCharType="end"/>
            <w:fldChar w:fldCharType="end"/>
          </w:r>
        </w:p>
        <w:p w14:paraId="4001C111">
          <w:pPr>
            <w:rPr>
              <w:color w:val="auto"/>
            </w:rPr>
          </w:pPr>
          <w:r>
            <w:rPr>
              <w:b/>
              <w:caps/>
              <w:color w:val="auto"/>
            </w:rPr>
            <w:fldChar w:fldCharType="end"/>
          </w:r>
        </w:p>
      </w:sdtContent>
    </w:sdt>
    <w:p w14:paraId="40D19C9E">
      <w:pPr>
        <w:pStyle w:val="48"/>
        <w:rPr>
          <w:color w:val="auto"/>
        </w:rPr>
      </w:pPr>
    </w:p>
    <w:p w14:paraId="32113B7E">
      <w:pPr>
        <w:rPr>
          <w:color w:val="auto"/>
        </w:rPr>
      </w:pPr>
    </w:p>
    <w:p w14:paraId="2C8EE151">
      <w:pPr>
        <w:rPr>
          <w:color w:val="auto"/>
        </w:rPr>
      </w:pPr>
    </w:p>
    <w:p w14:paraId="7FEAB589">
      <w:pPr>
        <w:rPr>
          <w:color w:val="auto"/>
        </w:rPr>
      </w:pPr>
    </w:p>
    <w:p w14:paraId="52E9F1D6">
      <w:pPr>
        <w:rPr>
          <w:color w:val="auto"/>
        </w:rPr>
      </w:pPr>
    </w:p>
    <w:p w14:paraId="172AC2D8">
      <w:pPr>
        <w:rPr>
          <w:color w:val="auto"/>
        </w:rPr>
        <w:sectPr>
          <w:pgSz w:w="11906" w:h="16838"/>
          <w:pgMar w:top="1417" w:right="1701" w:bottom="1417" w:left="1701" w:header="709" w:footer="709" w:gutter="0"/>
          <w:cols w:space="708" w:num="1"/>
          <w:docGrid w:linePitch="360" w:charSpace="0"/>
        </w:sectPr>
      </w:pPr>
    </w:p>
    <w:bookmarkEnd w:id="0"/>
    <w:p w14:paraId="2365AB6F">
      <w:pPr>
        <w:pStyle w:val="2"/>
        <w:rPr>
          <w:color w:val="auto"/>
        </w:rPr>
      </w:pPr>
      <w:bookmarkStart w:id="1" w:name="_Toc112914764"/>
      <w:r>
        <w:rPr>
          <w:color w:val="auto"/>
        </w:rPr>
        <w:t>Introdução</w:t>
      </w:r>
      <w:bookmarkEnd w:id="1"/>
    </w:p>
    <w:p w14:paraId="7DD01BB1">
      <w:pPr>
        <w:ind w:firstLine="0"/>
        <w:rPr>
          <w:color w:val="auto"/>
        </w:rPr>
      </w:pPr>
    </w:p>
    <w:p w14:paraId="340CE9C5">
      <w:pPr>
        <w:ind w:firstLine="0"/>
        <w:rPr>
          <w:color w:val="2E75B6" w:themeColor="accent5" w:themeShade="BF"/>
        </w:rPr>
      </w:pPr>
      <w:r>
        <w:t>A evasão escolar no Ensino Médio é um fenômeno multifatorial que compromete o desenvolvimento individual e coletivo. No Brasil, a taxa de abandono no Ensino Médio público reflete desigualdades socioeconômicas, geográficas e institucionais profundas. Em Pernambuco, o estado implementou um programa pioneiro de Ensino Médio em Tempo Integral, que expandiu de 56,7% das escolas estaduais em 2022 para 64,9% em 2024. Apesar desse avanço, persiste heterogeneidade expressiva entre as regiões: escolas rurais e da mesorregião do São Francisco Pernambucano concentram os piores indicadores de infraestrutura, formação docente e distorção idade-série.</w:t>
      </w:r>
    </w:p>
    <w:p w14:paraId="2A99E94F">
      <w:pPr>
        <w:ind w:firstLine="0"/>
        <w:rPr>
          <w:color w:val="2E75B6" w:themeColor="accent5" w:themeShade="BF"/>
        </w:rPr>
      </w:pPr>
      <w:r>
        <w:t>A Secretaria Estadual de Educação de Pernambuco (SEE-PE) gerencia cerca de 800 escolas estaduais de Ensino Médio ativas, distribuídas em 185 municípios. A ausência de um mecanismo preditivo estruturado impede que gestores atuem de forma proativa, forçando respostas reativas após a deterioração já observada nos índices de abandono. A predição do risco em nível de escola — em vez do nível individual do aluno — permite direcionar recursos e atenção a unidades escolares inteiras, o que é operacionalmente mais factível para a gestão da rede pública estadual.</w:t>
      </w:r>
    </w:p>
    <w:p w14:paraId="7C8FD161">
      <w:pPr>
        <w:ind w:firstLine="0"/>
        <w:rPr>
          <w:color w:val="2E75B6" w:themeColor="accent5" w:themeShade="BF"/>
        </w:rPr>
      </w:pPr>
      <w:r>
        <w:t>Este trabalho apresenta o desenvolvimento de um sistema de identificação precoce do risco de evasão escolar em escolas estaduais de Ensino Médio de Pernambuco. A abordagem integra dados públicos do INEP — Censo Escolar (2022–2024), Taxas de Rendimento, INSE, IRD, TDI e AFD — e aplica o modelo XGBoost com análise de interpretabilidade SHAP para gerar predições e explicações acionáveis para os gestores da rede estadual. O modelo é treinado com features do ano t para prever a taxa de abandono do ano t+1, permitindo intervenção antecipada e direcionada.</w:t>
      </w:r>
    </w:p>
    <w:p w14:paraId="20C91A74">
      <w:pPr>
        <w:ind w:firstLine="0"/>
        <w:rPr>
          <w:color w:val="2E75B6" w:themeColor="accent5" w:themeShade="BF"/>
        </w:rPr>
      </w:pPr>
    </w:p>
    <w:p w14:paraId="09CB989D">
      <w:pPr>
        <w:pStyle w:val="3"/>
      </w:pPr>
      <w:bookmarkStart w:id="2" w:name="_Toc112914765"/>
      <w:r>
        <w:t>Objetivo Geral</w:t>
      </w:r>
      <w:bookmarkEnd w:id="2"/>
    </w:p>
    <w:p w14:paraId="3247A7FC">
      <w:pPr>
        <w:ind w:firstLine="0"/>
        <w:rPr>
          <w:color w:val="auto"/>
        </w:rPr>
      </w:pPr>
    </w:p>
    <w:p w14:paraId="73682C5A">
      <w:pPr>
        <w:ind w:firstLine="0"/>
        <w:rPr>
          <w:color w:val="auto"/>
        </w:rPr>
      </w:pPr>
      <w:r>
        <w:t>Desenvolver um modelo preditivo para identificação precoce do risco de evasão escolar em escolas estaduais de Ensino Médio de Pernambuco, capaz de estimar a taxa de abandono do ano seguinte a partir de características estruturais, operacionais e de desempenho das escolas observadas no ano corrente, com interpretabilidade suficiente para subsidiar decisões dos gestores da Secretaria Estadual de Educação de Pernambuco.</w:t>
      </w:r>
    </w:p>
    <w:p w14:paraId="2550AF64">
      <w:pPr>
        <w:ind w:firstLine="0"/>
        <w:rPr>
          <w:color w:val="auto"/>
        </w:rPr>
      </w:pPr>
    </w:p>
    <w:p w14:paraId="78D59595">
      <w:pPr>
        <w:pStyle w:val="3"/>
      </w:pPr>
      <w:bookmarkStart w:id="3" w:name="_Toc112914766"/>
      <w:r>
        <w:t>Objetivos Específicos</w:t>
      </w:r>
      <w:bookmarkEnd w:id="3"/>
    </w:p>
    <w:p w14:paraId="38186CEA">
      <w:pPr>
        <w:ind w:firstLine="0"/>
        <w:rPr>
          <w:color w:val="auto"/>
        </w:rPr>
      </w:pPr>
    </w:p>
    <w:p w14:paraId="01EA74CC">
      <w:pPr>
        <w:ind w:firstLine="0"/>
        <w:rPr>
          <w:color w:val="auto"/>
        </w:rPr>
      </w:pPr>
      <w:r>
        <w:t>Os objetivos específicos deste trabalho são:</w:t>
      </w:r>
    </w:p>
    <w:p w14:paraId="0399F77E">
      <w:pPr>
        <w:ind w:firstLine="0"/>
        <w:rPr>
          <w:color w:val="auto"/>
        </w:rPr>
      </w:pPr>
      <w:r>
        <w:t>a) Construir um painel longitudinal de escolas estaduais de Ensino Médio de Pernambuco (2022–2024) a partir dos microdados do Censo Escolar do INEP;</w:t>
      </w:r>
    </w:p>
    <w:p w14:paraId="00A82DC9">
      <w:pPr>
        <w:ind w:firstLine="0"/>
        <w:rPr>
          <w:color w:val="auto"/>
        </w:rPr>
      </w:pPr>
      <w:r>
        <w:t>b) Integrar indicadores complementares do INEP — INSE, IRD, TDI e AFD — ao painel do Censo, criando um dataset unificado por escola e ano;</w:t>
      </w:r>
    </w:p>
    <w:p w14:paraId="7EA3FBBD">
      <w:pPr>
        <w:ind w:firstLine="0"/>
        <w:rPr>
          <w:color w:val="auto"/>
        </w:rPr>
      </w:pPr>
      <w:r>
        <w:t>c) Realizar análises exploratórias e descritivas para caracterizar o perfil das escolas e identificar fatores estruturais associados ao abandono escolar;</w:t>
      </w:r>
    </w:p>
    <w:p w14:paraId="2ECE1D99">
      <w:pPr>
        <w:ind w:firstLine="0"/>
        <w:rPr>
          <w:color w:val="auto"/>
        </w:rPr>
      </w:pPr>
      <w:r>
        <w:t>d) Construir um dataset de features com lógica temporal (features do ano t → target do ano t+1) e realizar feature engineering para o modelo preditivo;</w:t>
      </w:r>
    </w:p>
    <w:p w14:paraId="0FAD0760">
      <w:pPr>
        <w:ind w:firstLine="0"/>
        <w:rPr>
          <w:color w:val="auto"/>
        </w:rPr>
      </w:pPr>
      <w:r>
        <w:t>e) Treinar e avaliar modelos de aprendizado de máquina — baseline Ridge e Random Forest e modelo principal XGBoost — para predição da taxa de abandono, com GroupKFold por município para validação robusta;</w:t>
      </w:r>
    </w:p>
    <w:p w14:paraId="37873DB8">
      <w:pPr>
        <w:ind w:firstLine="0"/>
        <w:rPr>
          <w:color w:val="auto"/>
        </w:rPr>
      </w:pPr>
      <w:r>
        <w:t>f) Aplicar análise SHAP para interpretação das predições, identificando as variáveis mais relevantes para o risco de evasão e produzindo insumos para um dashboard interativo em Streamlit voltado aos gestores da SEE-PE.</w:t>
      </w:r>
    </w:p>
    <w:p w14:paraId="39B26F7C">
      <w:pPr>
        <w:ind w:firstLine="0"/>
        <w:rPr>
          <w:color w:val="auto"/>
        </w:rPr>
      </w:pPr>
    </w:p>
    <w:p w14:paraId="0A9F2C20">
      <w:pPr>
        <w:ind w:firstLine="0"/>
        <w:rPr>
          <w:color w:val="auto"/>
        </w:rPr>
      </w:pPr>
    </w:p>
    <w:p w14:paraId="3CECDF04">
      <w:pPr>
        <w:pStyle w:val="3"/>
      </w:pPr>
      <w:bookmarkStart w:id="4" w:name="_Toc112914767"/>
      <w:r>
        <w:t>Escopo do Projeto</w:t>
      </w:r>
      <w:bookmarkEnd w:id="4"/>
    </w:p>
    <w:p w14:paraId="4E3DE6AE">
      <w:pPr>
        <w:ind w:firstLine="0"/>
        <w:rPr>
          <w:color w:val="auto"/>
        </w:rPr>
      </w:pPr>
    </w:p>
    <w:p w14:paraId="7D1E587E">
      <w:pPr>
        <w:ind w:firstLine="0"/>
        <w:rPr>
          <w:color w:val="auto"/>
        </w:rPr>
      </w:pPr>
      <w:r>
        <w:t>O projeto abrange o desenvolvimento de um pipeline completo de ciência de dados — do ETL ao modelo preditivo — voltado exclusivamente para escolas estaduais de Ensino Médio ativas em Pernambuco. A unidade de análise é a escola, não o aluno, o que permite o uso dos microdados públicos do Censo Escolar e mantém o volume de observações em uma faixa gerenciável (~800 escolas/ano, ~1.600 observações no dataset final).</w:t>
      </w:r>
    </w:p>
    <w:p w14:paraId="138C80F3">
      <w:pPr>
        <w:ind w:firstLine="0"/>
        <w:rPr>
          <w:color w:val="auto"/>
        </w:rPr>
      </w:pPr>
      <w:r>
        <w:t>O escopo técnico inclui: (i) coleta e tratamento dos microdados do Censo Escolar do INEP (2022, 2023 e 2024) e dos indicadores complementares — INSE, IRD, TDI, AFD e Taxas de Rendimento; (ii) análise exploratória e feature engineering com 30 features e lógica temporal (t → t+1); (iii) treinamento e avaliação dos modelos preditivos com validação temporal; (iv) análise de interpretabilidade SHAP; e (v) construção de um dashboard interativo em Streamlit para os gestores da SEE-PE.</w:t>
      </w:r>
    </w:p>
    <w:p w14:paraId="503F60B2">
      <w:pPr>
        <w:ind w:firstLine="0"/>
        <w:rPr>
          <w:color w:val="auto"/>
        </w:rPr>
      </w:pPr>
      <w:r>
        <w:t>Estão fora do escopo: análises em nível de aluno, dados de redes municipais ou federais, predições para outros estados da federação e implantação do sistema em ambiente de produção da Secretaria Estadual.</w:t>
      </w:r>
    </w:p>
    <w:p w14:paraId="22057150">
      <w:pPr>
        <w:ind w:firstLine="0"/>
        <w:rPr>
          <w:color w:val="auto"/>
        </w:rPr>
      </w:pPr>
    </w:p>
    <w:p w14:paraId="321EAA6A">
      <w:pPr>
        <w:pStyle w:val="3"/>
      </w:pPr>
      <w:bookmarkStart w:id="5" w:name="_Toc112914768"/>
      <w:r>
        <w:t>Organização do Texto</w:t>
      </w:r>
      <w:bookmarkEnd w:id="5"/>
    </w:p>
    <w:p w14:paraId="02B7B11A">
      <w:pPr>
        <w:ind w:firstLine="0"/>
        <w:rPr>
          <w:color w:val="2E75B6" w:themeColor="accent5" w:themeShade="BF"/>
        </w:rPr>
      </w:pPr>
    </w:p>
    <w:p w14:paraId="14D7B9F5">
      <w:pPr>
        <w:ind w:firstLine="0"/>
        <w:rPr>
          <w:color w:val="auto"/>
        </w:rPr>
      </w:pPr>
      <w:r>
        <w:t>Este trabalho está organizado em sete capítulos. O Capítulo 1 — Introdução — contextualiza o problema da evasão escolar no Ensino Médio público de Pernambuco, define os objetivos e delimita o escopo. O Capítulo 2 — Revisão Bibliográfica — apresenta a fundamentação teórica sobre evasão escolar e aprendizado de máquina aplicado à educação, além dos trabalhos relacionados. O Capítulo 3 — Método de Desenvolvimento — descreve o pipeline de ciência de dados adotado, da coleta ao modelo. O Capítulo 4 — Arquitetura do Software — detalha os componentes do sistema (ETL, modelagem e visualização). O Capítulo 5 — Tecnologias e Implementação — apresenta as ferramentas utilizadas (Python, pandas, XGBoost, SHAP, Streamlit). O Capítulo 6 — Testes e Resultados — reporta os resultados das análises exploratórias, do feature engineering, do modelo preditivo e da explicabilidade do modelo com SHAP. O Capítulo 7 — Conclusões — sintetiza as contribuições e aponta trabalhos futuros.</w:t>
      </w:r>
    </w:p>
    <w:p w14:paraId="6BCBF4EF">
      <w:pPr>
        <w:ind w:firstLine="0"/>
        <w:rPr>
          <w:color w:val="auto"/>
        </w:rPr>
      </w:pPr>
      <w:r>
        <w:t>Principais decisões metodológicas adotadas:</w:t>
      </w:r>
    </w:p>
    <w:p>
      <w:pPr>
        <w:ind w:left="397" w:firstLine="0"/>
        <w:rPr>
          <w:color w:val="auto"/>
        </w:rPr>
      </w:pPr>
      <w:r>
        <w:t>(i) a unidade de análise é a escola — não o aluno —, pois os dados públicos do Censo estão disponíveis nesse nível e o volume (~800 obs./ano) é adequado para ML interpretável;</w:t>
      </w:r>
    </w:p>
    <w:p>
      <w:pPr>
        <w:ind w:left="397" w:firstLine="0"/>
        <w:rPr>
          <w:color w:val="auto"/>
        </w:rPr>
      </w:pPr>
      <w:r>
        <w:t>(ii) a variável-alvo é a taxa de abandono do ano t+1, construída com shift temporal nas Taxas de Rendimento do INEP, criando uma lógica genuinamente preditiva;</w:t>
      </w:r>
    </w:p>
    <w:p>
      <w:pPr>
        <w:ind w:left="397" w:firstLine="0"/>
        <w:rPr>
          <w:color w:val="auto"/>
        </w:rPr>
      </w:pPr>
      <w:r>
        <w:t>(iii) os indicadores INSE, IRD, TDI e AFD foram incorporados para capturar dimensões ausentes no Censo (nível socioeconômico, qualidade docente e distorção etária);</w:t>
      </w:r>
    </w:p>
    <w:p>
      <w:pPr>
        <w:ind w:left="397" w:firstLine="0"/>
        <w:rPr>
          <w:color w:val="auto"/>
        </w:rPr>
      </w:pPr>
      <w:r>
        <w:t>(iv) o INSE foi tratado como variável estática (edição 2021), pois não há versão posterior disponível em nível de escola;</w:t>
      </w:r>
    </w:p>
    <w:p>
      <w:pPr>
        <w:ind w:left="397" w:firstLine="0"/>
        <w:rPr>
          <w:color w:val="auto"/>
        </w:rPr>
      </w:pPr>
      <w:r>
        <w:t>(v) QT_TUR_MED e QT_DOC_MED foram excluídas por colinearidade com QT_MAT_MED (r&gt;0,85);</w:t>
      </w:r>
    </w:p>
    <w:p>
      <w:pPr>
        <w:ind w:left="397" w:firstLine="0"/>
        <w:rPr>
          <w:color w:val="auto"/>
        </w:rPr>
      </w:pPr>
      <w:r>
        <w:t>(vi) TAXA_APROV_MED foi excluída por identidade aritmética com reprovação e abandono (aprov + reprov + abnd = 100%).</w:t>
      </w:r>
    </w:p>
    <w:p w14:paraId="1F2276D2">
      <w:pPr>
        <w:ind w:firstLine="0"/>
        <w:rPr>
          <w:color w:val="auto"/>
        </w:rPr>
      </w:pPr>
      <w:r>
        <w:t>Problemas encontrados durante o desenvolvimento:</w:t>
      </w:r>
    </w:p>
    <w:p>
      <w:pPr>
        <w:ind w:left="397" w:firstLine="0"/>
        <w:rPr>
          <w:color w:val="auto"/>
        </w:rPr>
      </w:pPr>
      <w:r>
        <w:t>(i) inconsistência no código de mesorregião entre o Censo de 2022 (escala 1–5) e o de 2023 (código IBGE 2601–2605), corrigida com mapeamento explícito no ETL;</w:t>
      </w:r>
    </w:p>
    <w:p>
      <w:pPr>
        <w:ind w:left="397" w:firstLine="0"/>
        <w:rPr>
          <w:color w:val="auto"/>
        </w:rPr>
      </w:pPr>
      <w:r>
        <w:t>(ii) a coluna QT_MAT_MED_NM apresentou 100% de missing em 2022, sendo descartada da análise;</w:t>
      </w:r>
    </w:p>
    <w:p>
      <w:pPr>
        <w:ind w:left="397" w:firstLine="0"/>
        <w:rPr>
          <w:color w:val="auto"/>
        </w:rPr>
      </w:pPr>
      <w:r>
        <w:t>(iii) o INSE 2021 cobre 94,8% das escolas do painel, com os 5,2% restantes imputados por média de mesorregião;</w:t>
      </w:r>
    </w:p>
    <w:p>
      <w:pPr>
        <w:ind w:left="397" w:firstLine="0"/>
        <w:rPr>
          <w:color w:val="auto"/>
        </w:rPr>
      </w:pPr>
      <w:r>
        <w:t>(iv) as Taxas de Rendimento são fornecidas em formato Excel com cabeçalho de 8 linhas e células '--' para escolas sem oferta da série, exigindo parser especializado no ETL;</w:t>
      </w:r>
    </w:p>
    <w:p>
      <w:pPr>
        <w:ind w:left="397" w:firstLine="0"/>
        <w:rPr>
          <w:color w:val="auto"/>
        </w:rPr>
      </w:pPr>
      <w:r>
        <w:t>(v) os arquivos de IRD, TDI e AFD são distribuídos por dependência administrativa em arquivos separados, exigindo filtros e joins cuidadosos para isolar as escolas estaduais de Ensino Médio de Pernambuco.</w:t>
      </w:r>
    </w:p>
    <w:p w14:paraId="604E0ACB">
      <w:pPr>
        <w:ind w:firstLine="0"/>
        <w:rPr>
          <w:color w:val="auto"/>
        </w:rPr>
      </w:pPr>
      <w:r>
        <w:t>Principais resultados obtidos até o momento:</w:t>
      </w:r>
    </w:p>
    <w:p>
      <w:pPr>
        <w:ind w:left="397" w:firstLine="0"/>
        <w:rPr>
          <w:color w:val="auto"/>
        </w:rPr>
      </w:pPr>
      <w:r>
        <w:t>(i) painel longitudinal estável com 806 escolas únicas, 2.392 linhas e 97,4% de cobertura nos três anos analisados;</w:t>
      </w:r>
    </w:p>
    <w:p>
      <w:pPr>
        <w:ind w:left="397" w:firstLine="0"/>
        <w:rPr>
          <w:color w:val="auto"/>
        </w:rPr>
      </w:pPr>
      <w:r>
        <w:t>(ii) dataset final de modelagem com 1.586 observações, 30 features e 0% de missing após imputação por média de mesorregião×ano;</w:t>
      </w:r>
    </w:p>
    <w:p>
      <w:pPr>
        <w:ind w:left="397" w:firstLine="0"/>
        <w:rPr>
          <w:color w:val="auto"/>
        </w:rPr>
      </w:pPr>
      <w:r>
        <w:t>(iii) infraestrutura significativamente inferior nas escolas rurais (índice médio 0,52 vs. 0,71 nas urbanas; p&lt;0,0001);</w:t>
      </w:r>
    </w:p>
    <w:p>
      <w:pPr>
        <w:ind w:left="397" w:firstLine="0"/>
        <w:rPr>
          <w:color w:val="auto"/>
        </w:rPr>
      </w:pPr>
      <w:r>
        <w:t>(iv) crescimento do ensino integral de 56,7% em 2022 para 64,9% em 2024, com 50% das escolas operando em regime 100% integral em 2024;</w:t>
      </w:r>
    </w:p>
    <w:p>
      <w:pPr>
        <w:ind w:left="397" w:firstLine="0"/>
        <w:rPr>
          <w:color w:val="auto"/>
        </w:rPr>
      </w:pPr>
      <w:r>
        <w:t>(v) correlações Spearman mais fortes com a taxa de abandono futura: lag de abandono (r≈+0,80), distorção idade-série (r≈+0,55) e nível socioeconômico (INSE, r≈−0,40);</w:t>
      </w:r>
    </w:p>
    <w:p>
      <w:pPr>
        <w:ind w:left="397" w:firstLine="0"/>
        <w:rPr>
          <w:color w:val="auto"/>
        </w:rPr>
      </w:pPr>
      <w:r>
        <w:t>(vi) concentração de risco nos municípios da mesorregião do São Francisco Pernambucano, que acumula menores índices de IRD e INSE e maiores taxas de abandono e distorção idade-série;</w:t>
      </w:r>
    </w:p>
    <w:p>
      <w:pPr>
        <w:ind w:left="397" w:firstLine="0"/>
        <w:rPr>
          <w:color w:val="auto"/>
        </w:rPr>
      </w:pPr>
      <w:r>
        <w:t>(vii) explicabilidade do modelo definitivo com SHAP, que confirmou o lag de abandono, a reprovação e a distorção idade-série como os principais determinantes do risco previsto, com direções coerentes com a teoria (abandono, reprovação e distorção elevam o risco; nível socioeconômico elevado o reduz);</w:t>
      </w:r>
    </w:p>
    <w:p>
      <w:pPr>
        <w:ind w:left="397" w:firstLine="0"/>
        <w:rPr>
          <w:color w:val="auto"/>
        </w:rPr>
      </w:pPr>
      <w:r>
        <w:t>(viii) diagnóstico de equidade: o modelo definitivo mantém superpredição sistemática do abandono nas escolas de localização diferenciada (resíduo médio de −3,99 pontos percentuais na validação temporal), indício de fatores protetivos de vínculo comunitário não capturados pelas variáveis disponíveis.</w:t>
      </w:r>
    </w:p>
    <w:p w14:paraId="0A9F8E59">
      <w:pPr>
        <w:ind w:firstLine="0"/>
      </w:pPr>
    </w:p>
    <w:p w14:paraId="0A57E07C">
      <w:pPr>
        <w:pStyle w:val="2"/>
      </w:pPr>
      <w:bookmarkStart w:id="6" w:name="_Toc112914769"/>
      <w:bookmarkStart w:id="7" w:name="_Hlk81495260"/>
      <w:r>
        <w:t>Revisão bibliográfica</w:t>
      </w:r>
      <w:bookmarkEnd w:id="6"/>
    </w:p>
    <w:bookmarkEnd w:id="7"/>
    <w:p w14:paraId="3556ABFA">
      <w:pPr>
        <w:ind w:firstLine="0"/>
      </w:pPr>
    </w:p>
    <w:p w14:paraId="5508DE57">
      <w:pPr>
        <w:ind w:firstLine="0"/>
      </w:pPr>
      <w:r>
        <w:rPr>
          <w:color w:val="2E75B6" w:themeColor="accent5" w:themeShade="BF"/>
        </w:rPr>
        <w:t>&lt;revisão bibliográfica contendo a fundamentação teórica do trabalho e os trabalhos relacionados&gt;</w:t>
      </w:r>
    </w:p>
    <w:p w14:paraId="24195CE0">
      <w:pPr>
        <w:ind w:firstLine="0"/>
      </w:pPr>
    </w:p>
    <w:p w14:paraId="1FFEDEBA">
      <w:pPr>
        <w:pStyle w:val="3"/>
      </w:pPr>
      <w:bookmarkStart w:id="8" w:name="_Toc112914770"/>
      <w:r>
        <w:t>Fundamentação Teórica</w:t>
      </w:r>
      <w:bookmarkEnd w:id="8"/>
    </w:p>
    <w:p w14:paraId="6AF383C5">
      <w:pPr>
        <w:ind w:firstLine="0"/>
      </w:pPr>
    </w:p>
    <w:p w14:paraId="587393DC">
      <w:pPr>
        <w:ind w:firstLine="0"/>
      </w:pPr>
      <w:r>
        <w:rPr>
          <w:color w:val="2E75B6" w:themeColor="accent5" w:themeShade="BF"/>
        </w:rPr>
        <w:t>&lt;Fundamentos teóricos necessários para o entendimento do trabalho de conclusão de curso&gt;</w:t>
      </w:r>
    </w:p>
    <w:p w14:paraId="223D89C2">
      <w:pPr>
        <w:ind w:firstLine="0"/>
      </w:pPr>
    </w:p>
    <w:p w14:paraId="36984737">
      <w:pPr>
        <w:ind w:firstLine="0"/>
      </w:pPr>
    </w:p>
    <w:p w14:paraId="552F0FFD">
      <w:pPr>
        <w:ind w:firstLine="0"/>
      </w:pPr>
    </w:p>
    <w:p w14:paraId="567296D8">
      <w:pPr>
        <w:ind w:firstLine="0"/>
      </w:pPr>
    </w:p>
    <w:p w14:paraId="1485DB1F">
      <w:pPr>
        <w:ind w:firstLine="0"/>
      </w:pPr>
    </w:p>
    <w:p w14:paraId="5BFFC4C8">
      <w:pPr>
        <w:ind w:firstLine="0"/>
      </w:pPr>
    </w:p>
    <w:p w14:paraId="3E7B9B96">
      <w:pPr>
        <w:ind w:firstLine="0"/>
      </w:pPr>
    </w:p>
    <w:p w14:paraId="5E33496A">
      <w:pPr>
        <w:pStyle w:val="3"/>
      </w:pPr>
      <w:bookmarkStart w:id="9" w:name="_Toc112914771"/>
      <w:r>
        <w:t>Trabalhos Relacionados</w:t>
      </w:r>
      <w:bookmarkEnd w:id="9"/>
    </w:p>
    <w:p w14:paraId="0398B9A1">
      <w:pPr>
        <w:ind w:firstLine="0"/>
      </w:pPr>
    </w:p>
    <w:p w14:paraId="10876F37">
      <w:pPr>
        <w:ind w:firstLine="0"/>
      </w:pPr>
      <w:r>
        <w:rPr>
          <w:color w:val="2E75B6" w:themeColor="accent5" w:themeShade="BF"/>
        </w:rPr>
        <w:t>&lt;Pelo menos 2 trabalhos relacionados ao TCC proposto&gt;</w:t>
      </w:r>
    </w:p>
    <w:p w14:paraId="65624212">
      <w:pPr>
        <w:ind w:firstLine="0"/>
      </w:pPr>
      <w:r>
        <w:br w:type="page"/>
      </w:r>
    </w:p>
    <w:p w14:paraId="7EAF8471">
      <w:pPr>
        <w:pStyle w:val="2"/>
      </w:pPr>
      <w:bookmarkStart w:id="10" w:name="_Hlk81495319"/>
      <w:r>
        <w:t xml:space="preserve"> </w:t>
      </w:r>
      <w:bookmarkStart w:id="11" w:name="_Toc112914772"/>
      <w:r>
        <w:t>Método de desenvolvimento</w:t>
      </w:r>
      <w:bookmarkEnd w:id="11"/>
    </w:p>
    <w:p w14:paraId="7C9DBFCE">
      <w:pPr>
        <w:ind w:firstLine="0"/>
      </w:pPr>
    </w:p>
    <w:p w14:paraId="566F3D7B">
      <w:r>
        <w:t xml:space="preserve">Este capítulo descreve o método de desenvolvimento adotado no projeto, as fases executadas </w:t>
      </w:r>
      <w:bookmarkStart w:id="34" w:name="_GoBack"/>
      <w:bookmarkEnd w:id="34"/>
      <w:r>
        <w:t>e as práticas de engenharia de software aplicadas ao longo do processo. Por se tratar de um sistema cujo núcleo é um pipeline de ciência de dados, o método combina o processo CRISP-DM (Cross-Industry Standard Process for Data Mining) com um ciclo de desenvolvimento iterativo e incremental, no qual cada fase produz artefatos verificáveis — código testado, dados intermediários versionáveis e relatórios técnicos — antes do avanço para a fase seguinte.</w:t>
      </w:r>
    </w:p>
    <w:p w14:paraId="50063C86">
      <w:pPr>
        <w:pStyle w:val="3"/>
      </w:pPr>
      <w:r>
        <w:t>Processo de Desenvolvimento Adotado</w:t>
      </w:r>
    </w:p>
    <w:p w14:paraId="79FB99AF">
      <w:r>
        <w:t>O CRISP-DM organiza projetos de mineração de dados em seis etapas: entendimento do negócio, entendimento dos dados, preparação dos dados, modelagem, avaliação e implantação. Essas etapas foram mapeadas para fases do projeto com critérios de saída explícitos, executadas de forma incremental: cada fase é concluída com um commit identificado no controle de versão e com um relatório técnico que documenta decisões, problemas encontrados e resultados obtidos. Esse arranjo permite retornar a fases anteriores quando novas evidências surgem — característica essencial em projetos de ciência de dados, nos quais a qualidade dos dados só é plenamente conhecida durante a exploração.</w:t>
      </w:r>
    </w:p>
    <w:p w14:paraId="2ECB9FCB">
      <w:r>
        <w:t>O desenvolvimento segue ainda uma separação explícita entre código de produção e código de análise: os módulos reutilizáveis do pipeline residem no pacote src/ (subpacotes src/data, src/features, src/models e src/recommend), enquanto os scripts analíticos numerados residem em notebooks/ e consomem os módulos de src/. Os dados seguem a convenção raw → interim → processed: os arquivos originais do INEP permanecem imutáveis em data/raw/, os produtos intermediários de ETL são gravados em data/interim/ no formato Parquet e o dataset final de modelagem é gravado em data/processed/. Essa organização garante reprodutibilidade — qualquer etapa pode ser reexecutada a partir dos dados originais — e testabilidade, pois cada módulo de src/ é coberto por testes unitários.</w:t>
      </w:r>
    </w:p>
    <w:p w14:paraId="5E61EAE7">
      <w:pPr>
        <w:pStyle w:val="3"/>
      </w:pPr>
      <w:r>
        <w:t>Fases Executadas</w:t>
      </w:r>
    </w:p>
    <w:p w14:paraId="030FBE9D">
      <w:r>
        <w:t>O Quadro a seguir resume as fases do método, os principais artefatos produzidos e a situação de cada uma no momento da escrita deste texto.</w:t>
      </w:r>
    </w:p>
    <w:p w14:paraId="54C924A1">
      <w:pPr>
        <w:pStyle w:val="28"/>
      </w:pPr>
      <w:r>
        <w:t>Quadro – Fases do método de desenvolvimento e artefatos produzidos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451"/>
        <w:gridCol w:w="2268"/>
      </w:tblGrid>
      <w:tr w14:paraId="4D07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F1FD384">
            <w:r>
              <w:rPr>
                <w:b/>
                <w:sz w:val="20"/>
              </w:rPr>
              <w:t>Fase</w:t>
            </w:r>
          </w:p>
        </w:tc>
        <w:tc>
          <w:tcPr>
            <w:tcW w:w="2268" w:type="dxa"/>
          </w:tcPr>
          <w:p w14:paraId="370C182F">
            <w:r>
              <w:rPr>
                <w:b/>
                <w:sz w:val="20"/>
              </w:rPr>
              <w:t>Etapa CRISP-DM</w:t>
            </w:r>
          </w:p>
        </w:tc>
        <w:tc>
          <w:tcPr>
            <w:tcW w:w="2268" w:type="dxa"/>
          </w:tcPr>
          <w:p w14:paraId="7013E9D3">
            <w:r>
              <w:rPr>
                <w:b/>
                <w:sz w:val="20"/>
              </w:rPr>
              <w:t>Principais artefatos</w:t>
            </w:r>
          </w:p>
        </w:tc>
        <w:tc>
          <w:tcPr>
            <w:tcW w:w="2268" w:type="dxa"/>
          </w:tcPr>
          <w:p w14:paraId="1D2E431C">
            <w:r>
              <w:rPr>
                <w:b/>
                <w:sz w:val="20"/>
              </w:rPr>
              <w:t>Situação</w:t>
            </w:r>
          </w:p>
        </w:tc>
      </w:tr>
      <w:tr w14:paraId="3BF1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73CEC0">
            <w:r>
              <w:rPr>
                <w:sz w:val="20"/>
              </w:rPr>
              <w:t>0. Planejamento e decisões metodológicas</w:t>
            </w:r>
          </w:p>
        </w:tc>
        <w:tc>
          <w:tcPr>
            <w:tcW w:w="2268" w:type="dxa"/>
          </w:tcPr>
          <w:p w14:paraId="705B909E">
            <w:r>
              <w:rPr>
                <w:sz w:val="20"/>
              </w:rPr>
              <w:t>Entendimento do negócio</w:t>
            </w:r>
          </w:p>
        </w:tc>
        <w:tc>
          <w:tcPr>
            <w:tcW w:w="2268" w:type="dxa"/>
          </w:tcPr>
          <w:p w14:paraId="748B1AA1">
            <w:r>
              <w:rPr>
                <w:sz w:val="20"/>
              </w:rPr>
              <w:t>Documento de decisões do projeto (perguntas de pesquisa, unidade de análise, target, fontes de dados, stack tecnológica)</w:t>
            </w:r>
          </w:p>
        </w:tc>
        <w:tc>
          <w:tcPr>
            <w:tcW w:w="2268" w:type="dxa"/>
          </w:tcPr>
          <w:p w14:paraId="52B68E72">
            <w:r>
              <w:rPr>
                <w:sz w:val="20"/>
              </w:rPr>
              <w:t>Concluída</w:t>
            </w:r>
          </w:p>
        </w:tc>
      </w:tr>
      <w:tr w14:paraId="05EF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806BF67">
            <w:r>
              <w:rPr>
                <w:sz w:val="20"/>
              </w:rPr>
              <w:t>1. ETL do Censo Escolar e análise exploratória</w:t>
            </w:r>
          </w:p>
        </w:tc>
        <w:tc>
          <w:tcPr>
            <w:tcW w:w="2268" w:type="dxa"/>
          </w:tcPr>
          <w:p w14:paraId="2FCDCCBB">
            <w:r>
              <w:rPr>
                <w:sz w:val="20"/>
              </w:rPr>
              <w:t>Entendimento e preparação dos dados</w:t>
            </w:r>
          </w:p>
        </w:tc>
        <w:tc>
          <w:tcPr>
            <w:tcW w:w="2268" w:type="dxa"/>
          </w:tcPr>
          <w:p w14:paraId="0007AEA6">
            <w:r>
              <w:rPr>
                <w:sz w:val="20"/>
              </w:rPr>
              <w:t>Módulos load.py, filter_pe_estadual_em.py e build_school_panel.py; painel escola×ano (2.392 linhas, 806 escolas); 10 análises descritivas com figuras; relatório técnico da Fase 1</w:t>
            </w:r>
          </w:p>
        </w:tc>
        <w:tc>
          <w:tcPr>
            <w:tcW w:w="2268" w:type="dxa"/>
          </w:tcPr>
          <w:p w14:paraId="4CB06674">
            <w:r>
              <w:rPr>
                <w:sz w:val="20"/>
              </w:rPr>
              <w:t>Concluída</w:t>
            </w:r>
          </w:p>
        </w:tc>
      </w:tr>
      <w:tr w14:paraId="7348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36C90CA">
            <w:r>
              <w:rPr>
                <w:sz w:val="20"/>
              </w:rPr>
              <w:t>2. Integração dos indicadores complementares</w:t>
            </w:r>
          </w:p>
        </w:tc>
        <w:tc>
          <w:tcPr>
            <w:tcW w:w="2268" w:type="dxa"/>
          </w:tcPr>
          <w:p w14:paraId="02C74495">
            <w:r>
              <w:rPr>
                <w:sz w:val="20"/>
              </w:rPr>
              <w:t>Preparação dos dados</w:t>
            </w:r>
          </w:p>
        </w:tc>
        <w:tc>
          <w:tcPr>
            <w:tcW w:w="2268" w:type="dxa"/>
          </w:tcPr>
          <w:p w14:paraId="0D27EE89">
            <w:r>
              <w:rPr>
                <w:sz w:val="20"/>
              </w:rPr>
              <w:t>ETLs das Taxas de Rendimento, INSE, IRD, TDI e AFD; parquets intermediários por indicador; análises B1–B10 e C1–C6; relatório de indicadores</w:t>
            </w:r>
          </w:p>
        </w:tc>
        <w:tc>
          <w:tcPr>
            <w:tcW w:w="2268" w:type="dxa"/>
          </w:tcPr>
          <w:p w14:paraId="45F26AA2">
            <w:r>
              <w:rPr>
                <w:sz w:val="20"/>
              </w:rPr>
              <w:t>Concluída</w:t>
            </w:r>
          </w:p>
        </w:tc>
      </w:tr>
      <w:tr w14:paraId="0381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8A31C6A">
            <w:r>
              <w:rPr>
                <w:sz w:val="20"/>
              </w:rPr>
              <w:t>3. Feature engineering</w:t>
            </w:r>
          </w:p>
        </w:tc>
        <w:tc>
          <w:tcPr>
            <w:tcW w:w="2268" w:type="dxa"/>
          </w:tcPr>
          <w:p w14:paraId="14837055">
            <w:r>
              <w:rPr>
                <w:sz w:val="20"/>
              </w:rPr>
              <w:t>Preparação dos dados</w:t>
            </w:r>
          </w:p>
        </w:tc>
        <w:tc>
          <w:tcPr>
            <w:tcW w:w="2268" w:type="dxa"/>
          </w:tcPr>
          <w:p w14:paraId="091F958C">
            <w:r>
              <w:rPr>
                <w:sz w:val="20"/>
              </w:rPr>
              <w:t>Módulo build_features.py; dataset final com 1.586 observações e 30 features (features do ano t, target taxa de abandono em t+1); análises F1–F6</w:t>
            </w:r>
          </w:p>
        </w:tc>
        <w:tc>
          <w:tcPr>
            <w:tcW w:w="2268" w:type="dxa"/>
          </w:tcPr>
          <w:p w14:paraId="12574655">
            <w:r>
              <w:rPr>
                <w:sz w:val="20"/>
              </w:rPr>
              <w:t>Concluída</w:t>
            </w:r>
          </w:p>
        </w:tc>
      </w:tr>
      <w:tr w14:paraId="560C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28F7B6E">
            <w:r>
              <w:rPr>
                <w:sz w:val="20"/>
              </w:rPr>
              <w:t>4. Modelagem baseline e XGBoost</w:t>
            </w:r>
          </w:p>
        </w:tc>
        <w:tc>
          <w:tcPr>
            <w:tcW w:w="2268" w:type="dxa"/>
          </w:tcPr>
          <w:p w14:paraId="6CF1A0B3">
            <w:r>
              <w:rPr>
                <w:sz w:val="20"/>
              </w:rPr>
              <w:t>Modelagem</w:t>
            </w:r>
          </w:p>
        </w:tc>
        <w:tc>
          <w:tcPr>
            <w:tcW w:w="2268" w:type="dxa"/>
          </w:tcPr>
          <w:p>
            <w:r>
              <w:t>Módulos train.py e evaluate.py; baselines Ridge e Random Forest e modelo principal XGBoost avaliados com GroupKFold por município e validação temporal; tuning do XGBoost por busca em grade; métricas registradas em CSV; modelos serializados (baseline_ridge_v1.joblib e xgboost_v1.joblib)</w:t>
            </w:r>
          </w:p>
        </w:tc>
        <w:tc>
          <w:tcPr>
            <w:tcW w:w="2268" w:type="dxa"/>
          </w:tcPr>
          <w:p>
            <w:r>
              <w:t>Concluída</w:t>
            </w:r>
          </w:p>
        </w:tc>
      </w:tr>
      <w:tr w14:paraId="7826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256D50E">
            <w:r>
              <w:rPr>
                <w:sz w:val="20"/>
              </w:rPr>
              <w:t>5. Explicabilidade e análise de resíduos</w:t>
            </w:r>
          </w:p>
        </w:tc>
        <w:tc>
          <w:tcPr>
            <w:tcW w:w="2268" w:type="dxa"/>
          </w:tcPr>
          <w:p w14:paraId="631F468E">
            <w:r>
              <w:rPr>
                <w:sz w:val="20"/>
              </w:rPr>
              <w:t>Avaliação</w:t>
            </w:r>
          </w:p>
        </w:tc>
        <w:tc>
          <w:tcPr>
            <w:tcW w:w="2268" w:type="dxa"/>
          </w:tcPr>
          <w:p w14:paraId="0ABB516A">
            <w:r>
              <w:rPr>
                <w:sz w:val="20"/>
              </w:rPr>
              <w:t>Análise SHAP global e local; identificação de escolas com abandono acima/abaixo do esperado pelo perfil</w:t>
            </w:r>
          </w:p>
        </w:tc>
        <w:tc>
          <w:tcPr>
            <w:tcW w:w="2268" w:type="dxa"/>
          </w:tcPr>
          <w:p w14:paraId="7482227D">
            <w:r>
              <w:rPr>
                <w:sz w:val="20"/>
              </w:rPr>
              <w:t>Concluída</w:t>
            </w:r>
          </w:p>
        </w:tc>
      </w:tr>
      <w:tr w14:paraId="6ECB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EA101EA">
            <w:r>
              <w:rPr>
                <w:sz w:val="20"/>
              </w:rPr>
              <w:t>6. Dashboard</w:t>
            </w:r>
          </w:p>
        </w:tc>
        <w:tc>
          <w:tcPr>
            <w:tcW w:w="2268" w:type="dxa"/>
          </w:tcPr>
          <w:p w14:paraId="653FD3C3">
            <w:r>
              <w:rPr>
                <w:sz w:val="20"/>
              </w:rPr>
              <w:t>Implantação</w:t>
            </w:r>
          </w:p>
        </w:tc>
        <w:tc>
          <w:tcPr>
            <w:tcW w:w="2268" w:type="dxa"/>
          </w:tcPr>
          <w:p w14:paraId="2CD28BC2">
            <w:r>
              <w:rPr>
                <w:sz w:val="20"/>
              </w:rPr>
              <w:t>Aplicação Streamlit com ranking de risco, detalhe por escola e visualizações SHAP</w:t>
            </w:r>
          </w:p>
        </w:tc>
        <w:tc>
          <w:tcPr>
            <w:tcW w:w="2268" w:type="dxa"/>
          </w:tcPr>
          <w:p w14:paraId="531D23E2">
            <w:r>
              <w:rPr>
                <w:sz w:val="20"/>
              </w:rPr>
              <w:t>Planejada</w:t>
            </w:r>
          </w:p>
        </w:tc>
      </w:tr>
    </w:tbl>
    <w:p w14:paraId="7A841A92">
      <w:pPr>
        <w:pStyle w:val="28"/>
      </w:pPr>
      <w:r>
        <w:t>Fonte: elaborado pelo autor.</w:t>
      </w:r>
    </w:p>
    <w:p w14:paraId="71AF4684">
      <w:pPr>
        <w:pStyle w:val="4"/>
      </w:pPr>
      <w:r>
        <w:t>Planejamento e Decisões Metodológicas</w:t>
      </w:r>
    </w:p>
    <w:p w14:paraId="685764C9">
      <w:r>
        <w:t>A fase inicial consolidou as decisões estruturantes do projeto em um documento de decisões mantido sob controle de versão. Definiu-se a escola — e não o aluno — como unidade de análise, uma vez que os dados públicos do INEP estão disponíveis nesse nível, o usuário-alvo (gestor da Secretaria Estadual de Educação) decide em nível de escola e o volume resultante (~800 escolas/ano) é adequado para aprendizado de máquina interpretável. O universo foi delimitado às escolas estaduais ativas com oferta de Ensino Médio regular em Pernambuco, e o problema foi formulado como regressão: predizer a taxa de abandono do Ensino Médio no ano t+1 a partir de indicadores institucionais e contextuais do ano t. Nessa fase também foram selecionadas as fontes de dados (microdados do Censo Escolar 2022–2024, Taxas de Rendimento, INSE, IRD, TDI e AFD) e a stack tecnológica (Python, pandas, scikit-learn, XGBoost, SHAP e Streamlit).</w:t>
      </w:r>
    </w:p>
    <w:p w14:paraId="45C20EE3">
      <w:pPr>
        <w:pStyle w:val="4"/>
      </w:pPr>
      <w:r>
        <w:t>ETL do Censo Escolar e Análise Exploratória</w:t>
      </w:r>
    </w:p>
    <w:p w14:paraId="3BD90FCA">
      <w:r>
        <w:t>A primeira fase de implementação construiu o pipeline de extração, transformação e carga dos microdados do Censo Escolar. O módulo load.py realiza a carga dos arquivos CSV de cada ano com busca heurística pelos nomes de arquivo (o INEP não mantém nomenclatura consistente entre edições); o módulo filter_pe_estadual_em.py aplica, em sequência auditável, os filtros de UF (SG_UF = 'PE'), dependência administrativa estadual (TP_DEPENDENCIA = 2), situação de funcionamento ativa e oferta de Ensino Médio; e o módulo build_school_panel.py empilha os três anos em um painel longitudinal escola×ano. O resultado é um painel com 2.392 linhas e 34 colunas, cobrindo 806 escolas únicas — 97,4% delas presentes nos três anos, o que caracteriza um painel estável.</w:t>
      </w:r>
    </w:p>
    <w:p w14:paraId="3AB2028B">
      <w:r>
        <w:t>Sobre esse painel foram executadas dez análises descritivas, com figuras geradas programaticamente, que caracterizaram o universo de estudo: 185 municípios atendidos; 86% das escolas em área urbana; mediana de aproximadamente 350 matrículas de Ensino Médio por escola; índice médio de infraestrutura de 0,68, com diferença significativa entre escolas rurais (0,52) e urbanas (0,71; p&lt;0,0001); e crescimento da oferta de tempo integral de 56,7% em 2022 para 64,9% em 2024. A fase também identificou problemas de qualidade de dados que orientaram decisões posteriores, como o descarte da coluna QT_MAT_MED_NM (100% de valores ausentes em 2022) e a inconsistência do código de mesorregião entre as edições 2022 e 2023 do Censo, corrigida com mapeamento explícito no ETL.</w:t>
      </w:r>
    </w:p>
    <w:p w14:paraId="2473D422">
      <w:pPr>
        <w:pStyle w:val="4"/>
      </w:pPr>
      <w:r>
        <w:t>Integração dos Indicadores Complementares</w:t>
      </w:r>
    </w:p>
    <w:p w14:paraId="69A8C537">
      <w:r>
        <w:t>A segunda fase incorporou ao painel cinco fontes complementares do INEP, cada uma com um módulo de ETL dedicado: Taxas de Rendimento Escolar (aprovação, reprovação e abandono, por série e total do Ensino Médio), Indicador de Nível Socioeconômico (INSE), Indicador de Regularidade Docente (IRD), Taxa de Distorção Idade-Série (TDI) e Adequação da Formação Docente (AFD). As Taxas de Rendimento exigiram um parser especializado, pois o INEP as distribui em planilhas Excel com cabeçalho de oito linhas e células '--' para escolas sem oferta da série, convertidas para valores ausentes. O ETL resultou em parquets intermediários padronizados por escola e ano, validados por testes automatizados.</w:t>
      </w:r>
    </w:p>
    <w:p w14:paraId="3674F741">
      <w:r>
        <w:t>As análises desta fase estabeleceram a viabilidade do problema preditivo: a taxa de abandono do ano anterior apresentou correlação de Spearman de aproximadamente +0,80 com a do ano seguinte, seguida pela distorção idade-série (r≈+0,55) e pelo nível socioeconômico (r≈−0,40). Identificou-se ainda a concentração de risco na mesorregião do São Francisco Pernambucano, que acumula os menores índices de IRD e INSE e as maiores taxas de abandono e distorção. Como o INSE não possui edição posterior a 2021 em nível de escola, decidiu-se tratá-lo como variável estática, com cobertura de 94,8% do painel e imputação por média de mesorregião para as escolas restantes.</w:t>
      </w:r>
    </w:p>
    <w:p w14:paraId="74990003">
      <w:pPr>
        <w:pStyle w:val="4"/>
      </w:pPr>
      <w:r>
        <w:t>Feature Engineering</w:t>
      </w:r>
    </w:p>
    <w:p w14:paraId="6F3F5538">
      <w:r>
        <w:t>A terceira fase construiu o dataset final de modelagem por meio do módulo build_features.py, que materializa a lógica temporal preditiva do projeto: para cada escola e cada ano t ∈ {2022, 2023}, as features são os atributos da escola no ano t e o target é a taxa de abandono do Ensino Médio observada no ano t+1. O ano de 2024 não entra como ano-feature por não haver dados de rendimento de 2025. As features combinam atributos do Censo (matrículas, infraestrutura, conectividade, tempo integral), os quatro indicadores complementares e lags das taxas de reprovação e abandono por série.</w:t>
      </w:r>
    </w:p>
    <w:p w14:paraId="60663B0E">
      <w:r>
        <w:t>Decisões de engenharia tomadas nesta fase incluem: exclusão de QT_TUR_MED e QT_DOC_MED por colinearidade com QT_MAT_MED (r&gt;0,85); exclusão de TAXA_APROV_MED por identidade aritmética com reprovação e abandono (as três taxas somam 100%); exclusão das taxas da 4ª série e do não seriado por alto percentual de valores ausentes; e imputação dos valores ausentes restantes por média de mesorregião×ano. O dataset final contém 1.586 observações e 30 features, sem valores ausentes após a imputação. Uma análise preliminar de importância de variáveis com XGBoost confirmou o lag de abandono, a distorção idade-série e o INSE como os preditores mais relevantes, em consonância com as correlações observadas na fase anterior.</w:t>
      </w:r>
    </w:p>
    <w:p>
      <w:pPr>
        <w:pStyle w:val="4"/>
      </w:pPr>
      <w:r>
        <w:t>Modelagem Baseline</w:t>
      </w:r>
    </w:p>
    <w:p>
      <w:r>
        <w:t>A quarta fase iniciou a etapa de modelagem com a construção dos modelos de referência previstos na metodologia, implementados nos módulos train.py e evaluate.py. O pipeline de pré-processamento, definido com o ColumnTransformer do scikit-learn, aplica imputação por mediana e padronização às variáveis numéricas e codificação one-hot à mesorregião, única variável categórica nominal. Três modelos foram avaliados: um DummyRegressor que prediz a média do treino, como piso trivial de referência; a regressão Ridge, como baseline linear; e o Random Forest, como baseline não-linear. Os hiperparâmetros foram selecionados por busca em grade com a própria validação cruzada agrupada (Ridge com alfa=100; Random Forest com 300 árvores, profundidade máxima 8 e mínimo de 5 observações por folha). Avaliaram-se ainda transformações do target (logaritmo e raiz quadrada), com efeito marginal sobre as métricas: a raiz quadrada beneficiou levemente o Ridge, e a ausência de transformação, o Random Forest.</w:t>
      </w:r>
    </w:p>
    <w:p>
      <w:r>
        <w:t>A avaliação seguiu dois protocolos complementares. Na validação cruzada GroupKFold, com cinco folds agrupados por município para evitar vazamento de informação entre escolas vizinhas, ambos os baselines superaram com folga o piso trivial: RMSE de 2,70 pontos percentuais (Random Forest) e 2,74 (Ridge) contra 3,32 do Dummy, correlação de Spearman de 0,44 e 0,39, respectivamente, e Precision@K (K=10%) de aproximadamente 0,50 contra 0,07. Já na validação temporal — treino com o par 2022→2023 e teste com o par 2023→2024, simulando o uso real do sistema — observou-se deslocamento de distribuição entre os ciclos: nenhum modelo superou o piso trivial em RMSE (R² negativo), pois o nível médio de abandono mudou de um ano para o outro; as métricas de ranqueamento, contudo, mantiveram-se muito superiores ao piso (Spearman de 0,37 e Precision@K de 0,42 contra 0,09). O resultado indica que os modelos preservam a capacidade de identificar quais escolas terão abandono elevado, ainda que errem a magnitude — comportamento suficiente para a pergunta de pesquisa, formulada como problema de priorização, mas que deverá ser tratado na fase de tuning.</w:t>
      </w:r>
    </w:p>
    <w:p>
      <w:r>
        <w:t>Uma análise preliminar de resíduos antecipou a pergunta secundária de pesquisa: escolas indígenas do Sertão de Itaparica apresentaram abandono real próximo de zero apesar de um perfil contextual associado a abandono elevado, enquanto escolas de referência da Região Metropolitana do Recife apresentaram abandono acima do esperado — casos que serão aprofundados na análise de resíduos com o modelo definitivo. O melhor baseline (Ridge com transformação raiz quadrada) foi serializado em models/baseline_ridge_v1.joblib, e todas as métricas foram registradas em arquivos CSV para comparação com o XGBoost. A fase está documentada no relatório técnico correspondente (relatorio_fase5_baselines.docx).</w:t>
      </w:r>
    </w:p>
    <w:p>
      <w:pPr>
        <w:pStyle w:val="4"/>
      </w:pPr>
      <w:r>
        <w:t>Tuning do XGBoost</w:t>
      </w:r>
    </w:p>
    <w:p>
      <w:pPr/>
      <w:r>
        <w:t>Concluída a modelagem baseline, realizou-se o tuning do modelo principal. O XGBoost foi otimizado por busca em grade (GridSearchCV) sob a mesma validação cruzada agrupada por município empregada nos baselines, varrendo o número de árvores, a profundidade, a taxa de aprendizagem, o peso mínimo por folha e a regularização L2 — quarenta e oito combinações ao todo —, com o RMSE como critério de seleção. O pipeline de pré-processamento da fase anterior foi reaproveitado integralmente, garantindo comparabilidade direta com os baselines. A configuração selecionada — trezentas árvores rasas (profundidade dois), taxa de aprendizagem 0,02, peso mínimo por folha cinco e regularização L2 igual a cinco, com o target em raiz quadrada — privilegia árvores rasas e regularização forte, coerente com o tamanho reduzido da amostra de treino (797 observações), em que modelos complexos sobreajustam facilmente. O modelo definitivo foi serializado em models/xgboost_v1.joblib, e os resultados quantitativos são apresentados no capítulo de Testes e Análise dos Resultados.</w:t>
      </w:r>
    </w:p>
    <w:p>
      <w:pPr>
        <w:pStyle w:val="4"/>
      </w:pPr>
      <w:r>
        <w:t>Explicabilidade e Diagnóstico do Modelo</w:t>
      </w:r>
    </w:p>
    <w:p>
      <w:pPr/>
      <w:r>
        <w:t>A quinta fase de implementação dedicou-se à explicabilidade do modelo definitivo e ao diagnóstico das escolas fora do padrão — a pergunta secundária de pesquisa. Sobre o XGBoost serializado foi montado um explicador baseado em valores de Shapley (TreeExplainer da biblioteca SHAP), encapsulado no módulo explain.py, que decompõe cada predição na soma das contribuições de cada variável. Como o modelo final emprega transformação raiz quadrada no alvo, os valores SHAP são expressos em unidades de raiz da taxa de abandono — escala em que o sinal e a ordenação das contribuições permanecem válidos, por ser a raiz uma função monótona —, enquanto as predições e os resíduos são reportados na escala original, em pontos percentuais. A fase produziu a importância global das variáveis, a direção de seu efeito, explicações locais por escola e a reavaliação do viés de superpredição por grupo de localização sobre o modelo definitivo, com resultados apresentados no capítulo de Testes e Análise dos Resultados. Todo o procedimento é coberto por testes automatizados que verificam, entre outras propriedades, a aditividade dos valores SHAP em relação à predição do modelo.</w:t>
      </w:r>
    </w:p>
    <w:p w14:paraId="7786F594">
      <w:pPr>
        <w:pStyle w:val="3"/>
      </w:pPr>
      <w:r>
        <w:t>Práticas de Engenharia de Software Aplicadas</w:t>
      </w:r>
    </w:p>
    <w:p w14:paraId="4293CCC0">
      <w:r>
        <w:t>Ao longo de todas as fases foram aplicadas práticas de engenharia de software que sustentam a qualidade e a reprodutibilidade do pipeline:</w:t>
      </w:r>
    </w:p>
    <w:p w14:paraId="1C5B10AD">
      <w:r>
        <w:t>a) Controle de versão: todo o código, os scripts de análise e os relatórios técnicos são versionados com Git e hospedados no GitHub, com commits que marcam a conclusão de cada fase e branches para frentes de trabalho específicas;</w:t>
      </w:r>
    </w:p>
    <w:p w14:paraId="1ABF7CA5">
      <w:r>
        <w:t>b) Testes automatizados: os módulos de ETL e de modelagem são cobertos por testes unitários com pytest (test_etl_filters.py, test_panel.py, test_taxas.py, test_build_target.py, test_models.py e test_explain.py), que validam os filtros do universo, a integridade do painel longitudinal, o parser das Taxas de Rendimento, a métrica Precision@K e o não-vazamento de municípios entre os folds da validação cruzada e a aditividade dos valores SHAP, prevenindo regressões a cada alteração no pipeline;</w:t>
      </w:r>
    </w:p>
    <w:p w14:paraId="76D3E22F">
      <w:r>
        <w:t>c) Configuração centralizada: caminhos de dados, anos de referência e constantes do projeto são definidos em um único módulo (config.py), eliminando duplicação e facilitando a reexecução do pipeline em outros ambientes;</w:t>
      </w:r>
    </w:p>
    <w:p w14:paraId="27421B7D">
      <w:r>
        <w:t>d) Reprodutibilidade: o ambiente é isolado em um virtualenv com dependências fixadas em requirements.txt; os dados intermediários são persistidos em Parquet, permitindo reexecutar qualquer etapa isoladamente; e as figuras das análises são geradas por scripts determinísticos, e não manualmente;</w:t>
      </w:r>
    </w:p>
    <w:p w14:paraId="18315BC9">
      <w:r>
        <w:t>e) Documentação contínua: cada fase produz um relatório técnico (em Markdown e DOCX) que registra decisões, problemas encontrados e resultados, servindo de insumo direto para a redação desta monografia.</w:t>
      </w:r>
    </w:p>
    <w:p w14:paraId="443D998C">
      <w:pPr>
        <w:pStyle w:val="3"/>
      </w:pPr>
      <w:r>
        <w:t>Fases Subsequentes</w:t>
      </w:r>
    </w:p>
    <w:p w14:paraId="1CF13436">
      <w:r>
        <w:t>Concluídas a modelagem e a explicabilidade do modelo, resta como fase subsequente a construção do dashboard interativo em Streamlit voltado aos gestores da Secretaria Estadual de Educação, que consumirá o modelo serializado para produzir o ranking de risco e as explicações por escola, seguida do empacotamento da aplicação em contêiner para implantação. Os encaminhamentos de modelagem identificados ao longo do projeto — em especial o tratamento do viés de superpredição nas escolas de localização diferenciada e a ampliação da janela temporal à medida que novas edições do Censo sejam publicadas — são retomados no capítulo de conclusões.</w:t>
      </w:r>
    </w:p>
    <w:p w14:paraId="39C2FCC5">
      <w:pPr>
        <w:ind w:firstLine="0"/>
        <w:rPr>
          <w:color w:val="2E75B6" w:themeColor="accent5" w:themeShade="BF"/>
        </w:rPr>
      </w:pPr>
    </w:p>
    <w:p w14:paraId="40149C4C">
      <w:pPr>
        <w:ind w:firstLine="0"/>
        <w:rPr>
          <w:color w:val="2E75B6" w:themeColor="accent5" w:themeShade="BF"/>
        </w:rPr>
      </w:pPr>
    </w:p>
    <w:p w14:paraId="610421B7">
      <w:pPr>
        <w:ind w:firstLine="0"/>
        <w:rPr>
          <w:color w:val="auto"/>
        </w:rPr>
      </w:pPr>
    </w:p>
    <w:p w14:paraId="5BDD22AC">
      <w:pPr>
        <w:pStyle w:val="2"/>
      </w:pPr>
      <w:bookmarkStart w:id="12" w:name="_Toc112914773"/>
      <w:r>
        <w:t>ARQUITETURA DO SOFTWARE</w:t>
      </w:r>
      <w:bookmarkEnd w:id="12"/>
    </w:p>
    <w:p w14:paraId="179F67C0">
      <w:pPr>
        <w:ind w:firstLine="0"/>
        <w:rPr>
          <w:color w:val="auto"/>
        </w:rPr>
      </w:pPr>
    </w:p>
    <w:p w14:paraId="174A4FA8">
      <w:pPr>
        <w:ind w:firstLine="0"/>
        <w:rPr>
          <w:color w:val="auto"/>
        </w:rPr>
      </w:pPr>
      <w:r>
        <w:t>A arquitetura do sistema é descrita segundo o modelo de visões 4+1 de Kruchten, adaptado à natureza do software: trata-se de um pipeline de ciência de dados cujo núcleo são módulos de transformação de dados e de modelagem, e não um sistema orientado a objetos com hierarquias de classes. Por essa razão, a visão lógica é apresentada por meio de diagramas de pacotes e de componentes — que refletem fielmente a organização do código em camadas — em vez de um diagrama de classes. As visões são expressas em notação UML. O sistema organiza-se em quatro camadas de responsabilidade única — aquisição e preparação de dados (src.data), engenharia de atributos (src.features), modelagem e explicabilidade (src.models) e recomendação/visualização (src.recommend) —, sustentadas por uma camada transversal de configuração (config) e por convenções de persistência em disco (raw → interim → processed e modelos serializados). As subseções seguintes detalham os aspectos funcionais e não funcionais e as visões estrutural, comportamental e de implantação.</w:t>
      </w:r>
    </w:p>
    <w:p w14:paraId="066002F0">
      <w:pPr>
        <w:ind w:firstLine="0"/>
        <w:rPr>
          <w:color w:val="auto"/>
        </w:rPr>
      </w:pPr>
    </w:p>
    <w:p w14:paraId="3480600E">
      <w:pPr>
        <w:pStyle w:val="3"/>
      </w:pPr>
      <w:bookmarkStart w:id="13" w:name="_Toc112914774"/>
      <w:r>
        <w:t>Aspectos Funcionais e Não Funcionais</w:t>
      </w:r>
      <w:bookmarkEnd w:id="13"/>
    </w:p>
    <w:p w14:paraId="701271A7">
      <w:pPr>
        <w:ind w:firstLine="0"/>
        <w:rPr>
          <w:color w:val="auto"/>
        </w:rPr>
      </w:pPr>
    </w:p>
    <w:p w14:paraId="671FE853">
      <w:pPr>
        <w:ind w:firstLine="0"/>
        <w:rPr>
          <w:color w:val="auto"/>
        </w:rPr>
      </w:pPr>
      <w:r>
        <w:t>Os requisitos funcionais do sistema decorrem diretamente das perguntas de pesquisa e do usuário-alvo, o gestor da Secretaria Estadual de Educação. A figura a seguir apresenta o diagrama de casos de uso. O caso de uso central é consultar o ranking de risco de abandono das escolas para o ano t+1 (RF1); a ele somam-se visualizar a explicação individual de cada escola por valores SHAP (RF2) e inspecionar o diagnóstico de resíduos, que sinaliza escolas cujo abandono observado diverge do previsto pelo seu perfil (RF3). Esses três casos atendem ao gestor. Um segundo ator, o analista ou pesquisador, responde pelos casos de uso de manutenção do sistema: executar o pipeline de dados, da extração à geração do conjunto de modelagem (RF4), e treinar ou atualizar o modelo preditivo (RF5). O INEP figura como ator de apoio, fornecedor dos microdados que alimentam o pipeline.</w:t>
      </w:r>
    </w:p>
    <w:p>
      <w:pPr>
        <w:pStyle w:val="28"/>
      </w:pPr>
      <w:r>
        <w:t>Figura – Diagrama de casos de uso</w:t>
      </w:r>
    </w:p>
    <w:p>
      <w:pPr>
        <w:jc w:val="center"/>
      </w:pPr>
      <w:r>
        <w:drawing>
          <wp:inline xmlns:a="http://schemas.openxmlformats.org/drawingml/2006/main" xmlns:pic="http://schemas.openxmlformats.org/drawingml/2006/picture">
            <wp:extent cx="5394960" cy="3391503"/>
            <wp:docPr id="12" name="Picture 12"/>
            <wp:cNvGraphicFramePr>
              <a:graphicFrameLocks noChangeAspect="1"/>
            </wp:cNvGraphicFramePr>
            <a:graphic>
              <a:graphicData uri="http://schemas.openxmlformats.org/drawingml/2006/picture">
                <pic:pic>
                  <pic:nvPicPr>
                    <pic:cNvPr id="0" name="arq1_casos_uso.png"/>
                    <pic:cNvPicPr/>
                  </pic:nvPicPr>
                  <pic:blipFill>
                    <a:blip r:embed="rId22"/>
                    <a:stretch>
                      <a:fillRect/>
                    </a:stretch>
                  </pic:blipFill>
                  <pic:spPr>
                    <a:xfrm>
                      <a:off x="0" y="0"/>
                      <a:ext cx="5394960" cy="3391503"/>
                    </a:xfrm>
                    <a:prstGeom prst="rect"/>
                  </pic:spPr>
                </pic:pic>
              </a:graphicData>
            </a:graphic>
          </wp:inline>
        </w:drawing>
      </w:r>
    </w:p>
    <w:p>
      <w:pPr>
        <w:pStyle w:val="28"/>
      </w:pPr>
      <w:r>
        <w:t>Fonte: elaborado pelo autor.</w:t>
      </w:r>
    </w:p>
    <w:p>
      <w:pPr/>
      <w:r>
        <w:t>Entre os requisitos não funcionais, destacam-se: (i) reprodutibilidade — qualquer resultado deve ser reconstruível a partir dos dados brutos imutáveis, com ambiente e dependências fixados; (ii) interpretabilidade — o modelo precisa justificar cada indicação de prioridade, requisito que orientou a escolha por um modelo baseado em árvores acompanhado de explicações SHAP, em vez de uma caixa-preta; (iii) ausência de vazamento de dados — a validação deve respeitar a estrutura temporal (features de t, alvo em t+1) e espacial (agrupamento por município), sob pena de métricas otimistas; (iv) testabilidade — cada módulo do pipeline é coberto por testes automatizados; e (v) portabilidade — a aplicação de visualização deve ser empacotável em contêiner para implantação sem dependência do ambiente de desenvolvimento. Esses requisitos permeiam as decisões arquiteturais discutidas a seguir.</w:t>
      </w:r>
    </w:p>
    <w:p w14:paraId="1659D500">
      <w:pPr>
        <w:ind w:firstLine="0"/>
        <w:rPr>
          <w:color w:val="auto"/>
        </w:rPr>
      </w:pPr>
    </w:p>
    <w:p w14:paraId="34D62FE2">
      <w:pPr>
        <w:ind w:firstLine="0"/>
        <w:rPr>
          <w:color w:val="auto"/>
        </w:rPr>
      </w:pPr>
    </w:p>
    <w:p w14:paraId="042C8D68">
      <w:pPr>
        <w:pStyle w:val="3"/>
      </w:pPr>
      <w:bookmarkStart w:id="14" w:name="_Toc112914775"/>
      <w:r>
        <w:t>Visão Estrutural</w:t>
      </w:r>
      <w:bookmarkEnd w:id="14"/>
    </w:p>
    <w:p w14:paraId="41209896">
      <w:pPr>
        <w:ind w:firstLine="0"/>
        <w:rPr>
          <w:color w:val="auto"/>
        </w:rPr>
      </w:pPr>
    </w:p>
    <w:p w14:paraId="2B301EC0">
      <w:pPr>
        <w:ind w:firstLine="0"/>
        <w:rPr>
          <w:color w:val="auto"/>
        </w:rPr>
      </w:pPr>
      <w:r>
        <w:t>A visão estrutural é apresentada em dois níveis. No nível de código-fonte, a figura a seguir exibe o diagrama de pacotes. A dependência flui em sentido único, das camadas superiores para as inferiores, sem ciclos: src.features depende de src.data; src.models depende de src.features; e src.recommend — a aplicação de visualização, planejada — depende de src.models. O pacote src.data.config é transversal, importado pelas demais camadas para centralizar caminhos e anos de referência. Os pacotes notebooks e tests consomem as camadas de src — os primeiros como scripts de análise que orquestram o pipeline, os segundos como verificação automatizada —, mas nenhuma camada de produção depende deles. Essa orientação acíclica das dependências é o que garante que cada camada possa ser testada e reexecutada isoladamente.</w:t>
      </w:r>
    </w:p>
    <w:p>
      <w:pPr>
        <w:pStyle w:val="28"/>
      </w:pPr>
      <w:r>
        <w:t>Figura – Diagrama de pacotes (visão estrutural)</w:t>
      </w:r>
    </w:p>
    <w:p>
      <w:pPr>
        <w:jc w:val="center"/>
      </w:pPr>
      <w:r>
        <w:drawing>
          <wp:inline xmlns:a="http://schemas.openxmlformats.org/drawingml/2006/main" xmlns:pic="http://schemas.openxmlformats.org/drawingml/2006/picture">
            <wp:extent cx="4572000" cy="3412495"/>
            <wp:docPr id="13" name="Picture 13"/>
            <wp:cNvGraphicFramePr>
              <a:graphicFrameLocks noChangeAspect="1"/>
            </wp:cNvGraphicFramePr>
            <a:graphic>
              <a:graphicData uri="http://schemas.openxmlformats.org/drawingml/2006/picture">
                <pic:pic>
                  <pic:nvPicPr>
                    <pic:cNvPr id="0" name="arq2_pacotes.png"/>
                    <pic:cNvPicPr/>
                  </pic:nvPicPr>
                  <pic:blipFill>
                    <a:blip r:embed="rId23"/>
                    <a:stretch>
                      <a:fillRect/>
                    </a:stretch>
                  </pic:blipFill>
                  <pic:spPr>
                    <a:xfrm>
                      <a:off x="0" y="0"/>
                      <a:ext cx="4572000" cy="3412495"/>
                    </a:xfrm>
                    <a:prstGeom prst="rect"/>
                  </pic:spPr>
                </pic:pic>
              </a:graphicData>
            </a:graphic>
          </wp:inline>
        </w:drawing>
      </w:r>
    </w:p>
    <w:p>
      <w:pPr>
        <w:pStyle w:val="28"/>
      </w:pPr>
      <w:r>
        <w:t>Fonte: elaborado pelo autor.</w:t>
      </w:r>
    </w:p>
    <w:p>
      <w:pPr/>
      <w:r>
        <w:t>No nível de execução, a figura seguinte apresenta o diagrama de componentes e o fluxo de dados que os conecta. O componente de ETL (src.data) lê os microdados brutos do INEP e grava produtos intermediários padronizados em data/interim; o componente de engenharia de atributos (src.features) os consome e materializa o conjunto final em data/processed; o componente de modelagem (src.models, módulos train e evaluate) treina e avalia o modelo, serializando-o em models/; e os componentes de explicabilidade (módulo explain) e de dashboard (src.recommend) carregam o modelo serializado para, respectivamente, produzir as explicações SHAP e apresentar o ranking ao gestor. A comunicação entre componentes se dá sempre por artefatos persistidos em disco (Parquet e joblib), e não por chamadas diretas — um acoplamento fraco que permite reexecutar qualquer etapa a partir do artefato da etapa anterior.</w:t>
      </w:r>
    </w:p>
    <w:p>
      <w:pPr>
        <w:pStyle w:val="28"/>
      </w:pPr>
      <w:r>
        <w:t>Figura – Diagrama de componentes e fluxo de dados</w:t>
      </w:r>
    </w:p>
    <w:p>
      <w:pPr>
        <w:jc w:val="center"/>
      </w:pPr>
      <w:r>
        <w:drawing>
          <wp:inline xmlns:a="http://schemas.openxmlformats.org/drawingml/2006/main" xmlns:pic="http://schemas.openxmlformats.org/drawingml/2006/picture">
            <wp:extent cx="5669280" cy="3467450"/>
            <wp:docPr id="14" name="Picture 14"/>
            <wp:cNvGraphicFramePr>
              <a:graphicFrameLocks noChangeAspect="1"/>
            </wp:cNvGraphicFramePr>
            <a:graphic>
              <a:graphicData uri="http://schemas.openxmlformats.org/drawingml/2006/picture">
                <pic:pic>
                  <pic:nvPicPr>
                    <pic:cNvPr id="0" name="arq3_componentes.png"/>
                    <pic:cNvPicPr/>
                  </pic:nvPicPr>
                  <pic:blipFill>
                    <a:blip r:embed="rId24"/>
                    <a:stretch>
                      <a:fillRect/>
                    </a:stretch>
                  </pic:blipFill>
                  <pic:spPr>
                    <a:xfrm>
                      <a:off x="0" y="0"/>
                      <a:ext cx="5669280" cy="3467450"/>
                    </a:xfrm>
                    <a:prstGeom prst="rect"/>
                  </pic:spPr>
                </pic:pic>
              </a:graphicData>
            </a:graphic>
          </wp:inline>
        </w:drawing>
      </w:r>
    </w:p>
    <w:p>
      <w:pPr>
        <w:pStyle w:val="28"/>
      </w:pPr>
      <w:r>
        <w:t>Fonte: elaborado pelo autor.</w:t>
      </w:r>
    </w:p>
    <w:p w14:paraId="79F5752E">
      <w:pPr>
        <w:ind w:firstLine="0"/>
        <w:rPr>
          <w:color w:val="auto"/>
        </w:rPr>
      </w:pPr>
    </w:p>
    <w:p w14:paraId="4D3F8CB1">
      <w:pPr>
        <w:pStyle w:val="3"/>
      </w:pPr>
      <w:bookmarkStart w:id="15" w:name="_Toc112914776"/>
      <w:r>
        <w:t>Visão Comportamental</w:t>
      </w:r>
      <w:bookmarkEnd w:id="15"/>
    </w:p>
    <w:p w14:paraId="7A43DA17">
      <w:pPr>
        <w:ind w:firstLine="0"/>
        <w:rPr>
          <w:color w:val="auto"/>
        </w:rPr>
      </w:pPr>
    </w:p>
    <w:p w14:paraId="13E541BE">
      <w:pPr>
        <w:ind w:firstLine="0"/>
        <w:rPr>
          <w:color w:val="auto"/>
        </w:rPr>
      </w:pPr>
      <w:r>
        <w:t>A visão comportamental descreve a ordem de execução do pipeline, da aquisição dos dados à disponibilização do ranking. A figura a seguir apresenta o diagrama de atividades. O fluxo é essencialmente sequencial, refletindo as dependências de dados entre as etapas: a carga dos microdados precede a filtragem do universo (escolas estaduais ativas de Ensino Médio em Pernambuco), que precede a montagem do painel longitudinal escola×ano; sobre o painel são integrados os indicadores complementares (Taxas de Rendimento, INSE, IRD, TDI e AFD) e, em seguida, construídas as features do ano t associadas ao alvo do ano t+1. A etapa de modelagem treina os baselines e realiza o tuning do XGBoost, avalia-o sob validação cruzada agrupada e validação temporal, e serializa o modelo definitivo; por fim, a etapa de explicabilidade decompõe as predições com SHAP e diagnostica os resíduos. A atividade final — servir o ranking e as explicações no dashboard — está planejada para a fase subsequente. Cada atividade corresponde a um módulo testável do pacote src, e sua conclusão produz um artefato verificável, o que permite retomar o fluxo a partir de qualquer ponto.</w:t>
      </w:r>
    </w:p>
    <w:p>
      <w:pPr>
        <w:pStyle w:val="28"/>
      </w:pPr>
      <w:r>
        <w:t>Figura – Diagrama de atividades do pipeline</w:t>
      </w:r>
    </w:p>
    <w:p>
      <w:pPr>
        <w:jc w:val="center"/>
      </w:pPr>
      <w:r>
        <w:drawing>
          <wp:inline xmlns:a="http://schemas.openxmlformats.org/drawingml/2006/main" xmlns:pic="http://schemas.openxmlformats.org/drawingml/2006/picture">
            <wp:extent cx="3657600" cy="6178449"/>
            <wp:docPr id="15" name="Picture 15"/>
            <wp:cNvGraphicFramePr>
              <a:graphicFrameLocks noChangeAspect="1"/>
            </wp:cNvGraphicFramePr>
            <a:graphic>
              <a:graphicData uri="http://schemas.openxmlformats.org/drawingml/2006/picture">
                <pic:pic>
                  <pic:nvPicPr>
                    <pic:cNvPr id="0" name="arq4_atividades.png"/>
                    <pic:cNvPicPr/>
                  </pic:nvPicPr>
                  <pic:blipFill>
                    <a:blip r:embed="rId25"/>
                    <a:stretch>
                      <a:fillRect/>
                    </a:stretch>
                  </pic:blipFill>
                  <pic:spPr>
                    <a:xfrm>
                      <a:off x="0" y="0"/>
                      <a:ext cx="3657600" cy="6178449"/>
                    </a:xfrm>
                    <a:prstGeom prst="rect"/>
                  </pic:spPr>
                </pic:pic>
              </a:graphicData>
            </a:graphic>
          </wp:inline>
        </w:drawing>
      </w:r>
    </w:p>
    <w:p>
      <w:pPr>
        <w:pStyle w:val="28"/>
      </w:pPr>
      <w:r>
        <w:t>Fonte: elaborado pelo autor.</w:t>
      </w:r>
    </w:p>
    <w:p w14:paraId="4F048096">
      <w:pPr>
        <w:ind w:firstLine="0"/>
        <w:rPr>
          <w:color w:val="auto"/>
        </w:rPr>
      </w:pPr>
    </w:p>
    <w:p w14:paraId="1CE6E338">
      <w:pPr>
        <w:pStyle w:val="3"/>
      </w:pPr>
      <w:bookmarkStart w:id="16" w:name="_Toc112914777"/>
      <w:r>
        <w:t>Visão de Implementação e Implantação</w:t>
      </w:r>
      <w:bookmarkEnd w:id="16"/>
    </w:p>
    <w:p w14:paraId="104BC12F">
      <w:pPr>
        <w:ind w:firstLine="0"/>
        <w:rPr>
          <w:color w:val="auto"/>
        </w:rPr>
      </w:pPr>
    </w:p>
    <w:p w14:paraId="3E98E1E7">
      <w:pPr>
        <w:ind w:firstLine="0"/>
        <w:rPr>
          <w:color w:val="auto"/>
        </w:rPr>
      </w:pPr>
      <w:r>
        <w:t>A figura a seguir apresenta o diagrama de implantação. No ambiente atual, todo o pipeline executa em uma única estação de desenvolvimento, sobre um ambiente Python isolado em virtualenv com dependências fixadas; os dados, nas três camadas raw, interim e processed, e os modelos serializados residem no sistema de arquivos local, em Parquet e joblib, respectivamente. A implantação prevista para a aplicação de visualização adota um contêiner Docker que encapsula a aplicação Streamlit (src.recommend) e o modelo serializado, eliminando a dependência do ambiente de desenvolvimento e atendendo ao requisito de portabilidade; o gestor acessa o dashboard pelo navegador, via HTTP. A separação entre o ambiente de treino — onde o modelo é produzido e versionado como artefato — e o ambiente de execução — que apenas carrega o artefato para inferência e visualização — é deliberada: permite atualizar o modelo sem alterar a aplicação e vice-versa.</w:t>
      </w:r>
    </w:p>
    <w:p>
      <w:pPr>
        <w:pStyle w:val="28"/>
      </w:pPr>
      <w:r>
        <w:t>Figura – Diagrama de implantação</w:t>
      </w:r>
    </w:p>
    <w:p>
      <w:pPr>
        <w:jc w:val="center"/>
      </w:pPr>
      <w:r>
        <w:drawing>
          <wp:inline xmlns:a="http://schemas.openxmlformats.org/drawingml/2006/main" xmlns:pic="http://schemas.openxmlformats.org/drawingml/2006/picture">
            <wp:extent cx="5577840" cy="3382402"/>
            <wp:docPr id="16" name="Picture 16"/>
            <wp:cNvGraphicFramePr>
              <a:graphicFrameLocks noChangeAspect="1"/>
            </wp:cNvGraphicFramePr>
            <a:graphic>
              <a:graphicData uri="http://schemas.openxmlformats.org/drawingml/2006/picture">
                <pic:pic>
                  <pic:nvPicPr>
                    <pic:cNvPr id="0" name="arq5_implantacao.png"/>
                    <pic:cNvPicPr/>
                  </pic:nvPicPr>
                  <pic:blipFill>
                    <a:blip r:embed="rId26"/>
                    <a:stretch>
                      <a:fillRect/>
                    </a:stretch>
                  </pic:blipFill>
                  <pic:spPr>
                    <a:xfrm>
                      <a:off x="0" y="0"/>
                      <a:ext cx="5577840" cy="3382402"/>
                    </a:xfrm>
                    <a:prstGeom prst="rect"/>
                  </pic:spPr>
                </pic:pic>
              </a:graphicData>
            </a:graphic>
          </wp:inline>
        </w:drawing>
      </w:r>
    </w:p>
    <w:p>
      <w:pPr>
        <w:pStyle w:val="28"/>
      </w:pPr>
      <w:r>
        <w:t>Fonte: elaborado pelo autor.</w:t>
      </w:r>
    </w:p>
    <w:p w14:paraId="02E9A183">
      <w:pPr>
        <w:pStyle w:val="2"/>
      </w:pPr>
      <w:bookmarkStart w:id="17" w:name="_Toc112914778"/>
      <w:r>
        <w:t>TECNOLOGIAS E ASPECTOS DE IMPLEMENTAÇÃO</w:t>
      </w:r>
      <w:bookmarkEnd w:id="17"/>
    </w:p>
    <w:p w14:paraId="0B5705B6">
      <w:pPr>
        <w:ind w:firstLine="0"/>
        <w:rPr>
          <w:color w:val="auto"/>
        </w:rPr>
      </w:pPr>
    </w:p>
    <w:p w14:paraId="42220767">
      <w:pPr>
        <w:ind w:firstLine="0"/>
        <w:rPr>
          <w:color w:val="auto"/>
        </w:rPr>
      </w:pPr>
      <w:r>
        <w:rPr>
          <w:color w:val="2E75B6" w:themeColor="accent5" w:themeShade="BF"/>
        </w:rPr>
        <w:t>&lt;descrever as soluções tecnológicas e os aspectos de implementação do protótipo funcional desenvolvido durante o projeto.&gt;</w:t>
      </w:r>
    </w:p>
    <w:p w14:paraId="1E63FDDC">
      <w:pPr>
        <w:ind w:firstLine="0"/>
        <w:rPr>
          <w:color w:val="auto"/>
        </w:rPr>
      </w:pPr>
    </w:p>
    <w:p w14:paraId="35B2AD07">
      <w:pPr>
        <w:pStyle w:val="3"/>
      </w:pPr>
      <w:bookmarkStart w:id="18" w:name="_Toc112914779"/>
      <w:r>
        <w:t>Soluções de Tecnologia</w:t>
      </w:r>
      <w:bookmarkEnd w:id="18"/>
    </w:p>
    <w:p w14:paraId="34B01107">
      <w:pPr>
        <w:ind w:firstLine="0"/>
        <w:rPr>
          <w:color w:val="auto"/>
        </w:rPr>
      </w:pPr>
    </w:p>
    <w:p w14:paraId="404C4505">
      <w:pPr>
        <w:ind w:firstLine="0"/>
        <w:rPr>
          <w:color w:val="auto"/>
        </w:rPr>
      </w:pPr>
    </w:p>
    <w:p w14:paraId="3E7E12C1">
      <w:pPr>
        <w:ind w:firstLine="0"/>
        <w:rPr>
          <w:color w:val="auto"/>
        </w:rPr>
      </w:pPr>
    </w:p>
    <w:p w14:paraId="05F46C5C">
      <w:pPr>
        <w:pStyle w:val="3"/>
      </w:pPr>
      <w:bookmarkStart w:id="19" w:name="_Toc112914780"/>
      <w:r>
        <w:t>Aspectos de Implementação</w:t>
      </w:r>
      <w:bookmarkEnd w:id="19"/>
    </w:p>
    <w:p w14:paraId="7B53DCBC">
      <w:pPr>
        <w:pStyle w:val="2"/>
      </w:pPr>
      <w:bookmarkStart w:id="20" w:name="_Toc112914781"/>
      <w:r>
        <w:t>TESTES E ANÁLISE DOS RESULTADOS</w:t>
      </w:r>
      <w:bookmarkEnd w:id="20"/>
    </w:p>
    <w:p w14:paraId="2B879CE6">
      <w:pPr>
        <w:ind w:firstLine="0"/>
        <w:rPr>
          <w:color w:val="auto"/>
        </w:rPr>
      </w:pPr>
    </w:p>
    <w:p>
      <w:r>
        <w:t>Este capítulo apresenta os testes realizados e os resultados obtidos até a conclusão do tuning do modelo principal. A primeira seção descreve os testes de software que asseguram a corretude do pipeline de dados e de modelagem; as seções seguintes apresentam a avaliação experimental dos modelos preditivos — dos baselines ao XGBoost definitivo —, com ênfase na capacidade de priorização de escolas em risco, o propósito central do sistema. A última seção apresenta a explicabilidade do modelo com SHAP e o diagnóstico de equidade sobre o modelo definitivo.</w:t>
      </w:r>
    </w:p>
    <w:p>
      <w:pPr>
        <w:pStyle w:val="3"/>
      </w:pPr>
      <w:r>
        <w:t>Testes de Software</w:t>
      </w:r>
    </w:p>
    <w:p>
      <w:r>
        <w:t>A corretude do pipeline é assegurada por uma suíte de 66 testes unitários automatizados com pytest, executada integralmente a cada alteração — todos aprovados na última execução. Em sistemas de aprendizado de máquina, erros de engenharia de dados frequentemente não lançam exceções: produzem modelos silenciosamente inválidos. Por essa razão, os testes concentram-se nos riscos que comprometeriam a validade científica dos resultados, resumidos no quadro a seguir.</w:t>
      </w:r>
    </w:p>
    <w:p>
      <w:pPr>
        <w:pStyle w:val="28"/>
      </w:pPr>
      <w:r>
        <w:t>Quadro – Módulos de teste e riscos cobertos</w:t>
      </w:r>
    </w:p>
    <w:tbl>
      <w:tblPr>
        <w:tblStyle w:val="33"/>
        <w:tblW w:type="auto" w:w="0"/>
        <w:tblLook w:firstColumn="1" w:firstRow="1" w:lastColumn="0" w:lastRow="0" w:noHBand="0" w:noVBand="1" w:val="04A0"/>
      </w:tblPr>
      <w:tblGrid>
        <w:gridCol w:w="4535"/>
        <w:gridCol w:w="4535"/>
      </w:tblGrid>
      <w:tr>
        <w:tc>
          <w:tcPr>
            <w:tcW w:type="dxa" w:w="2551"/>
          </w:tcPr>
          <w:p>
            <w:r>
              <w:rPr>
                <w:b/>
                <w:sz w:val="20"/>
              </w:rPr>
              <w:t>Módulo</w:t>
            </w:r>
          </w:p>
        </w:tc>
        <w:tc>
          <w:tcPr>
            <w:tcW w:type="dxa" w:w="6236"/>
          </w:tcPr>
          <w:p>
            <w:r>
              <w:rPr>
                <w:b/>
                <w:sz w:val="20"/>
              </w:rPr>
              <w:t>Risco coberto</w:t>
            </w:r>
          </w:p>
        </w:tc>
      </w:tr>
      <w:tr>
        <w:tc>
          <w:tcPr>
            <w:tcW w:type="dxa" w:w="2551"/>
          </w:tcPr>
          <w:p>
            <w:r>
              <w:rPr>
                <w:sz w:val="20"/>
              </w:rPr>
              <w:t>test_etl_filters.py</w:t>
            </w:r>
          </w:p>
        </w:tc>
        <w:tc>
          <w:tcPr>
            <w:tcW w:type="dxa" w:w="6236"/>
          </w:tcPr>
          <w:p>
            <w:r>
              <w:rPr>
                <w:sz w:val="20"/>
              </w:rPr>
              <w:t>Filtros do universo de estudo (PE, rede estadual, escolas ativas com Ensino Médio)</w:t>
            </w:r>
          </w:p>
        </w:tc>
      </w:tr>
      <w:tr>
        <w:tc>
          <w:tcPr>
            <w:tcW w:type="dxa" w:w="2551"/>
          </w:tcPr>
          <w:p>
            <w:r>
              <w:rPr>
                <w:sz w:val="20"/>
              </w:rPr>
              <w:t>test_panel.py</w:t>
            </w:r>
          </w:p>
        </w:tc>
        <w:tc>
          <w:tcPr>
            <w:tcW w:type="dxa" w:w="6236"/>
          </w:tcPr>
          <w:p>
            <w:r>
              <w:rPr>
                <w:sz w:val="20"/>
              </w:rPr>
              <w:t>Integridade do painel longitudinal escola×ano</w:t>
            </w:r>
          </w:p>
        </w:tc>
      </w:tr>
      <w:tr>
        <w:tc>
          <w:tcPr>
            <w:tcW w:type="dxa" w:w="2551"/>
          </w:tcPr>
          <w:p>
            <w:r>
              <w:rPr>
                <w:sz w:val="20"/>
              </w:rPr>
              <w:t>test_taxas.py</w:t>
            </w:r>
          </w:p>
        </w:tc>
        <w:tc>
          <w:tcPr>
            <w:tcW w:type="dxa" w:w="6236"/>
          </w:tcPr>
          <w:p>
            <w:r>
              <w:rPr>
                <w:sz w:val="20"/>
              </w:rPr>
              <w:t>Parser das Taxas de Rendimento do INEP (cabeçalhos não padronizados e células sentinela '--')</w:t>
            </w:r>
          </w:p>
        </w:tc>
      </w:tr>
      <w:tr>
        <w:tc>
          <w:tcPr>
            <w:tcW w:type="dxa" w:w="2551"/>
          </w:tcPr>
          <w:p>
            <w:r>
              <w:rPr>
                <w:sz w:val="20"/>
              </w:rPr>
              <w:t>test_build_target.py</w:t>
            </w:r>
          </w:p>
        </w:tc>
        <w:tc>
          <w:tcPr>
            <w:tcW w:type="dxa" w:w="6236"/>
          </w:tcPr>
          <w:p>
            <w:r>
              <w:rPr>
                <w:sz w:val="20"/>
              </w:rPr>
              <w:t>Join temporal do target: features do ano t casadas com o abandono de t+1 — um erro de deslocamento de um ano produziria um modelo sem valor preditivo, sem qualquer sintoma em tempo de execução</w:t>
            </w:r>
          </w:p>
        </w:tc>
      </w:tr>
      <w:tr>
        <w:tc>
          <w:tcPr>
            <w:tcW w:type="dxa" w:w="2551"/>
          </w:tcPr>
          <w:p>
            <w:r>
              <w:rPr>
                <w:sz w:val="20"/>
              </w:rPr>
              <w:t>test_models.py</w:t>
            </w:r>
          </w:p>
        </w:tc>
        <w:tc>
          <w:tcPr>
            <w:tcW w:type="dxa" w:w="6236"/>
          </w:tcPr>
          <w:p>
            <w:r>
              <w:rPr>
                <w:sz w:val="20"/>
              </w:rPr>
              <w:t>Métrica Precision@K; não-vazamento de municípios entre treino e teste na validação cruzada; partição temporal sem sobreposição; predições na escala original sob transformação do target</w:t>
            </w:r>
          </w:p>
        </w:tc>
      </w:tr>
    </w:tbl>
    <w:p>
      <w:pPr>
        <w:pStyle w:val="28"/>
      </w:pPr>
      <w:r>
        <w:t>Fonte: elaborado pelo autor.</w:t>
      </w:r>
    </w:p>
    <w:p>
      <w:pPr>
        <w:pStyle w:val="3"/>
      </w:pPr>
      <w:r>
        <w:t>Protocolo de Avaliação Experimental</w:t>
      </w:r>
    </w:p>
    <w:p>
      <w:r>
        <w:t>Os modelos foram avaliados sob dois protocolos complementares. O primeiro é a validação cruzada agrupada por município (GroupKFold com cinco folds), repetida em vinte partições aleatórias distintas (GroupShuffleSplit com 20% dos municípios em teste) para estimar o erro padrão e intervalos de confiança de 95% das métricas. O agrupamento por município impede que escolas vizinhas apareçam simultaneamente em treino e teste, mitigando o risco de autocorrelação espacial inflar as métricas. O segundo protocolo é a validação temporal, que simula o uso real do sistema: o modelo é treinado com o par 2022→2023 (797 observações) e testado no par 2023→2024 (789 observações), nunca vistas no treino.</w:t>
      </w:r>
    </w:p>
    <w:p>
      <w:r>
        <w:t>As métricas seguem a metodologia: RMSE, MAE e R² medem o erro de magnitude da taxa predita; a correlação de Spearman e a Precision@K (K = 10% das escolas) medem a qualidade do ordenamento — dimensão diretamente alinhada à pergunta de pesquisa, formulada como problema de priorização. Três modelos foram comparados: um DummyRegressor que prediz a média do treino (piso trivial), a regressão Ridge (alfa=100, target em raiz quadrada) e o Random Forest (300 árvores, profundidade máxima 8, mínimo de 5 observações por folha), com hiperparâmetros selecionados por busca em grade sob a mesma validação agrupada.</w:t>
      </w:r>
    </w:p>
    <w:p>
      <w:pPr>
        <w:pStyle w:val="3"/>
      </w:pPr>
      <w:r>
        <w:t>Desempenho dos Modelos Baseline</w:t>
      </w:r>
    </w:p>
    <w:p>
      <w:r>
        <w:t>O quadro a seguir apresenta as métricas centrais sob validação cruzada repetida (média e intervalo de confiança de 95% das vinte repetições), já incluindo o XGBoost definitivo. Os três modelos superam o piso trivial com folga em todas as métricas; o XGBoost obtém a maior correlação de Spearman, enquanto o Random Forest mantém o menor RMSE.</w:t>
      </w:r>
    </w:p>
    <w:p>
      <w:pPr>
        <w:pStyle w:val="28"/>
      </w:pPr>
      <w:r>
        <w:t>Quadro – Métricas em validação cruzada agrupada repetida (20 repetições, IC 95%)</w:t>
      </w:r>
    </w:p>
    <w:tbl>
      <w:tblPr>
        <w:tblStyle w:val="33"/>
        <w:tblW w:type="auto" w:w="0"/>
        <w:tblLook w:firstColumn="1" w:firstRow="1" w:lastColumn="0" w:lastRow="0" w:noHBand="0" w:noVBand="1" w:val="04A0"/>
      </w:tblPr>
      <w:tblGrid>
        <w:gridCol w:w="2268"/>
        <w:gridCol w:w="2268"/>
        <w:gridCol w:w="2268"/>
        <w:gridCol w:w="2268"/>
      </w:tblGrid>
      <w:tr>
        <w:tc>
          <w:tcPr>
            <w:tcW w:type="dxa" w:w="1984"/>
          </w:tcPr>
          <w:p>
            <w:r>
              <w:rPr>
                <w:b/>
                <w:sz w:val="20"/>
              </w:rPr>
              <w:t>Modelo</w:t>
            </w:r>
          </w:p>
        </w:tc>
        <w:tc>
          <w:tcPr>
            <w:tcW w:type="dxa" w:w="2268"/>
          </w:tcPr>
          <w:p>
            <w:r>
              <w:rPr>
                <w:b/>
                <w:sz w:val="20"/>
              </w:rPr>
              <w:t>RMSE (p.p.)</w:t>
            </w:r>
          </w:p>
        </w:tc>
        <w:tc>
          <w:tcPr>
            <w:tcW w:type="dxa" w:w="2268"/>
          </w:tcPr>
          <w:p>
            <w:r>
              <w:rPr>
                <w:b/>
                <w:sz w:val="20"/>
              </w:rPr>
              <w:t>Spearman</w:t>
            </w:r>
          </w:p>
        </w:tc>
        <w:tc>
          <w:tcPr>
            <w:tcW w:type="dxa" w:w="2268"/>
          </w:tcPr>
          <w:p>
            <w:r>
              <w:rPr>
                <w:b/>
                <w:sz w:val="20"/>
              </w:rPr>
              <w:t>Precision@K</w:t>
            </w:r>
          </w:p>
        </w:tc>
      </w:tr>
      <w:tr>
        <w:tc>
          <w:tcPr>
            <w:tcW w:type="dxa" w:w="1984"/>
          </w:tcPr>
          <w:p>
            <w:r>
              <w:rPr>
                <w:sz w:val="20"/>
              </w:rPr>
              <w:t>Dummy (média)</w:t>
            </w:r>
          </w:p>
        </w:tc>
        <w:tc>
          <w:tcPr>
            <w:tcW w:type="dxa" w:w="2268"/>
          </w:tcPr>
          <w:p>
            <w:r>
              <w:rPr>
                <w:sz w:val="20"/>
              </w:rPr>
              <w:t>3,154 [2,730; 3,577]</w:t>
            </w:r>
          </w:p>
        </w:tc>
        <w:tc>
          <w:tcPr>
            <w:tcW w:type="dxa" w:w="2268"/>
          </w:tcPr>
          <w:p>
            <w:r>
              <w:rPr>
                <w:sz w:val="20"/>
              </w:rPr>
              <w:t>—</w:t>
            </w:r>
          </w:p>
        </w:tc>
        <w:tc>
          <w:tcPr>
            <w:tcW w:type="dxa" w:w="2268"/>
          </w:tcPr>
          <w:p>
            <w:r>
              <w:rPr>
                <w:sz w:val="20"/>
              </w:rPr>
              <w:t>0,068 [0,040; 0,096]</w:t>
            </w:r>
          </w:p>
        </w:tc>
      </w:tr>
      <w:tr>
        <w:tc>
          <w:tcPr>
            <w:tcW w:type="dxa" w:w="1984"/>
          </w:tcPr>
          <w:p>
            <w:r>
              <w:rPr>
                <w:sz w:val="20"/>
              </w:rPr>
              <w:t>Ridge</w:t>
            </w:r>
          </w:p>
        </w:tc>
        <w:tc>
          <w:tcPr>
            <w:tcW w:type="dxa" w:w="2268"/>
          </w:tcPr>
          <w:p>
            <w:r>
              <w:rPr>
                <w:sz w:val="20"/>
              </w:rPr>
              <w:t>2,627 [2,348; 2,905]</w:t>
            </w:r>
          </w:p>
        </w:tc>
        <w:tc>
          <w:tcPr>
            <w:tcW w:type="dxa" w:w="2268"/>
          </w:tcPr>
          <w:p>
            <w:r>
              <w:rPr>
                <w:sz w:val="20"/>
              </w:rPr>
              <w:t>0,426 [0,391; 0,461]</w:t>
            </w:r>
          </w:p>
        </w:tc>
        <w:tc>
          <w:tcPr>
            <w:tcW w:type="dxa" w:w="2268"/>
          </w:tcPr>
          <w:p>
            <w:r>
              <w:rPr>
                <w:sz w:val="20"/>
              </w:rPr>
              <w:t>0,516 [0,477; 0,556]</w:t>
            </w:r>
          </w:p>
        </w:tc>
      </w:tr>
      <w:tr>
        <w:tc>
          <w:tcPr>
            <w:tcW w:type="dxa" w:w="1984"/>
          </w:tcPr>
          <w:p>
            <w:r>
              <w:rPr>
                <w:sz w:val="20"/>
              </w:rPr>
              <w:t>Random Forest</w:t>
            </w:r>
          </w:p>
        </w:tc>
        <w:tc>
          <w:tcPr>
            <w:tcW w:type="dxa" w:w="2268"/>
          </w:tcPr>
          <w:p>
            <w:r>
              <w:rPr>
                <w:sz w:val="20"/>
              </w:rPr>
              <w:t>2,546 [2,281; 2,812]</w:t>
            </w:r>
          </w:p>
        </w:tc>
        <w:tc>
          <w:tcPr>
            <w:tcW w:type="dxa" w:w="2268"/>
          </w:tcPr>
          <w:p>
            <w:r>
              <w:rPr>
                <w:sz w:val="20"/>
              </w:rPr>
              <w:t>0,431 [0,399; 0,463]</w:t>
            </w:r>
          </w:p>
        </w:tc>
        <w:tc>
          <w:tcPr>
            <w:tcW w:type="dxa" w:w="2268"/>
          </w:tcPr>
          <w:p>
            <w:r>
              <w:rPr>
                <w:sz w:val="20"/>
              </w:rPr>
              <w:t>0,500 [0,457; 0,544]</w:t>
            </w:r>
          </w:p>
        </w:tc>
      </w:tr>
      <w:tr>
        <w:tc>
          <w:tcPr>
            <w:tcW w:type="dxa" w:w="2268"/>
          </w:tcPr>
          <w:p>
            <w:r>
              <w:rPr>
                <w:sz w:val="20"/>
              </w:rPr>
              <w:t>XGBoost</w:t>
            </w:r>
          </w:p>
        </w:tc>
        <w:tc>
          <w:tcPr>
            <w:tcW w:type="dxa" w:w="2268"/>
          </w:tcPr>
          <w:p>
            <w:r>
              <w:rPr>
                <w:sz w:val="20"/>
              </w:rPr>
              <w:t>2,695 [2,397; 2,992]</w:t>
            </w:r>
          </w:p>
        </w:tc>
        <w:tc>
          <w:tcPr>
            <w:tcW w:type="dxa" w:w="2268"/>
          </w:tcPr>
          <w:p>
            <w:r>
              <w:rPr>
                <w:sz w:val="20"/>
              </w:rPr>
              <w:t>0,458 [0,428; 0,488]</w:t>
            </w:r>
          </w:p>
        </w:tc>
        <w:tc>
          <w:tcPr>
            <w:tcW w:type="dxa" w:w="2268"/>
          </w:tcPr>
          <w:p>
            <w:r>
              <w:rPr>
                <w:sz w:val="20"/>
              </w:rPr>
              <w:t>0,499 [0,463; 0,535]</w:t>
            </w:r>
          </w:p>
        </w:tc>
      </w:tr>
    </w:tbl>
    <w:p>
      <w:pPr>
        <w:pStyle w:val="28"/>
      </w:pPr>
      <w:r>
        <w:t>Fonte: elaborado pelo autor.</w:t>
      </w:r>
    </w:p>
    <w:p>
      <w:r>
        <w:t>A comparação pareada entre os dois baselines, calculada repetição a repetição, mostra que o Random Forest é significativamente melhor que o Ridge em RMSE (diferença de −0,080 com IC 95% de ±0,065, que exclui zero), mas que os dois estão estatisticamente empatados em qualidade de ranking (diferença de Spearman de +0,005 ± 0,023). As transformações do target (logaritmo e raiz quadrada) tiveram efeito marginal, com leve trade-off: comprimem a cauda e melhoram o ranking, mas pioram a calibração das escolas de abandono mais alto.</w:t>
      </w:r>
    </w:p>
    <w:p>
      <w:r>
        <w:t>Na validação temporal emergiu o achado mais relevante desta etapa: houve deslocamento de distribuição entre os ciclos — o abandono médio caiu de 2023 para 2024 — e, em consequência, nenhum modelo superou o piso trivial em RMSE (R² negativo), pois todos erram sistematicamente o nível da taxa. As métricas de ordenamento, contudo, mantiveram-se muito superiores ao piso: Spearman de 0,370 e Precision@K de 0,418, contra 0,089 do Dummy. O modelo continua identificando corretamente quais escolas terão abandono elevado, ainda que erre a magnitude. Para o propósito do sistema — priorizar intervenções — é a capacidade de ordenamento que importa; a limitação de magnitude, decorrente da janela curta de dados (dois pares de anos), será tratada na fase de tuning e está registrada como limitação do estudo.</w:t>
      </w:r>
    </w:p>
    <w:p>
      <w:pPr>
        <w:pStyle w:val="3"/>
      </w:pPr>
      <w:r>
        <w:t>Capacidade de Priorização de Escolas em Risco</w:t>
      </w:r>
    </w:p>
    <w:p>
      <w:r>
        <w:t>Do ponto de vista do usuário-alvo — o gestor da Secretaria Estadual de Educação — a pergunta operacional é: intervindo em K escolas indicadas pelo sistema, quantas das escolas realmente críticas são alcançadas? A análise de ranking flexível responde a essa pergunta variando K sem retreinar o modelo, propriedade que motivou a escolha por regressão. Definindo como críticas as escolas do decil superior de abandono em 2024, a priorização das top-50 escolas indicadas alcança de 28% a 30% das críticas — cinco vezes mais que uma seleção aleatória (6%); com as top-150, cerca de dois terços das escolas críticas são alcançados.</w:t>
      </w:r>
    </w:p>
    <w:p>
      <w:pPr>
        <w:pStyle w:val="28"/>
      </w:pPr>
      <w:r>
        <w:t>Figura – Precision@K e captura de escolas críticas por tamanho da lista de priorização (teste temporal 2023→2024)</w:t>
      </w:r>
    </w:p>
    <w:p>
      <w:pPr>
        <w:jc w:val="center"/>
      </w:pPr>
      <w:r>
        <w:drawing>
          <wp:inline xmlns:a="http://schemas.openxmlformats.org/drawingml/2006/main" xmlns:pic="http://schemas.openxmlformats.org/drawingml/2006/picture">
            <wp:extent cx="5400000" cy="2066184"/>
            <wp:docPr id="5" name="Picture 5"/>
            <wp:cNvGraphicFramePr>
              <a:graphicFrameLocks noChangeAspect="1"/>
            </wp:cNvGraphicFramePr>
            <a:graphic>
              <a:graphicData uri="http://schemas.openxmlformats.org/drawingml/2006/picture">
                <pic:pic>
                  <pic:nvPicPr>
                    <pic:cNvPr id="0" name="M5_precision_por_k.png"/>
                    <pic:cNvPicPr/>
                  </pic:nvPicPr>
                  <pic:blipFill>
                    <a:blip r:embed="rId15"/>
                    <a:stretch>
                      <a:fillRect/>
                    </a:stretch>
                  </pic:blipFill>
                  <pic:spPr>
                    <a:xfrm>
                      <a:off x="0" y="0"/>
                      <a:ext cx="5400000" cy="2066184"/>
                    </a:xfrm>
                    <a:prstGeom prst="rect"/>
                  </pic:spPr>
                </pic:pic>
              </a:graphicData>
            </a:graphic>
          </wp:inline>
        </w:drawing>
      </w:r>
    </w:p>
    <w:p>
      <w:pPr>
        <w:pStyle w:val="28"/>
      </w:pPr>
      <w:r>
        <w:t>Fonte: elaborado pelo autor.</w:t>
      </w:r>
    </w:p>
    <w:p>
      <w:r>
        <w:t>Para permitir comparação com a literatura — que majoritariamente trata evasão como classificação binária — realizou-se avaliação binarizada pós-hoc, usando as predições contínuas como scores de risco. Os baselines alcançaram ROC-AUC de 0,812 (Ridge) e 0,829 (Random Forest), valores na faixa tipicamente reportada em estudos de predição de evasão (AUC ≈ 0,80), e PR-AUC de 0,34 — 3,4 vezes a prevalência de 10%. Trata-se de referência externa de qualidade obtida antes mesmo do tuning do modelo principal.</w:t>
      </w:r>
    </w:p>
    <w:p>
      <w:pPr>
        <w:pStyle w:val="3"/>
      </w:pPr>
      <w:r>
        <w:t>Análise de Resíduos e Equidade do Modelo</w:t>
      </w:r>
    </w:p>
    <w:p>
      <w:r>
        <w:t>A análise de resíduos (real − predito) no teste temporal antecipa a pergunta secundária de pesquisa e revelou um achado com implicação direta de equidade: o modelo apresenta viés sistemático por grupo. Escolas urbanas têm abandono levemente subpredito (resíduo médio de +0,42 ponto percentual), escolas rurais têm abandono superpredito (−1,02 p.p.) e, de forma acentuada, escolas em localização diferenciada — terras indígenas e comunidades quilombolas — têm superpredição de −4,09 p.p. (n=41): seu perfil contextual (rural, nível socioeconômico baixo, distorção idade-série alta) está associado a abandono elevado, mas o abandono observado é próximo de zero.</w:t>
      </w:r>
    </w:p>
    <w:p>
      <w:pPr>
        <w:pStyle w:val="28"/>
      </w:pPr>
      <w:r>
        <w:t>Figura – Distribuição dos resíduos por mesorregião e por tipo de localização (Ridge, teste temporal)</w:t>
      </w:r>
    </w:p>
    <w:p>
      <w:pPr>
        <w:jc w:val="center"/>
      </w:pPr>
      <w:r>
        <w:drawing>
          <wp:inline xmlns:a="http://schemas.openxmlformats.org/drawingml/2006/main" xmlns:pic="http://schemas.openxmlformats.org/drawingml/2006/picture">
            <wp:extent cx="5400000" cy="2072191"/>
            <wp:docPr id="6" name="Picture 6"/>
            <wp:cNvGraphicFramePr>
              <a:graphicFrameLocks noChangeAspect="1"/>
            </wp:cNvGraphicFramePr>
            <a:graphic>
              <a:graphicData uri="http://schemas.openxmlformats.org/drawingml/2006/picture">
                <pic:pic>
                  <pic:nvPicPr>
                    <pic:cNvPr id="0" name="M8_residuos_grupos.png"/>
                    <pic:cNvPicPr/>
                  </pic:nvPicPr>
                  <pic:blipFill>
                    <a:blip r:embed="rId16"/>
                    <a:stretch>
                      <a:fillRect/>
                    </a:stretch>
                  </pic:blipFill>
                  <pic:spPr>
                    <a:xfrm>
                      <a:off x="0" y="0"/>
                      <a:ext cx="5400000" cy="2072191"/>
                    </a:xfrm>
                    <a:prstGeom prst="rect"/>
                  </pic:spPr>
                </pic:pic>
              </a:graphicData>
            </a:graphic>
          </wp:inline>
        </w:drawing>
      </w:r>
    </w:p>
    <w:p>
      <w:pPr>
        <w:pStyle w:val="28"/>
      </w:pPr>
      <w:r>
        <w:t>Fonte: elaborado pelo autor.</w:t>
      </w:r>
    </w:p>
    <w:p>
      <w:r>
        <w:t>A interpretação provável é a existência de fatores protetivos de vínculo comunitário não capturados pelas variáveis disponíveis, consistente com a limitação declarada na metodologia sobre vieses não controlados. A consequência prática é que, sem correção, um sistema de priorização alocaria atenção excessiva a escolas indígenas e quilombolas que não estão de fato em risco. As vinte escolas com maior resíduo em cada direção foram persistidas como artefato para inspeção qualitativa na fase de explicabilidade, e a reavaliação desse viés sobre o modelo definitivo é apresentada na seção de explicabilidade, ao final deste capítulo.</w:t>
      </w:r>
    </w:p>
    <w:p>
      <w:pPr>
        <w:pStyle w:val="3"/>
      </w:pPr>
      <w:r>
        <w:t>Tuning e Desempenho do Modelo XGBoost</w:t>
      </w:r>
    </w:p>
    <w:p>
      <w:pPr/>
      <w:r>
        <w:t>O modelo definitivo do sistema é um XGBoost, obtido por busca em grade sob a mesma validação cruzada agrupada por município descrita no protocolo, com a configuração e o procedimento detalhados no capítulo de método. Sob a validação cruzada repetida apresentada anteriormente, o XGBoost obteve a maior correlação de Spearman entre todos os modelos (0,458, ante 0,431 do Random Forest e 0,426 do Ridge) e erro absoluto médio equivalente ao do melhor baseline, mas não reduziu o RMSE em relação ao Random Forest (2,695 contra 2,546). O ganho do modelo principal concentra-se, portanto, nas dimensões diretamente ligadas à priorização — a qualidade do ordenamento —, e não na magnitude do erro, captada pelo RMSE: comportamento esperado para uma amostra pequena, em que o XGBoost regularizado aprende a ordenar as escolas melhor do que a calibrar o nível absoluto da taxa.</w:t>
      </w:r>
    </w:p>
    <w:p>
      <w:pPr/>
      <w:r>
        <w:t>Na validação temporal — o protocolo que simula o uso real do sistema —, o XGBoost foi o melhor entre todos os modelos: RMSE de 2,62 pontos percentuais, erro absoluto médio de 0,95, correlação de Spearman de 0,390 e ROC-AUC de 0,830 na leitura binarizada pós-hoc, atingindo a meta de ROC-AUC ≥ 0,83 estabelecida a partir dos baselines. O R² permaneceu negativo (−0,10), porém o menos negativo entre os modelos avaliados: o tuning atenuou, sem eliminar, o deslocamento de nível entre ciclos identificado na fase baseline — a previsão da magnitude da taxa continua limitada pela janela curta de dois pares de anos, limitação registrada entre as limitações do estudo.</w:t>
      </w:r>
    </w:p>
    <w:p>
      <w:pPr/>
      <w:r>
        <w:t>A importância das variáveis por ganho, apresentada na figura a seguir, confirma os achados das fases anteriores: os preditores dominantes são a localização diferenciada da escola, o lag da taxa de abandono e a adequação da formação docente, seguidos da distorção idade-série — em consonância com as correlações observadas na integração dos indicadores. Os resíduos do XGBoost no teste temporal mantêm média próxima de zero (0,22 ponto percentual) e desvio-padrão de 2,61, sem padrão acentuado de heterocedasticidade; a reavaliação do viés de superpredição por grupo — em especial nas escolas de localização diferenciada, que figuram como a variável de maior importância e cujo abandono observado é próximo de zero — será aprofundada na fase de explicabilidade com SHAP.</w:t>
      </w:r>
    </w:p>
    <w:p>
      <w:pPr>
        <w:pStyle w:val="28"/>
      </w:pPr>
      <w:r>
        <w:t>Figura – Importância das variáveis (ganho) e resíduos do XGBoost na validação temporal</w:t>
      </w:r>
    </w:p>
    <w:p>
      <w:pPr>
        <w:jc w:val="center"/>
      </w:pPr>
      <w:r>
        <w:drawing>
          <wp:inline xmlns:a="http://schemas.openxmlformats.org/drawingml/2006/main" xmlns:pic="http://schemas.openxmlformats.org/drawingml/2006/picture">
            <wp:extent cx="5580000" cy="1984060"/>
            <wp:docPr id="7" name="Picture 7"/>
            <wp:cNvGraphicFramePr>
              <a:graphicFrameLocks noChangeAspect="1"/>
            </wp:cNvGraphicFramePr>
            <a:graphic>
              <a:graphicData uri="http://schemas.openxmlformats.org/drawingml/2006/picture">
                <pic:pic>
                  <pic:nvPicPr>
                    <pic:cNvPr id="0" name="X5_importancia_residuos.png"/>
                    <pic:cNvPicPr/>
                  </pic:nvPicPr>
                  <pic:blipFill>
                    <a:blip r:embed="rId17"/>
                    <a:stretch>
                      <a:fillRect/>
                    </a:stretch>
                  </pic:blipFill>
                  <pic:spPr>
                    <a:xfrm>
                      <a:off x="0" y="0"/>
                      <a:ext cx="5580000" cy="1984060"/>
                    </a:xfrm>
                    <a:prstGeom prst="rect"/>
                  </pic:spPr>
                </pic:pic>
              </a:graphicData>
            </a:graphic>
          </wp:inline>
        </w:drawing>
      </w:r>
    </w:p>
    <w:p>
      <w:pPr>
        <w:pStyle w:val="28"/>
      </w:pPr>
      <w:r>
        <w:t>Fonte: elaborado pelo autor.</w:t>
      </w:r>
    </w:p>
    <w:p>
      <w:pPr>
        <w:pStyle w:val="3"/>
      </w:pPr>
      <w:r>
        <w:t>Explicabilidade e Diagnóstico do Modelo com SHAP</w:t>
      </w:r>
    </w:p>
    <w:p>
      <w:pPr/>
      <w:r>
        <w:t>Enquanto a importância por ganho da seção anterior mede quanto cada variável reduz o erro nos pontos de divisão das árvores, a explicabilidade por valores de Shapley (SHAP) mede a contribuição média de cada variável para a predição de cada escola, permitindo ler não apenas a magnitude, mas a direção do efeito. A figura a seguir resume essa decomposição para todo o conjunto: o lag da taxa de abandono (abnd_t, |SHAP| médio de 0,148 na escala de raiz) é, de longe, o principal determinante do risco previsto, seguido do abandono da 2ª série (0,098) e da 1ª série (0,050), do nível socioeconômico (INSE, 0,041), da reprovação (0,041) e da distorção idade-série (0,030).</w:t>
      </w:r>
    </w:p>
    <w:p>
      <w:pPr>
        <w:pStyle w:val="28"/>
      </w:pPr>
      <w:r>
        <w:t>Figura – Decomposição SHAP global das predições do XGBoost (beeswarm)</w:t>
      </w:r>
    </w:p>
    <w:p>
      <w:pPr>
        <w:jc w:val="center"/>
      </w:pPr>
      <w:r>
        <w:drawing>
          <wp:inline xmlns:a="http://schemas.openxmlformats.org/drawingml/2006/main" xmlns:pic="http://schemas.openxmlformats.org/drawingml/2006/picture">
            <wp:extent cx="4937760" cy="4692353"/>
            <wp:docPr id="8" name="Picture 8"/>
            <wp:cNvGraphicFramePr>
              <a:graphicFrameLocks noChangeAspect="1"/>
            </wp:cNvGraphicFramePr>
            <a:graphic>
              <a:graphicData uri="http://schemas.openxmlformats.org/drawingml/2006/picture">
                <pic:pic>
                  <pic:nvPicPr>
                    <pic:cNvPr id="0" name="S1_shap_beeswarm.png"/>
                    <pic:cNvPicPr/>
                  </pic:nvPicPr>
                  <pic:blipFill>
                    <a:blip r:embed="rId18"/>
                    <a:stretch>
                      <a:fillRect/>
                    </a:stretch>
                  </pic:blipFill>
                  <pic:spPr>
                    <a:xfrm>
                      <a:off x="0" y="0"/>
                      <a:ext cx="4937760" cy="4692353"/>
                    </a:xfrm>
                    <a:prstGeom prst="rect"/>
                  </pic:spPr>
                </pic:pic>
              </a:graphicData>
            </a:graphic>
          </wp:inline>
        </w:drawing>
      </w:r>
    </w:p>
    <w:p>
      <w:pPr>
        <w:pStyle w:val="28"/>
      </w:pPr>
      <w:r>
        <w:t>Fonte: elaborado pelo autor.</w:t>
      </w:r>
    </w:p>
    <w:p>
      <w:pPr/>
      <w:r>
        <w:t>As cores do gráfico de dispersão confirmam que as direções dos efeitos são coerentes com a literatura: valores altos das taxas de abandono e reprovação defasadas e da distorção idade-série empurram a predição para cima (maior risco), ao passo que valores altos do INSE a empurram para baixo — a correlação entre o valor do INSE e sua contribuição SHAP é de −0,74. A figura seguinte ordena as variáveis por |SHAP| médio e codifica essa direção por cor. Cabe registrar uma divergência metodológica relevante em relação à importância por ganho: a variável binária de localização diferenciada, apontada como a de maior ganho, não figura entre as mais influentes pela métrica SHAP. A razão é que essa variável marca um número reduzido de escolas e, quando usada em uma divisão, separa grupos muito homogêneos — o que infla o ganho por divisão —, mas, por afetar poucas observações, contribui pouco para a predição média do conjunto. As duas métricas são, portanto, complementares: o ganho destaca variáveis de alta pureza local, e o SHAP, as de maior contribuição média global.</w:t>
      </w:r>
    </w:p>
    <w:p>
      <w:pPr>
        <w:pStyle w:val="28"/>
      </w:pPr>
      <w:r>
        <w:t>Figura – Importância e direção das variáveis por |SHAP| médio</w:t>
      </w:r>
    </w:p>
    <w:p>
      <w:pPr>
        <w:jc w:val="center"/>
      </w:pPr>
      <w:r>
        <w:drawing>
          <wp:inline xmlns:a="http://schemas.openxmlformats.org/drawingml/2006/main" xmlns:pic="http://schemas.openxmlformats.org/drawingml/2006/picture">
            <wp:extent cx="5394960" cy="3552187"/>
            <wp:docPr id="9" name="Picture 9"/>
            <wp:cNvGraphicFramePr>
              <a:graphicFrameLocks noChangeAspect="1"/>
            </wp:cNvGraphicFramePr>
            <a:graphic>
              <a:graphicData uri="http://schemas.openxmlformats.org/drawingml/2006/picture">
                <pic:pic>
                  <pic:nvPicPr>
                    <pic:cNvPr id="0" name="S2_shap_direcao.png"/>
                    <pic:cNvPicPr/>
                  </pic:nvPicPr>
                  <pic:blipFill>
                    <a:blip r:embed="rId19"/>
                    <a:stretch>
                      <a:fillRect/>
                    </a:stretch>
                  </pic:blipFill>
                  <pic:spPr>
                    <a:xfrm>
                      <a:off x="0" y="0"/>
                      <a:ext cx="5394960" cy="3552187"/>
                    </a:xfrm>
                    <a:prstGeom prst="rect"/>
                  </pic:spPr>
                </pic:pic>
              </a:graphicData>
            </a:graphic>
          </wp:inline>
        </w:drawing>
      </w:r>
    </w:p>
    <w:p>
      <w:pPr>
        <w:pStyle w:val="28"/>
      </w:pPr>
      <w:r>
        <w:t>Fonte: elaborado pelo autor.</w:t>
      </w:r>
    </w:p>
    <w:p>
      <w:pPr/>
      <w:r>
        <w:t>A decomposição é também local: para qualquer escola, é possível mostrar como cada variável afastou sua predição do valor médio. A figura a seguir ilustra o caso da escola de maior risco previsto — uma escola estadual indígena no município de Jatobá, com 23,9% de abandono previsto e 39,1% observado em 2022. Partindo da predição média do conjunto (E[f(x)] = 0,49 na escala de raiz), as maiores contribuições positivas vêm do lag de abandono (+0,74), da distorção idade-série (+0,64) e do abandono da 2ª série (+0,41), que somadas constroem o escore elevado de risco. Esse tipo de explicação por escola é o insumo que o dashboard apresentará ao gestor para justificar cada indicação de prioridade.</w:t>
      </w:r>
    </w:p>
    <w:p>
      <w:pPr>
        <w:pStyle w:val="28"/>
      </w:pPr>
      <w:r>
        <w:t>Figura – Explicação local (waterfall) da escola de maior risco previsto</w:t>
      </w:r>
    </w:p>
    <w:p>
      <w:pPr>
        <w:jc w:val="center"/>
      </w:pPr>
      <w:r>
        <w:drawing>
          <wp:inline xmlns:a="http://schemas.openxmlformats.org/drawingml/2006/main" xmlns:pic="http://schemas.openxmlformats.org/drawingml/2006/picture">
            <wp:extent cx="5120640" cy="4734662"/>
            <wp:docPr id="10" name="Picture 10"/>
            <wp:cNvGraphicFramePr>
              <a:graphicFrameLocks noChangeAspect="1"/>
            </wp:cNvGraphicFramePr>
            <a:graphic>
              <a:graphicData uri="http://schemas.openxmlformats.org/drawingml/2006/picture">
                <pic:pic>
                  <pic:nvPicPr>
                    <pic:cNvPr id="0" name="S3_waterfall_alto_risco.png"/>
                    <pic:cNvPicPr/>
                  </pic:nvPicPr>
                  <pic:blipFill>
                    <a:blip r:embed="rId20"/>
                    <a:stretch>
                      <a:fillRect/>
                    </a:stretch>
                  </pic:blipFill>
                  <pic:spPr>
                    <a:xfrm>
                      <a:off x="0" y="0"/>
                      <a:ext cx="5120640" cy="4734662"/>
                    </a:xfrm>
                    <a:prstGeom prst="rect"/>
                  </pic:spPr>
                </pic:pic>
              </a:graphicData>
            </a:graphic>
          </wp:inline>
        </w:drawing>
      </w:r>
    </w:p>
    <w:p>
      <w:pPr>
        <w:pStyle w:val="28"/>
      </w:pPr>
      <w:r>
        <w:t>Fonte: elaborado pelo autor.</w:t>
      </w:r>
    </w:p>
    <w:p>
      <w:pPr/>
      <w:r>
        <w:t>Por fim, a análise de resíduos foi reavaliada sobre o modelo definitivo, cumprindo o encaminhamento registrado anteriormente. A figura a seguir apresenta o resíduo (real − previsto) do XGBoost por grupo de localização na validação temporal. O viés sistemático identificado nos baselines persiste após o tuning: as escolas urbanas e rurais têm resíduo médio próximo de zero (+0,42 e +0,71 ponto percentual, respectivamente), enquanto as escolas de localização diferenciada — terras indígenas e comunidades quilombolas — mantêm superpredição acentuada (resíduo médio de −3,99 pontos percentuais, n = 41), praticamente idêntica à observada com o Ridge (−4,09). O modelo prevê para essas escolas um abandono elevado, condizente com seu perfil contextual (rural, baixo INSE, alta distorção idade-série), mas o abandono observado é próximo de zero. O achado reforça a hipótese de fatores protetivos de vínculo comunitário não capturados pelas variáveis disponíveis e tem consequência prática direta: um ranking de priorização não corrigido alocaria atenção excessiva a essas escolas. Recomenda-se, por isso, exibir o resíduo ao gestor como sinal de cautela e tratar a correção desse viés como trabalho futuro.</w:t>
      </w:r>
    </w:p>
    <w:p>
      <w:pPr>
        <w:pStyle w:val="28"/>
      </w:pPr>
      <w:r>
        <w:t>Figura – Resíduo do XGBoost por grupo de localização (validação temporal)</w:t>
      </w:r>
    </w:p>
    <w:p>
      <w:pPr>
        <w:jc w:val="center"/>
      </w:pPr>
      <w:r>
        <w:drawing>
          <wp:inline xmlns:a="http://schemas.openxmlformats.org/drawingml/2006/main" xmlns:pic="http://schemas.openxmlformats.org/drawingml/2006/picture">
            <wp:extent cx="5577840" cy="2137114"/>
            <wp:docPr id="11" name="Picture 11"/>
            <wp:cNvGraphicFramePr>
              <a:graphicFrameLocks noChangeAspect="1"/>
            </wp:cNvGraphicFramePr>
            <a:graphic>
              <a:graphicData uri="http://schemas.openxmlformats.org/drawingml/2006/picture">
                <pic:pic>
                  <pic:nvPicPr>
                    <pic:cNvPr id="0" name="S5_equidade_grupos.png"/>
                    <pic:cNvPicPr/>
                  </pic:nvPicPr>
                  <pic:blipFill>
                    <a:blip r:embed="rId21"/>
                    <a:stretch>
                      <a:fillRect/>
                    </a:stretch>
                  </pic:blipFill>
                  <pic:spPr>
                    <a:xfrm>
                      <a:off x="0" y="0"/>
                      <a:ext cx="5577840" cy="2137114"/>
                    </a:xfrm>
                    <a:prstGeom prst="rect"/>
                  </pic:spPr>
                </pic:pic>
              </a:graphicData>
            </a:graphic>
          </wp:inline>
        </w:drawing>
      </w:r>
    </w:p>
    <w:p>
      <w:pPr>
        <w:pStyle w:val="28"/>
      </w:pPr>
      <w:r>
        <w:t>Fonte: elaborado pelo autor.</w:t>
      </w:r>
    </w:p>
    <w:p>
      <w:pPr>
        <w:pStyle w:val="3"/>
      </w:pPr>
      <w:r>
        <w:t>Síntese dos Resultados</w:t>
      </w:r>
    </w:p>
    <w:p>
      <w:r>
        <w:t>Os resultados obtidos até esta etapa sustentam parcialmente a pergunta principal de pesquisa: é possível, a partir de indicadores institucionais e contextuais do ano t, ordenar as escolas estaduais de Ensino Médio de Pernambuco por risco de abandono em t+1 com qualidade útil para priorização. O XGBoost, modelo definitivo, confirmou-se o melhor nas dimensões alinhadas a esse objetivo: a maior correlação de Spearman (0,458 em validação cruzada repetida e 0,390 na validação temporal), o menor erro absoluto médio e ROC-AUC de 0,830 na validação temporal, atingindo as metas de ROC-AUC ≥ 0,83 e de Spearman ≥ 0,43 fixadas a partir dos baselines. A meta de RMSE, em contrapartida, não foi superada: o XGBoost não reduziu o RMSE em relação ao Random Forest, e a magnitude da taxa não generaliza entre ciclos (R² negativo na validação temporal) com apenas dois pares de anos disponíveis — limitação que o tuning atenuou, mas não eliminou. A explicabilidade com SHAP confirmou o lag de abandono, a reprovação e a distorção idade-série como os principais determinantes do risco previsto, com direções coerentes com a teoria, e a reavaliação dos resíduos sobre o modelo definitivo confirmou a persistência do viés de superpredição nas escolas de localização diferenciada (−3,99 pontos percentuais na validação temporal). Permanece como encaminhamento para a fase seguinte a construção do dashboard de priorização, além da correção desse viés e da ampliação da janela temporal, discutidas nas conclusões.</w:t>
      </w:r>
    </w:p>
    <w:p w14:paraId="3C236B35">
      <w:pPr>
        <w:pStyle w:val="2"/>
      </w:pPr>
      <w:bookmarkStart w:id="21" w:name="_Toc112914782"/>
      <w:r>
        <w:t>CONCLUSÕES E TRABALHOS FUTUROS</w:t>
      </w:r>
      <w:bookmarkEnd w:id="21"/>
    </w:p>
    <w:bookmarkEnd w:id="10"/>
    <w:p w14:paraId="110C267B">
      <w:pPr>
        <w:pStyle w:val="7"/>
        <w:rPr>
          <w:color w:val="auto"/>
        </w:rPr>
      </w:pPr>
      <w:bookmarkStart w:id="22" w:name="_Toc81325008"/>
      <w:bookmarkStart w:id="23" w:name="_Toc79652176"/>
      <w:bookmarkStart w:id="24" w:name="_Toc81325093"/>
      <w:bookmarkStart w:id="25" w:name="_Toc112914783"/>
      <w:r>
        <w:rPr>
          <w:color w:val="auto"/>
        </w:rPr>
        <w:t>Referências</w:t>
      </w:r>
      <w:bookmarkEnd w:id="22"/>
      <w:bookmarkEnd w:id="23"/>
      <w:bookmarkEnd w:id="24"/>
      <w:r>
        <w:rPr>
          <w:color w:val="auto"/>
        </w:rPr>
        <w:t xml:space="preserve"> Bibliográficas</w:t>
      </w:r>
      <w:bookmarkEnd w:id="25"/>
    </w:p>
    <w:p w14:paraId="6485E9A9">
      <w:pPr>
        <w:rPr>
          <w:color w:val="auto"/>
        </w:rPr>
      </w:pPr>
    </w:p>
    <w:p w14:paraId="0AB5E779">
      <w:pPr>
        <w:rPr>
          <w:rFonts w:cs="Arial"/>
          <w:color w:val="auto"/>
          <w:szCs w:val="24"/>
        </w:rPr>
      </w:pPr>
      <w:r>
        <w:rPr>
          <w:rFonts w:cs="Arial"/>
          <w:color w:val="auto"/>
          <w:szCs w:val="24"/>
        </w:rPr>
        <w:t>Elemento obrigatório. Consiste na relação das obras citadas no texto, que permite a identificação de cada uma delas. Todas as obras citadas no trabalho têm que estar na listagem das referências.</w:t>
      </w:r>
    </w:p>
    <w:p w14:paraId="7F7DCE37">
      <w:pPr>
        <w:rPr>
          <w:rFonts w:cs="Arial"/>
          <w:color w:val="auto"/>
          <w:szCs w:val="24"/>
        </w:rPr>
      </w:pPr>
      <w:r>
        <w:rPr>
          <w:rFonts w:cs="Arial"/>
          <w:color w:val="auto"/>
          <w:szCs w:val="24"/>
        </w:rPr>
        <w:t>A lista deve ser alinhada à esquerda, espaço simples, e as referências separadas entre si por um espaço simples em branco.</w:t>
      </w:r>
    </w:p>
    <w:p w14:paraId="6D5D75D8">
      <w:pPr>
        <w:rPr>
          <w:rFonts w:cs="Arial"/>
          <w:color w:val="auto"/>
          <w:szCs w:val="24"/>
        </w:rPr>
      </w:pPr>
    </w:p>
    <w:p w14:paraId="185D1C34">
      <w:pPr>
        <w:spacing w:line="240" w:lineRule="auto"/>
        <w:rPr>
          <w:rFonts w:cs="Arial"/>
          <w:color w:val="auto"/>
          <w:szCs w:val="24"/>
        </w:rPr>
      </w:pPr>
      <w:r>
        <w:rPr>
          <w:rFonts w:cs="Arial"/>
          <w:color w:val="auto"/>
          <w:szCs w:val="24"/>
        </w:rPr>
        <w:t>Formatação do título: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1BF2B1FF">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70FB30F">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0551AD2">
            <w:pPr>
              <w:spacing w:line="240" w:lineRule="auto"/>
              <w:ind w:firstLine="0"/>
              <w:rPr>
                <w:rFonts w:cs="Arial"/>
                <w:color w:val="auto"/>
                <w:szCs w:val="24"/>
              </w:rPr>
            </w:pPr>
            <w:r>
              <w:rPr>
                <w:rFonts w:cs="Arial"/>
                <w:color w:val="auto"/>
                <w:szCs w:val="24"/>
              </w:rPr>
              <w:t>Superior e Esquerda - 3 cm; Inferior e Direita - 2cm</w:t>
            </w:r>
          </w:p>
        </w:tc>
      </w:tr>
      <w:tr w14:paraId="2034072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8A356F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D4BCE3E">
            <w:pPr>
              <w:spacing w:line="240" w:lineRule="auto"/>
              <w:ind w:firstLine="0"/>
              <w:rPr>
                <w:rFonts w:cs="Arial"/>
                <w:color w:val="auto"/>
                <w:szCs w:val="24"/>
                <w:lang w:val="en-US"/>
              </w:rPr>
            </w:pPr>
            <w:r>
              <w:rPr>
                <w:rFonts w:cs="Arial"/>
                <w:color w:val="auto"/>
                <w:szCs w:val="24"/>
                <w:lang w:val="en-US"/>
              </w:rPr>
              <w:t>Times New Roman ou Arial</w:t>
            </w:r>
          </w:p>
        </w:tc>
      </w:tr>
      <w:tr w14:paraId="7D6A5A16">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041D59">
            <w:pPr>
              <w:spacing w:line="240" w:lineRule="auto"/>
              <w:ind w:firstLine="306"/>
              <w:rPr>
                <w:rFonts w:cs="Arial"/>
                <w:color w:val="auto"/>
                <w:szCs w:val="24"/>
                <w:lang w:val="en-US"/>
              </w:rPr>
            </w:pPr>
            <w:r>
              <w:rPr>
                <w:rFonts w:cs="Arial"/>
                <w:color w:val="auto"/>
                <w:szCs w:val="24"/>
                <w:lang w:val="en-US"/>
              </w:rPr>
              <w:t>Estilo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3E68432">
            <w:pPr>
              <w:spacing w:line="240" w:lineRule="auto"/>
              <w:ind w:firstLine="0"/>
              <w:rPr>
                <w:rFonts w:cs="Arial"/>
                <w:color w:val="auto"/>
                <w:szCs w:val="24"/>
                <w:lang w:val="en-US"/>
              </w:rPr>
            </w:pPr>
            <w:r>
              <w:rPr>
                <w:rFonts w:cs="Arial"/>
                <w:color w:val="auto"/>
                <w:szCs w:val="24"/>
                <w:lang w:val="en-US"/>
              </w:rPr>
              <w:t>Maiúsculas, negrito</w:t>
            </w:r>
          </w:p>
        </w:tc>
      </w:tr>
      <w:tr w14:paraId="7185258E">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40EFBB8">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DDBBA40">
            <w:pPr>
              <w:spacing w:line="240" w:lineRule="auto"/>
              <w:ind w:firstLine="0"/>
              <w:rPr>
                <w:rFonts w:cs="Arial"/>
                <w:color w:val="auto"/>
                <w:szCs w:val="24"/>
                <w:lang w:val="en-US"/>
              </w:rPr>
            </w:pPr>
            <w:r>
              <w:rPr>
                <w:rFonts w:cs="Arial"/>
                <w:color w:val="auto"/>
                <w:szCs w:val="24"/>
                <w:lang w:val="en-US"/>
              </w:rPr>
              <w:t>12</w:t>
            </w:r>
          </w:p>
        </w:tc>
      </w:tr>
      <w:tr w14:paraId="738EAA15">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BFE9F9D">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23E1A96">
            <w:pPr>
              <w:spacing w:line="240" w:lineRule="auto"/>
              <w:ind w:firstLine="0"/>
              <w:rPr>
                <w:rFonts w:cs="Arial"/>
                <w:color w:val="auto"/>
                <w:szCs w:val="24"/>
                <w:lang w:val="en-US"/>
              </w:rPr>
            </w:pPr>
            <w:r>
              <w:rPr>
                <w:rFonts w:cs="Arial"/>
                <w:color w:val="auto"/>
                <w:szCs w:val="24"/>
                <w:lang w:val="en-US"/>
              </w:rPr>
              <w:t>Centralizado</w:t>
            </w:r>
          </w:p>
        </w:tc>
      </w:tr>
    </w:tbl>
    <w:p w14:paraId="431FCD4F">
      <w:pPr>
        <w:spacing w:line="240" w:lineRule="auto"/>
        <w:rPr>
          <w:rFonts w:cs="Arial"/>
          <w:b/>
          <w:color w:val="auto"/>
          <w:szCs w:val="24"/>
        </w:rPr>
      </w:pPr>
    </w:p>
    <w:p w14:paraId="361415E8">
      <w:pPr>
        <w:spacing w:line="240" w:lineRule="auto"/>
        <w:rPr>
          <w:rFonts w:cs="Arial"/>
          <w:color w:val="auto"/>
          <w:szCs w:val="24"/>
        </w:rPr>
      </w:pPr>
      <w:r>
        <w:rPr>
          <w:rFonts w:cs="Arial"/>
          <w:color w:val="auto"/>
          <w:szCs w:val="24"/>
        </w:rPr>
        <w:t>Formatação do texto: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79A9C62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B9946B0">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239ACE0">
            <w:pPr>
              <w:spacing w:line="240" w:lineRule="auto"/>
              <w:ind w:firstLine="0"/>
              <w:rPr>
                <w:rFonts w:cs="Arial"/>
                <w:color w:val="auto"/>
                <w:szCs w:val="24"/>
              </w:rPr>
            </w:pPr>
            <w:r>
              <w:rPr>
                <w:rFonts w:cs="Arial"/>
                <w:color w:val="auto"/>
                <w:szCs w:val="24"/>
              </w:rPr>
              <w:t>Superior e Esquerda - 3 cm; Inferior e Direita - 2cm</w:t>
            </w:r>
          </w:p>
        </w:tc>
      </w:tr>
      <w:tr w14:paraId="6E73068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12453B1">
            <w:pPr>
              <w:spacing w:line="240" w:lineRule="auto"/>
              <w:ind w:firstLine="306"/>
              <w:rPr>
                <w:rFonts w:cs="Arial"/>
                <w:color w:val="auto"/>
                <w:szCs w:val="24"/>
              </w:rPr>
            </w:pPr>
            <w:r>
              <w:rPr>
                <w:rFonts w:cs="Arial"/>
                <w:color w:val="auto"/>
                <w:szCs w:val="24"/>
              </w:rPr>
              <w:t>Espaçamentos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69AB5F47">
            <w:pPr>
              <w:spacing w:line="240" w:lineRule="auto"/>
              <w:ind w:firstLine="0"/>
              <w:rPr>
                <w:rFonts w:cs="Arial"/>
                <w:color w:val="auto"/>
                <w:szCs w:val="24"/>
              </w:rPr>
            </w:pPr>
            <w:r>
              <w:rPr>
                <w:rFonts w:cs="Arial"/>
                <w:color w:val="auto"/>
                <w:szCs w:val="24"/>
              </w:rPr>
              <w:t>Simples, com 1 espaço simples entre elas</w:t>
            </w:r>
          </w:p>
        </w:tc>
      </w:tr>
      <w:tr w14:paraId="611897C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DCF39C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21E81FCC">
            <w:pPr>
              <w:spacing w:line="240" w:lineRule="auto"/>
              <w:ind w:firstLine="0"/>
              <w:rPr>
                <w:rFonts w:cs="Arial"/>
                <w:color w:val="auto"/>
                <w:szCs w:val="24"/>
                <w:lang w:val="en-US"/>
              </w:rPr>
            </w:pPr>
            <w:r>
              <w:rPr>
                <w:rFonts w:cs="Arial"/>
                <w:color w:val="auto"/>
                <w:szCs w:val="24"/>
                <w:lang w:val="en-US"/>
              </w:rPr>
              <w:t>Times New Roman ou Arial</w:t>
            </w:r>
          </w:p>
        </w:tc>
      </w:tr>
      <w:tr w14:paraId="1F82AFB2">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8439EA">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6AE8073">
            <w:pPr>
              <w:spacing w:line="240" w:lineRule="auto"/>
              <w:ind w:firstLine="0"/>
              <w:rPr>
                <w:rFonts w:cs="Arial"/>
                <w:color w:val="auto"/>
                <w:szCs w:val="24"/>
                <w:lang w:val="en-US"/>
              </w:rPr>
            </w:pPr>
            <w:r>
              <w:rPr>
                <w:rFonts w:cs="Arial"/>
                <w:color w:val="auto"/>
                <w:szCs w:val="24"/>
                <w:lang w:val="en-US"/>
              </w:rPr>
              <w:t>12</w:t>
            </w:r>
          </w:p>
        </w:tc>
      </w:tr>
      <w:tr w14:paraId="1BDB084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39AF323">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A6E7DC1">
            <w:pPr>
              <w:spacing w:line="240" w:lineRule="auto"/>
              <w:ind w:firstLine="0"/>
              <w:rPr>
                <w:rFonts w:cs="Arial"/>
                <w:color w:val="auto"/>
                <w:szCs w:val="24"/>
                <w:lang w:val="en-US"/>
              </w:rPr>
            </w:pPr>
            <w:r>
              <w:rPr>
                <w:rFonts w:cs="Arial"/>
                <w:color w:val="auto"/>
                <w:szCs w:val="24"/>
                <w:lang w:val="en-US"/>
              </w:rPr>
              <w:t>Alinhadas à esquerda</w:t>
            </w:r>
          </w:p>
        </w:tc>
      </w:tr>
    </w:tbl>
    <w:p w14:paraId="43C559BA">
      <w:pPr>
        <w:rPr>
          <w:color w:val="auto"/>
        </w:rPr>
      </w:pPr>
    </w:p>
    <w:p w14:paraId="461BE735">
      <w:pPr>
        <w:rPr>
          <w:color w:val="auto"/>
        </w:rPr>
      </w:pPr>
    </w:p>
    <w:p w14:paraId="18ACCBB1">
      <w:pPr>
        <w:pStyle w:val="48"/>
        <w:rPr>
          <w:color w:val="auto"/>
        </w:rPr>
      </w:pPr>
      <w:r>
        <w:rPr>
          <w:b/>
          <w:bCs/>
          <w:color w:val="auto"/>
        </w:rPr>
        <w:t>Trabalho de conclusão de curso de graduação, trabalho de graduação interdisciplinar, trabalho de conclusão de curso de especialização e/ou aperfeiçoamento</w:t>
      </w:r>
      <w:r>
        <w:rPr>
          <w:color w:val="auto"/>
        </w:rPr>
        <w:t>: documento que apresenta o resultado do projeto, devendo expressar conhecimento do assunto escolhido, que deve ser obrigatoriamente emanado da disciplina, módulo, estudo independente, curso, programa, e outros ministrados. Deve ser feito sob a coordenação de um orientador.</w:t>
      </w:r>
    </w:p>
    <w:p w14:paraId="32B5D127">
      <w:pPr>
        <w:pStyle w:val="49"/>
        <w:rPr>
          <w:color w:val="auto"/>
        </w:rPr>
      </w:pPr>
    </w:p>
    <w:p w14:paraId="1A2CF9C1">
      <w:pPr>
        <w:pStyle w:val="7"/>
        <w:rPr>
          <w:color w:val="auto"/>
        </w:rPr>
      </w:pPr>
      <w:bookmarkStart w:id="26" w:name="_Toc81325095"/>
      <w:bookmarkStart w:id="27" w:name="_Toc79652178"/>
      <w:bookmarkStart w:id="28" w:name="_Toc112914784"/>
      <w:bookmarkStart w:id="29" w:name="_Toc81325010"/>
      <w:r>
        <w:rPr>
          <w:color w:val="auto"/>
        </w:rPr>
        <w:t>Apêndice A – título</w:t>
      </w:r>
      <w:bookmarkEnd w:id="26"/>
      <w:bookmarkEnd w:id="27"/>
      <w:bookmarkEnd w:id="28"/>
      <w:bookmarkEnd w:id="29"/>
    </w:p>
    <w:p w14:paraId="1EEFE8CA">
      <w:pPr>
        <w:rPr>
          <w:color w:val="auto"/>
        </w:rPr>
      </w:pPr>
    </w:p>
    <w:p w14:paraId="02306415">
      <w:pPr>
        <w:rPr>
          <w:color w:val="auto"/>
        </w:rPr>
      </w:pPr>
      <w:r>
        <w:rPr>
          <w:color w:val="auto"/>
        </w:rPr>
        <w:t xml:space="preserve">Elemento opcional. Deve ser precedido da palavra APÊNDICE, identificado por letras maiúsculas consecutivas, travessão e pelo respectivo título. Utilizam-se letras maiúsculas dobradas, na identificação dos apêndices, quando esgotadas as letras do alfabeto. </w:t>
      </w:r>
    </w:p>
    <w:p w14:paraId="5814B3E5">
      <w:pPr>
        <w:rPr>
          <w:color w:val="auto"/>
        </w:rPr>
      </w:pPr>
    </w:p>
    <w:p w14:paraId="4A761603">
      <w:pPr>
        <w:pStyle w:val="7"/>
        <w:rPr>
          <w:color w:val="auto"/>
        </w:rPr>
      </w:pPr>
      <w:bookmarkStart w:id="30" w:name="_Toc79652179"/>
      <w:bookmarkStart w:id="31" w:name="_Toc81325011"/>
      <w:bookmarkStart w:id="32" w:name="_Toc112914785"/>
      <w:bookmarkStart w:id="33" w:name="_Toc81325096"/>
      <w:r>
        <w:rPr>
          <w:color w:val="auto"/>
        </w:rPr>
        <w:t>Anexo a – título</w:t>
      </w:r>
      <w:bookmarkEnd w:id="30"/>
      <w:bookmarkEnd w:id="31"/>
      <w:bookmarkEnd w:id="32"/>
      <w:bookmarkEnd w:id="33"/>
    </w:p>
    <w:p w14:paraId="06EBFC6D">
      <w:pPr>
        <w:rPr>
          <w:color w:val="auto"/>
        </w:rPr>
      </w:pPr>
    </w:p>
    <w:p w14:paraId="2CEA3021">
      <w:pPr>
        <w:rPr>
          <w:color w:val="auto"/>
        </w:rPr>
      </w:pPr>
      <w:r>
        <w:rPr>
          <w:color w:val="auto"/>
        </w:rPr>
        <w:t>Elemento opcional. Deve ser precedido da palavra ANEXO, identificado por letras maiúsculas consecutivas, travessão e pelo respectivo título. Utilizam-se letras maiúsculas dobradas, na identificação dos apêndices, quando esgotadas as letras do alfabeto.</w:t>
      </w:r>
    </w:p>
    <w:p w14:paraId="40FDF63A">
      <w:pPr>
        <w:rPr>
          <w:color w:val="auto"/>
        </w:rPr>
      </w:pPr>
    </w:p>
    <w:p w14:paraId="68B93CE4">
      <w:pPr>
        <w:rPr>
          <w:color w:val="auto"/>
        </w:rPr>
      </w:pPr>
    </w:p>
    <w:p w14:paraId="3B908BEA">
      <w:pPr>
        <w:rPr>
          <w:color w:val="auto"/>
        </w:rPr>
      </w:pPr>
    </w:p>
    <w:sectPr>
      <w:headerReference r:id="rId5" w:type="default"/>
      <w:pgSz w:w="11906" w:h="16838"/>
      <w:pgMar w:top="1701" w:right="1134" w:bottom="1134" w:left="1701" w:header="708" w:footer="708" w:gutter="0"/>
      <w:pgNumType w:start="15"/>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360" w:lineRule="auto"/>
      </w:pPr>
      <w:r>
        <w:separator/>
      </w:r>
    </w:p>
  </w:footnote>
  <w:footnote w:type="continuationSeparator" w:id="5">
    <w:p>
      <w:pPr>
        <w:spacing w:before="0" w:after="0" w:line="360" w:lineRule="auto"/>
      </w:pPr>
      <w:r>
        <w:continuationSeparator/>
      </w:r>
    </w:p>
  </w:footnote>
  <w:footnote w:id="0">
    <w:p w14:paraId="7DAB5119">
      <w:pPr>
        <w:pStyle w:val="31"/>
      </w:pPr>
      <w:r>
        <w:rPr>
          <w:rStyle w:val="16"/>
        </w:rPr>
        <w:footnoteRef/>
      </w:r>
      <w:r>
        <w:t xml:space="preserve"> </w:t>
      </w:r>
      <w:r>
        <w:fldChar w:fldCharType="begin"/>
      </w:r>
      <w:r>
        <w:instrText xml:space="preserve"> HYPERLINK "https://en.wikipedia.org/wiki/4%2B1_architectural_view_model" </w:instrText>
      </w:r>
      <w:r>
        <w:fldChar w:fldCharType="separate"/>
      </w:r>
      <w:r>
        <w:rPr>
          <w:rStyle w:val="17"/>
        </w:rPr>
        <w:t>https://en.wikipedia.org/wiki/4%2B1_architectural_view_model</w:t>
      </w:r>
      <w:r>
        <w:rPr>
          <w:rStyle w:val="17"/>
        </w:rPr>
        <w:fldChar w:fldCharType="end"/>
      </w:r>
      <w:r>
        <w:t xml:space="preserve"> </w:t>
      </w:r>
    </w:p>
  </w:footnote>
  <w:footnote w:id="1">
    <w:p w14:paraId="0F1A84A0">
      <w:pPr>
        <w:pStyle w:val="31"/>
      </w:pPr>
      <w:r>
        <w:rPr>
          <w:rStyle w:val="16"/>
        </w:rPr>
        <w:footnoteRef/>
      </w:r>
      <w:r>
        <w:t xml:space="preserve"> </w:t>
      </w:r>
      <w:r>
        <w:fldChar w:fldCharType="begin"/>
      </w:r>
      <w:r>
        <w:instrText xml:space="preserve"> HYPERLINK "https://en.wikipedia.org/wiki/Architecture_description_language" </w:instrText>
      </w:r>
      <w:r>
        <w:fldChar w:fldCharType="separate"/>
      </w:r>
      <w:r>
        <w:rPr>
          <w:rStyle w:val="17"/>
        </w:rPr>
        <w:t>https://en.wikipedia.org/wiki/Architecture_description_language</w:t>
      </w:r>
      <w:r>
        <w:rPr>
          <w:rStyle w:val="17"/>
        </w:rPr>
        <w:fldChar w:fldCharType="end"/>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955335620"/>
      <w:docPartObj>
        <w:docPartGallery w:val="AutoText"/>
      </w:docPartObj>
    </w:sdtPr>
    <w:sdtEndPr>
      <w:rPr>
        <w:sz w:val="20"/>
        <w:szCs w:val="20"/>
      </w:rPr>
    </w:sdtEndPr>
    <w:sdtContent>
      <w:p w14:paraId="279ACE92">
        <w:pPr>
          <w:pStyle w:val="25"/>
          <w:jc w:val="right"/>
          <w:rPr>
            <w:sz w:val="20"/>
            <w:szCs w:val="20"/>
          </w:rPr>
        </w:pPr>
        <w:r>
          <w:rPr>
            <w:sz w:val="20"/>
            <w:szCs w:val="20"/>
          </w:rPr>
          <w:fldChar w:fldCharType="begin"/>
        </w:r>
        <w:r>
          <w:rPr>
            <w:sz w:val="20"/>
            <w:szCs w:val="20"/>
          </w:rPr>
          <w:instrText xml:space="preserve">PAGE   \* MERGEFORMAT</w:instrText>
        </w:r>
        <w:r>
          <w:rPr>
            <w:sz w:val="20"/>
            <w:szCs w:val="20"/>
          </w:rPr>
          <w:fldChar w:fldCharType="separate"/>
        </w:r>
        <w:r>
          <w:rPr>
            <w:sz w:val="20"/>
            <w:szCs w:val="20"/>
          </w:rPr>
          <w:t>2</w:t>
        </w:r>
        <w:r>
          <w:rPr>
            <w:sz w:val="20"/>
            <w:szCs w:val="20"/>
          </w:rPr>
          <w:fldChar w:fldCharType="end"/>
        </w:r>
      </w:p>
    </w:sdtContent>
  </w:sdt>
  <w:p w14:paraId="23CA6BEB">
    <w:pPr>
      <w:pStyle w:val="25"/>
    </w:pPr>
  </w:p>
  <w:p w14:paraId="0BA23A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6A3E2D"/>
    <w:multiLevelType w:val="multilevel"/>
    <w:tmpl w:val="5B6A3E2D"/>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9"/>
  <w:hyphenationZone w:val="425"/>
  <w:characterSpacingControl w:val="doNotCompress"/>
  <w:footnotePr>
    <w:footnote w:id="4"/>
    <w:footnote w:id="5"/>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DD7"/>
    <w:rsid w:val="00000816"/>
    <w:rsid w:val="0002780C"/>
    <w:rsid w:val="000323E9"/>
    <w:rsid w:val="0003594B"/>
    <w:rsid w:val="0004431B"/>
    <w:rsid w:val="00057AA0"/>
    <w:rsid w:val="00063D45"/>
    <w:rsid w:val="00065B0B"/>
    <w:rsid w:val="00080C9E"/>
    <w:rsid w:val="000824AC"/>
    <w:rsid w:val="00085C7B"/>
    <w:rsid w:val="000A05BB"/>
    <w:rsid w:val="000A0BEE"/>
    <w:rsid w:val="000B0906"/>
    <w:rsid w:val="000D1AB1"/>
    <w:rsid w:val="000E34CF"/>
    <w:rsid w:val="000F4876"/>
    <w:rsid w:val="00113E58"/>
    <w:rsid w:val="001318A1"/>
    <w:rsid w:val="00153526"/>
    <w:rsid w:val="00167A6E"/>
    <w:rsid w:val="00183247"/>
    <w:rsid w:val="0018625C"/>
    <w:rsid w:val="00193572"/>
    <w:rsid w:val="00195692"/>
    <w:rsid w:val="001A38FD"/>
    <w:rsid w:val="001F09A8"/>
    <w:rsid w:val="002100C0"/>
    <w:rsid w:val="002111DB"/>
    <w:rsid w:val="002415CC"/>
    <w:rsid w:val="00241684"/>
    <w:rsid w:val="00261279"/>
    <w:rsid w:val="002660B7"/>
    <w:rsid w:val="00276E70"/>
    <w:rsid w:val="0029089A"/>
    <w:rsid w:val="0029726D"/>
    <w:rsid w:val="002A4367"/>
    <w:rsid w:val="002A4473"/>
    <w:rsid w:val="002A76D7"/>
    <w:rsid w:val="002D024B"/>
    <w:rsid w:val="002D0720"/>
    <w:rsid w:val="002F3C2E"/>
    <w:rsid w:val="00310B40"/>
    <w:rsid w:val="003215DA"/>
    <w:rsid w:val="00322E30"/>
    <w:rsid w:val="00326657"/>
    <w:rsid w:val="00332AD9"/>
    <w:rsid w:val="00344BBC"/>
    <w:rsid w:val="00350DD7"/>
    <w:rsid w:val="00361DCC"/>
    <w:rsid w:val="003848D9"/>
    <w:rsid w:val="003B2D52"/>
    <w:rsid w:val="003D1897"/>
    <w:rsid w:val="003E7FDF"/>
    <w:rsid w:val="00440A5A"/>
    <w:rsid w:val="004951B5"/>
    <w:rsid w:val="00496FF1"/>
    <w:rsid w:val="004E0BCB"/>
    <w:rsid w:val="004E3B4F"/>
    <w:rsid w:val="004F497A"/>
    <w:rsid w:val="00520BEC"/>
    <w:rsid w:val="00525E28"/>
    <w:rsid w:val="00534F96"/>
    <w:rsid w:val="0055192F"/>
    <w:rsid w:val="00575780"/>
    <w:rsid w:val="00576548"/>
    <w:rsid w:val="00596044"/>
    <w:rsid w:val="005A41FB"/>
    <w:rsid w:val="005A6EBC"/>
    <w:rsid w:val="005B06AA"/>
    <w:rsid w:val="005E1C98"/>
    <w:rsid w:val="005E25A2"/>
    <w:rsid w:val="005E35E9"/>
    <w:rsid w:val="005F301C"/>
    <w:rsid w:val="00630392"/>
    <w:rsid w:val="0066550A"/>
    <w:rsid w:val="006B1337"/>
    <w:rsid w:val="006B2424"/>
    <w:rsid w:val="006B409F"/>
    <w:rsid w:val="006B73D1"/>
    <w:rsid w:val="006D5B96"/>
    <w:rsid w:val="006E10A8"/>
    <w:rsid w:val="006E4D48"/>
    <w:rsid w:val="006E5FDC"/>
    <w:rsid w:val="006F7EBE"/>
    <w:rsid w:val="00720A71"/>
    <w:rsid w:val="00754EA3"/>
    <w:rsid w:val="00756879"/>
    <w:rsid w:val="007600F5"/>
    <w:rsid w:val="007616B5"/>
    <w:rsid w:val="0077081F"/>
    <w:rsid w:val="00791189"/>
    <w:rsid w:val="007A3067"/>
    <w:rsid w:val="007C1A5D"/>
    <w:rsid w:val="007E33AE"/>
    <w:rsid w:val="007F5842"/>
    <w:rsid w:val="0080622B"/>
    <w:rsid w:val="00825185"/>
    <w:rsid w:val="0082682A"/>
    <w:rsid w:val="00832F1D"/>
    <w:rsid w:val="00842375"/>
    <w:rsid w:val="008614B7"/>
    <w:rsid w:val="00870255"/>
    <w:rsid w:val="0089199F"/>
    <w:rsid w:val="00893556"/>
    <w:rsid w:val="008E7784"/>
    <w:rsid w:val="008F5C94"/>
    <w:rsid w:val="0090775B"/>
    <w:rsid w:val="0093533F"/>
    <w:rsid w:val="00935C4D"/>
    <w:rsid w:val="0093728C"/>
    <w:rsid w:val="00937FB8"/>
    <w:rsid w:val="00956670"/>
    <w:rsid w:val="0096482F"/>
    <w:rsid w:val="00973D12"/>
    <w:rsid w:val="00984C3B"/>
    <w:rsid w:val="00987690"/>
    <w:rsid w:val="009B651A"/>
    <w:rsid w:val="009C1ED4"/>
    <w:rsid w:val="009C3ABC"/>
    <w:rsid w:val="009C3F71"/>
    <w:rsid w:val="009D6CB9"/>
    <w:rsid w:val="009E0B0F"/>
    <w:rsid w:val="009E0F9A"/>
    <w:rsid w:val="00A33182"/>
    <w:rsid w:val="00A43317"/>
    <w:rsid w:val="00A5028C"/>
    <w:rsid w:val="00A66D7E"/>
    <w:rsid w:val="00A81330"/>
    <w:rsid w:val="00A91E4A"/>
    <w:rsid w:val="00A96422"/>
    <w:rsid w:val="00AA6C2C"/>
    <w:rsid w:val="00AB3F1A"/>
    <w:rsid w:val="00AC58C2"/>
    <w:rsid w:val="00AE6164"/>
    <w:rsid w:val="00AF49FC"/>
    <w:rsid w:val="00B21411"/>
    <w:rsid w:val="00B26E92"/>
    <w:rsid w:val="00B36797"/>
    <w:rsid w:val="00B36AF0"/>
    <w:rsid w:val="00B4000E"/>
    <w:rsid w:val="00B53AE0"/>
    <w:rsid w:val="00B65EDF"/>
    <w:rsid w:val="00B74823"/>
    <w:rsid w:val="00B810F2"/>
    <w:rsid w:val="00B81AA2"/>
    <w:rsid w:val="00B87402"/>
    <w:rsid w:val="00B92737"/>
    <w:rsid w:val="00BB0A21"/>
    <w:rsid w:val="00BC1BBA"/>
    <w:rsid w:val="00BC6BEC"/>
    <w:rsid w:val="00BF3665"/>
    <w:rsid w:val="00BF7534"/>
    <w:rsid w:val="00C110E3"/>
    <w:rsid w:val="00C17631"/>
    <w:rsid w:val="00C422E0"/>
    <w:rsid w:val="00C67279"/>
    <w:rsid w:val="00C675FB"/>
    <w:rsid w:val="00C714F2"/>
    <w:rsid w:val="00C756A4"/>
    <w:rsid w:val="00CB6669"/>
    <w:rsid w:val="00CC215D"/>
    <w:rsid w:val="00CC620C"/>
    <w:rsid w:val="00CC75F7"/>
    <w:rsid w:val="00CD508B"/>
    <w:rsid w:val="00CE59C2"/>
    <w:rsid w:val="00D14D13"/>
    <w:rsid w:val="00D22134"/>
    <w:rsid w:val="00D71145"/>
    <w:rsid w:val="00D74ACB"/>
    <w:rsid w:val="00D867EE"/>
    <w:rsid w:val="00DB3FA3"/>
    <w:rsid w:val="00DB60AD"/>
    <w:rsid w:val="00DB75F0"/>
    <w:rsid w:val="00DC6790"/>
    <w:rsid w:val="00DD5526"/>
    <w:rsid w:val="00DD600C"/>
    <w:rsid w:val="00E110D3"/>
    <w:rsid w:val="00E23EAA"/>
    <w:rsid w:val="00E36978"/>
    <w:rsid w:val="00E556CC"/>
    <w:rsid w:val="00E56B47"/>
    <w:rsid w:val="00E82908"/>
    <w:rsid w:val="00E90849"/>
    <w:rsid w:val="00EB0CFD"/>
    <w:rsid w:val="00EB4B54"/>
    <w:rsid w:val="00EB5F89"/>
    <w:rsid w:val="00EF19D6"/>
    <w:rsid w:val="00EF32B8"/>
    <w:rsid w:val="00F010C5"/>
    <w:rsid w:val="00F077D6"/>
    <w:rsid w:val="00F22085"/>
    <w:rsid w:val="00F26B64"/>
    <w:rsid w:val="00F47DE9"/>
    <w:rsid w:val="00F5305E"/>
    <w:rsid w:val="00F970C1"/>
    <w:rsid w:val="00F97519"/>
    <w:rsid w:val="00FA0C15"/>
    <w:rsid w:val="00FA1768"/>
    <w:rsid w:val="00FA289F"/>
    <w:rsid w:val="00FA5D60"/>
    <w:rsid w:val="00FB0655"/>
    <w:rsid w:val="00FB2590"/>
    <w:rsid w:val="00FC70B5"/>
    <w:rsid w:val="00FF7C72"/>
    <w:rsid w:val="6B154A3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semiHidden="0" w:name="toc 4"/>
    <w:lsdException w:qFormat="1" w:uiPriority="39" w:semiHidden="0" w:name="toc 5"/>
    <w:lsdException w:uiPriority="39" w:semiHidden="0"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sdException w:qFormat="1" w:unhideWhenUsed="0" w:uiPriority="29" w:semiHidden="0" w:name="Quote"/>
  </w:latentStyles>
  <w:style w:type="paragraph" w:default="1" w:styleId="1">
    <w:name w:val="Normal"/>
    <w:qFormat/>
    <w:uiPriority w:val="0"/>
    <w:pPr>
      <w:spacing w:after="0" w:line="360" w:lineRule="auto"/>
      <w:ind w:firstLine="709"/>
      <w:jc w:val="both"/>
    </w:pPr>
    <w:rPr>
      <w:rFonts w:ascii="Arial" w:hAnsi="Arial" w:eastAsiaTheme="minorHAnsi" w:cstheme="minorBidi"/>
      <w:color w:val="000000" w:themeColor="text1"/>
      <w:sz w:val="24"/>
      <w:szCs w:val="22"/>
      <w:lang w:val="pt-BR" w:eastAsia="en-US" w:bidi="ar-SA"/>
      <w14:textFill>
        <w14:solidFill>
          <w14:schemeClr w14:val="tx1"/>
        </w14:solidFill>
      </w14:textFill>
    </w:rPr>
  </w:style>
  <w:style w:type="paragraph" w:styleId="2">
    <w:name w:val="heading 1"/>
    <w:basedOn w:val="1"/>
    <w:next w:val="1"/>
    <w:link w:val="34"/>
    <w:autoRedefine/>
    <w:qFormat/>
    <w:uiPriority w:val="9"/>
    <w:pPr>
      <w:keepNext/>
      <w:keepLines/>
      <w:pageBreakBefore/>
      <w:numPr>
        <w:ilvl w:val="0"/>
        <w:numId w:val="1"/>
      </w:numPr>
      <w:ind w:left="284" w:hanging="284"/>
      <w:outlineLvl w:val="0"/>
    </w:pPr>
    <w:rPr>
      <w:rFonts w:eastAsiaTheme="majorEastAsia" w:cstheme="majorBidi"/>
      <w:b/>
      <w:caps/>
      <w:szCs w:val="32"/>
    </w:rPr>
  </w:style>
  <w:style w:type="paragraph" w:styleId="3">
    <w:name w:val="heading 2"/>
    <w:basedOn w:val="1"/>
    <w:next w:val="1"/>
    <w:link w:val="35"/>
    <w:autoRedefine/>
    <w:unhideWhenUsed/>
    <w:qFormat/>
    <w:uiPriority w:val="9"/>
    <w:pPr>
      <w:keepNext/>
      <w:keepLines/>
      <w:numPr>
        <w:ilvl w:val="1"/>
        <w:numId w:val="1"/>
      </w:numPr>
      <w:ind w:left="567" w:hanging="567"/>
      <w:outlineLvl w:val="1"/>
    </w:pPr>
    <w:rPr>
      <w:rFonts w:eastAsiaTheme="majorEastAsia" w:cstheme="majorBidi"/>
      <w:b/>
      <w:szCs w:val="26"/>
    </w:rPr>
  </w:style>
  <w:style w:type="paragraph" w:styleId="4">
    <w:name w:val="heading 3"/>
    <w:basedOn w:val="1"/>
    <w:next w:val="1"/>
    <w:link w:val="36"/>
    <w:autoRedefine/>
    <w:unhideWhenUsed/>
    <w:qFormat/>
    <w:uiPriority w:val="9"/>
    <w:pPr>
      <w:keepNext/>
      <w:keepLines/>
      <w:numPr>
        <w:ilvl w:val="2"/>
        <w:numId w:val="1"/>
      </w:numPr>
      <w:tabs>
        <w:tab w:val="left" w:pos="709"/>
      </w:tabs>
      <w:ind w:left="227" w:hanging="227"/>
      <w:outlineLvl w:val="2"/>
    </w:pPr>
    <w:rPr>
      <w:rFonts w:eastAsiaTheme="majorEastAsia" w:cstheme="majorBidi"/>
      <w:bCs/>
      <w:szCs w:val="24"/>
    </w:rPr>
  </w:style>
  <w:style w:type="paragraph" w:styleId="5">
    <w:name w:val="heading 4"/>
    <w:basedOn w:val="1"/>
    <w:next w:val="1"/>
    <w:link w:val="37"/>
    <w:unhideWhenUsed/>
    <w:qFormat/>
    <w:uiPriority w:val="9"/>
    <w:pPr>
      <w:keepNext/>
      <w:keepLines/>
      <w:numPr>
        <w:ilvl w:val="3"/>
        <w:numId w:val="1"/>
      </w:numPr>
      <w:ind w:left="851" w:hanging="879"/>
      <w:outlineLvl w:val="3"/>
    </w:pPr>
    <w:rPr>
      <w:rFonts w:eastAsiaTheme="majorEastAsia" w:cstheme="majorBidi"/>
      <w:i/>
      <w:iCs/>
    </w:rPr>
  </w:style>
  <w:style w:type="paragraph" w:styleId="6">
    <w:name w:val="heading 5"/>
    <w:basedOn w:val="1"/>
    <w:next w:val="1"/>
    <w:link w:val="38"/>
    <w:autoRedefine/>
    <w:unhideWhenUsed/>
    <w:qFormat/>
    <w:uiPriority w:val="9"/>
    <w:pPr>
      <w:keepNext/>
      <w:keepLines/>
      <w:numPr>
        <w:ilvl w:val="4"/>
        <w:numId w:val="1"/>
      </w:numPr>
      <w:ind w:left="1134" w:hanging="1162"/>
      <w:outlineLvl w:val="4"/>
    </w:pPr>
    <w:rPr>
      <w:rFonts w:eastAsiaTheme="majorEastAsia" w:cstheme="majorBidi"/>
      <w:u w:val="single"/>
    </w:rPr>
  </w:style>
  <w:style w:type="paragraph" w:styleId="7">
    <w:name w:val="heading 6"/>
    <w:basedOn w:val="1"/>
    <w:next w:val="1"/>
    <w:link w:val="39"/>
    <w:unhideWhenUsed/>
    <w:uiPriority w:val="9"/>
    <w:pPr>
      <w:pageBreakBefore/>
      <w:ind w:firstLine="0"/>
      <w:jc w:val="center"/>
      <w:outlineLvl w:val="5"/>
    </w:pPr>
    <w:rPr>
      <w:b/>
      <w:caps/>
    </w:rPr>
  </w:style>
  <w:style w:type="paragraph" w:styleId="8">
    <w:name w:val="heading 7"/>
    <w:basedOn w:val="1"/>
    <w:next w:val="1"/>
    <w:link w:val="40"/>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1"/>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5">
    <w:name w:val="Emphasis"/>
    <w:basedOn w:val="11"/>
    <w:qFormat/>
    <w:uiPriority w:val="20"/>
    <w:rPr>
      <w:i/>
      <w:iCs/>
    </w:rPr>
  </w:style>
  <w:style w:type="character" w:styleId="16">
    <w:name w:val="footnote reference"/>
    <w:basedOn w:val="11"/>
    <w:semiHidden/>
    <w:unhideWhenUsed/>
    <w:uiPriority w:val="99"/>
    <w:rPr>
      <w:vertAlign w:val="superscript"/>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toc 2"/>
    <w:basedOn w:val="1"/>
    <w:next w:val="1"/>
    <w:autoRedefine/>
    <w:unhideWhenUsed/>
    <w:uiPriority w:val="39"/>
    <w:pPr>
      <w:tabs>
        <w:tab w:val="left" w:pos="1276"/>
        <w:tab w:val="right" w:leader="dot" w:pos="9060"/>
      </w:tabs>
      <w:ind w:left="1134" w:hanging="1134"/>
    </w:pPr>
    <w:rPr>
      <w:b/>
    </w:rPr>
  </w:style>
  <w:style w:type="paragraph" w:styleId="19">
    <w:name w:val="toc 6"/>
    <w:basedOn w:val="1"/>
    <w:next w:val="1"/>
    <w:autoRedefine/>
    <w:unhideWhenUsed/>
    <w:uiPriority w:val="39"/>
    <w:pPr>
      <w:ind w:left="1202" w:firstLine="0"/>
    </w:pPr>
    <w:rPr>
      <w:b/>
      <w:caps/>
    </w:rPr>
  </w:style>
  <w:style w:type="paragraph" w:styleId="20">
    <w:name w:val="annotation text"/>
    <w:basedOn w:val="1"/>
    <w:link w:val="51"/>
    <w:unhideWhenUsed/>
    <w:qFormat/>
    <w:uiPriority w:val="0"/>
    <w:pPr>
      <w:spacing w:after="120" w:line="240" w:lineRule="auto"/>
      <w:ind w:firstLine="0"/>
      <w:jc w:val="center"/>
    </w:pPr>
    <w:rPr>
      <w:rFonts w:eastAsiaTheme="minorEastAsia"/>
      <w:color w:val="auto"/>
      <w:sz w:val="20"/>
      <w:szCs w:val="20"/>
    </w:rPr>
  </w:style>
  <w:style w:type="paragraph" w:styleId="21">
    <w:name w:val="toc 5"/>
    <w:basedOn w:val="1"/>
    <w:next w:val="1"/>
    <w:autoRedefine/>
    <w:unhideWhenUsed/>
    <w:qFormat/>
    <w:uiPriority w:val="39"/>
    <w:pPr>
      <w:tabs>
        <w:tab w:val="left" w:pos="907"/>
        <w:tab w:val="left" w:pos="1134"/>
        <w:tab w:val="left" w:pos="1200"/>
        <w:tab w:val="right" w:leader="dot" w:pos="9060"/>
      </w:tabs>
      <w:ind w:left="907" w:hanging="907"/>
    </w:pPr>
  </w:style>
  <w:style w:type="paragraph" w:styleId="22">
    <w:name w:val="table of figures"/>
    <w:basedOn w:val="1"/>
    <w:next w:val="1"/>
    <w:unhideWhenUsed/>
    <w:uiPriority w:val="99"/>
    <w:pPr>
      <w:ind w:left="1247" w:hanging="1247"/>
      <w:jc w:val="left"/>
    </w:pPr>
    <w:rPr>
      <w:rFonts w:cstheme="minorHAnsi"/>
      <w:color w:val="auto"/>
      <w:szCs w:val="20"/>
    </w:rPr>
  </w:style>
  <w:style w:type="paragraph" w:styleId="23">
    <w:name w:val="Normal (Web)"/>
    <w:basedOn w:val="1"/>
    <w:semiHidden/>
    <w:unhideWhenUsed/>
    <w:uiPriority w:val="99"/>
    <w:rPr>
      <w:rFonts w:ascii="Times New Roman" w:hAnsi="Times New Roman" w:cs="Times New Roman"/>
      <w:szCs w:val="24"/>
    </w:rPr>
  </w:style>
  <w:style w:type="paragraph" w:styleId="24">
    <w:name w:val="toc 4"/>
    <w:basedOn w:val="1"/>
    <w:next w:val="1"/>
    <w:autoRedefine/>
    <w:unhideWhenUsed/>
    <w:uiPriority w:val="39"/>
    <w:pPr>
      <w:tabs>
        <w:tab w:val="left" w:pos="1134"/>
        <w:tab w:val="right" w:leader="dot" w:pos="9060"/>
      </w:tabs>
      <w:ind w:left="1134" w:hanging="1134"/>
    </w:pPr>
    <w:rPr>
      <w:i/>
    </w:rPr>
  </w:style>
  <w:style w:type="paragraph" w:styleId="25">
    <w:name w:val="header"/>
    <w:basedOn w:val="1"/>
    <w:link w:val="43"/>
    <w:unhideWhenUsed/>
    <w:qFormat/>
    <w:uiPriority w:val="99"/>
    <w:pPr>
      <w:tabs>
        <w:tab w:val="center" w:pos="4252"/>
        <w:tab w:val="right" w:pos="8504"/>
      </w:tabs>
      <w:spacing w:line="240" w:lineRule="auto"/>
    </w:pPr>
  </w:style>
  <w:style w:type="paragraph" w:styleId="26">
    <w:name w:val="annotation subject"/>
    <w:basedOn w:val="20"/>
    <w:next w:val="20"/>
    <w:link w:val="65"/>
    <w:semiHidden/>
    <w:unhideWhenUsed/>
    <w:uiPriority w:val="99"/>
    <w:pPr>
      <w:spacing w:after="0"/>
      <w:ind w:firstLine="709"/>
      <w:jc w:val="both"/>
    </w:pPr>
    <w:rPr>
      <w:rFonts w:eastAsiaTheme="minorHAnsi"/>
      <w:b/>
      <w:bCs/>
      <w:color w:val="000000" w:themeColor="text1"/>
      <w14:textFill>
        <w14:solidFill>
          <w14:schemeClr w14:val="tx1"/>
        </w14:solidFill>
      </w14:textFill>
    </w:rPr>
  </w:style>
  <w:style w:type="paragraph" w:styleId="27">
    <w:name w:val="footer"/>
    <w:basedOn w:val="1"/>
    <w:link w:val="50"/>
    <w:unhideWhenUsed/>
    <w:qFormat/>
    <w:uiPriority w:val="99"/>
    <w:pPr>
      <w:spacing w:line="240" w:lineRule="auto"/>
      <w:ind w:firstLine="0"/>
    </w:pPr>
    <w:rPr>
      <w:sz w:val="20"/>
    </w:rPr>
  </w:style>
  <w:style w:type="paragraph" w:styleId="28">
    <w:name w:val="caption"/>
    <w:basedOn w:val="1"/>
    <w:next w:val="1"/>
    <w:unhideWhenUsed/>
    <w:qFormat/>
    <w:uiPriority w:val="35"/>
    <w:pPr>
      <w:ind w:firstLine="0"/>
      <w:jc w:val="center"/>
    </w:pPr>
    <w:rPr>
      <w:iCs/>
      <w:color w:val="auto"/>
      <w:szCs w:val="18"/>
    </w:rPr>
  </w:style>
  <w:style w:type="paragraph" w:styleId="29">
    <w:name w:val="toc 3"/>
    <w:basedOn w:val="1"/>
    <w:next w:val="1"/>
    <w:autoRedefine/>
    <w:unhideWhenUsed/>
    <w:uiPriority w:val="39"/>
    <w:pPr>
      <w:tabs>
        <w:tab w:val="left" w:pos="1276"/>
        <w:tab w:val="right" w:leader="dot" w:pos="9060"/>
      </w:tabs>
      <w:ind w:left="1134" w:hanging="1134"/>
    </w:pPr>
  </w:style>
  <w:style w:type="paragraph" w:styleId="30">
    <w:name w:val="Balloon Text"/>
    <w:basedOn w:val="1"/>
    <w:link w:val="66"/>
    <w:semiHidden/>
    <w:unhideWhenUsed/>
    <w:qFormat/>
    <w:uiPriority w:val="99"/>
    <w:pPr>
      <w:spacing w:line="240" w:lineRule="auto"/>
    </w:pPr>
    <w:rPr>
      <w:rFonts w:ascii="Segoe UI" w:hAnsi="Segoe UI" w:cs="Segoe UI"/>
      <w:sz w:val="18"/>
      <w:szCs w:val="18"/>
    </w:rPr>
  </w:style>
  <w:style w:type="paragraph" w:styleId="31">
    <w:name w:val="footnote text"/>
    <w:basedOn w:val="1"/>
    <w:link w:val="52"/>
    <w:semiHidden/>
    <w:unhideWhenUsed/>
    <w:uiPriority w:val="99"/>
    <w:pPr>
      <w:spacing w:line="240" w:lineRule="auto"/>
    </w:pPr>
    <w:rPr>
      <w:sz w:val="20"/>
      <w:szCs w:val="20"/>
    </w:rPr>
  </w:style>
  <w:style w:type="paragraph" w:styleId="32">
    <w:name w:val="toc 1"/>
    <w:basedOn w:val="1"/>
    <w:next w:val="1"/>
    <w:autoRedefine/>
    <w:unhideWhenUsed/>
    <w:qFormat/>
    <w:uiPriority w:val="39"/>
    <w:pPr>
      <w:tabs>
        <w:tab w:val="right" w:leader="dot" w:pos="9060"/>
      </w:tabs>
      <w:ind w:left="1134" w:hanging="1134"/>
    </w:pPr>
    <w:rPr>
      <w:b/>
      <w:caps/>
    </w:rPr>
  </w:style>
  <w:style w:type="table" w:styleId="3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ítulo 1 Char"/>
    <w:basedOn w:val="11"/>
    <w:link w:val="2"/>
    <w:qFormat/>
    <w:uiPriority w:val="9"/>
    <w:rPr>
      <w:rFonts w:ascii="Arial" w:hAnsi="Arial" w:eastAsiaTheme="majorEastAsia" w:cstheme="majorBidi"/>
      <w:b/>
      <w:caps/>
      <w:color w:val="000000" w:themeColor="text1"/>
      <w:sz w:val="24"/>
      <w:szCs w:val="32"/>
      <w14:textFill>
        <w14:solidFill>
          <w14:schemeClr w14:val="tx1"/>
        </w14:solidFill>
      </w14:textFill>
    </w:rPr>
  </w:style>
  <w:style w:type="character" w:customStyle="1" w:styleId="35">
    <w:name w:val="Título 2 Char"/>
    <w:basedOn w:val="11"/>
    <w:link w:val="3"/>
    <w:uiPriority w:val="9"/>
    <w:rPr>
      <w:rFonts w:ascii="Arial" w:hAnsi="Arial" w:eastAsiaTheme="majorEastAsia" w:cstheme="majorBidi"/>
      <w:b/>
      <w:color w:val="000000" w:themeColor="text1"/>
      <w:sz w:val="24"/>
      <w:szCs w:val="26"/>
      <w14:textFill>
        <w14:solidFill>
          <w14:schemeClr w14:val="tx1"/>
        </w14:solidFill>
      </w14:textFill>
    </w:rPr>
  </w:style>
  <w:style w:type="character" w:customStyle="1" w:styleId="36">
    <w:name w:val="Título 3 Char"/>
    <w:basedOn w:val="11"/>
    <w:link w:val="4"/>
    <w:qFormat/>
    <w:uiPriority w:val="9"/>
    <w:rPr>
      <w:rFonts w:ascii="Arial" w:hAnsi="Arial" w:eastAsiaTheme="majorEastAsia" w:cstheme="majorBidi"/>
      <w:bCs/>
      <w:color w:val="000000" w:themeColor="text1"/>
      <w:sz w:val="24"/>
      <w:szCs w:val="24"/>
      <w14:textFill>
        <w14:solidFill>
          <w14:schemeClr w14:val="tx1"/>
        </w14:solidFill>
      </w14:textFill>
    </w:rPr>
  </w:style>
  <w:style w:type="character" w:customStyle="1" w:styleId="37">
    <w:name w:val="Título 4 Char"/>
    <w:basedOn w:val="11"/>
    <w:link w:val="5"/>
    <w:uiPriority w:val="9"/>
    <w:rPr>
      <w:rFonts w:ascii="Arial" w:hAnsi="Arial" w:eastAsiaTheme="majorEastAsia" w:cstheme="majorBidi"/>
      <w:i/>
      <w:iCs/>
      <w:color w:val="000000" w:themeColor="text1"/>
      <w14:textFill>
        <w14:solidFill>
          <w14:schemeClr w14:val="tx1"/>
        </w14:solidFill>
      </w14:textFill>
    </w:rPr>
  </w:style>
  <w:style w:type="character" w:customStyle="1" w:styleId="38">
    <w:name w:val="Título 5 Char"/>
    <w:basedOn w:val="11"/>
    <w:link w:val="6"/>
    <w:uiPriority w:val="9"/>
    <w:rPr>
      <w:rFonts w:ascii="Arial" w:hAnsi="Arial" w:eastAsiaTheme="majorEastAsia" w:cstheme="majorBidi"/>
      <w:color w:val="000000" w:themeColor="text1"/>
      <w:sz w:val="24"/>
      <w:u w:val="single"/>
      <w14:textFill>
        <w14:solidFill>
          <w14:schemeClr w14:val="tx1"/>
        </w14:solidFill>
      </w14:textFill>
    </w:rPr>
  </w:style>
  <w:style w:type="character" w:customStyle="1" w:styleId="39">
    <w:name w:val="Título 6 Char"/>
    <w:basedOn w:val="11"/>
    <w:link w:val="7"/>
    <w:uiPriority w:val="9"/>
    <w:rPr>
      <w:rFonts w:ascii="Arial" w:hAnsi="Arial"/>
      <w:b/>
      <w:caps/>
      <w:color w:val="000000" w:themeColor="text1"/>
      <w:sz w:val="24"/>
      <w14:textFill>
        <w14:solidFill>
          <w14:schemeClr w14:val="tx1"/>
        </w14:solidFill>
      </w14:textFill>
    </w:rPr>
  </w:style>
  <w:style w:type="character" w:customStyle="1" w:styleId="40">
    <w:name w:val="Título 7 Char"/>
    <w:basedOn w:val="11"/>
    <w:link w:val="8"/>
    <w:semiHidden/>
    <w:uiPriority w:val="9"/>
    <w:rPr>
      <w:rFonts w:asciiTheme="majorHAnsi" w:hAnsiTheme="majorHAnsi" w:eastAsiaTheme="majorEastAsia" w:cstheme="majorBidi"/>
      <w:i/>
      <w:iCs/>
      <w:color w:val="203864" w:themeColor="accent1" w:themeShade="80"/>
    </w:rPr>
  </w:style>
  <w:style w:type="character" w:customStyle="1" w:styleId="41">
    <w:name w:val="Título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2">
    <w:name w:val="Título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3">
    <w:name w:val="Cabeçalho Char"/>
    <w:basedOn w:val="11"/>
    <w:link w:val="25"/>
    <w:qFormat/>
    <w:uiPriority w:val="99"/>
    <w:rPr>
      <w:rFonts w:ascii="Arial" w:hAnsi="Arial"/>
      <w:color w:val="000000" w:themeColor="text1"/>
      <w:sz w:val="24"/>
      <w14:textFill>
        <w14:solidFill>
          <w14:schemeClr w14:val="tx1"/>
        </w14:solidFill>
      </w14:textFill>
    </w:rPr>
  </w:style>
  <w:style w:type="paragraph" w:customStyle="1" w:styleId="44">
    <w:name w:val="Citação Longa"/>
    <w:basedOn w:val="1"/>
    <w:qFormat/>
    <w:uiPriority w:val="0"/>
    <w:pPr>
      <w:tabs>
        <w:tab w:val="left" w:pos="1021"/>
        <w:tab w:val="left" w:pos="1276"/>
      </w:tabs>
      <w:spacing w:line="240" w:lineRule="auto"/>
      <w:ind w:left="2268" w:firstLine="0"/>
    </w:pPr>
    <w:rPr>
      <w:sz w:val="20"/>
    </w:rPr>
  </w:style>
  <w:style w:type="paragraph" w:customStyle="1" w:styleId="45">
    <w:name w:val="Título das Imagens"/>
    <w:basedOn w:val="28"/>
    <w:qFormat/>
    <w:uiPriority w:val="0"/>
    <w:pPr>
      <w:keepNext/>
    </w:pPr>
    <w:rPr>
      <w:i/>
      <w:color w:val="000000" w:themeColor="text1"/>
      <w14:textFill>
        <w14:solidFill>
          <w14:schemeClr w14:val="tx1"/>
        </w14:solidFill>
      </w14:textFill>
    </w:rPr>
  </w:style>
  <w:style w:type="paragraph" w:customStyle="1" w:styleId="46">
    <w:name w:val="Fonte das imagens"/>
    <w:basedOn w:val="1"/>
    <w:link w:val="64"/>
    <w:qFormat/>
    <w:uiPriority w:val="0"/>
    <w:pPr>
      <w:spacing w:line="240" w:lineRule="auto"/>
      <w:ind w:firstLine="0"/>
      <w:jc w:val="center"/>
    </w:pPr>
    <w:rPr>
      <w:sz w:val="20"/>
      <w:szCs w:val="20"/>
    </w:rPr>
  </w:style>
  <w:style w:type="paragraph" w:customStyle="1" w:styleId="47">
    <w:name w:val="Elementos Pré-textuais"/>
    <w:basedOn w:val="1"/>
    <w:next w:val="48"/>
    <w:qFormat/>
    <w:uiPriority w:val="0"/>
    <w:pPr>
      <w:pageBreakBefore/>
      <w:ind w:firstLine="0"/>
      <w:jc w:val="center"/>
    </w:pPr>
    <w:rPr>
      <w:b/>
      <w:caps/>
    </w:rPr>
  </w:style>
  <w:style w:type="paragraph" w:customStyle="1" w:styleId="48">
    <w:name w:val="Resumo"/>
    <w:basedOn w:val="1"/>
    <w:qFormat/>
    <w:uiPriority w:val="0"/>
    <w:pPr>
      <w:ind w:firstLine="0"/>
    </w:pPr>
  </w:style>
  <w:style w:type="paragraph" w:customStyle="1" w:styleId="49">
    <w:name w:val="Referências"/>
    <w:basedOn w:val="1"/>
    <w:link w:val="57"/>
    <w:qFormat/>
    <w:uiPriority w:val="0"/>
    <w:pPr>
      <w:spacing w:after="240" w:line="240" w:lineRule="auto"/>
      <w:ind w:firstLine="0"/>
      <w:jc w:val="left"/>
    </w:pPr>
  </w:style>
  <w:style w:type="character" w:customStyle="1" w:styleId="50">
    <w:name w:val="Rodapé Char"/>
    <w:basedOn w:val="11"/>
    <w:link w:val="27"/>
    <w:qFormat/>
    <w:uiPriority w:val="99"/>
    <w:rPr>
      <w:rFonts w:ascii="Arial" w:hAnsi="Arial"/>
      <w:color w:val="000000" w:themeColor="text1"/>
      <w:sz w:val="20"/>
      <w14:textFill>
        <w14:solidFill>
          <w14:schemeClr w14:val="tx1"/>
        </w14:solidFill>
      </w14:textFill>
    </w:rPr>
  </w:style>
  <w:style w:type="character" w:customStyle="1" w:styleId="51">
    <w:name w:val="Texto de comentário Char"/>
    <w:basedOn w:val="11"/>
    <w:link w:val="20"/>
    <w:qFormat/>
    <w:uiPriority w:val="0"/>
    <w:rPr>
      <w:rFonts w:ascii="Arial" w:hAnsi="Arial" w:eastAsiaTheme="minorEastAsia"/>
      <w:sz w:val="20"/>
      <w:szCs w:val="20"/>
    </w:rPr>
  </w:style>
  <w:style w:type="character" w:customStyle="1" w:styleId="52">
    <w:name w:val="Texto de nota de rodapé Char"/>
    <w:basedOn w:val="11"/>
    <w:link w:val="31"/>
    <w:semiHidden/>
    <w:uiPriority w:val="99"/>
    <w:rPr>
      <w:rFonts w:ascii="Arial" w:hAnsi="Arial"/>
      <w:color w:val="000000" w:themeColor="text1"/>
      <w:sz w:val="20"/>
      <w:szCs w:val="20"/>
      <w14:textFill>
        <w14:solidFill>
          <w14:schemeClr w14:val="tx1"/>
        </w14:solidFill>
      </w14:textFill>
    </w:rPr>
  </w:style>
  <w:style w:type="paragraph" w:styleId="53">
    <w:name w:val="Quote"/>
    <w:basedOn w:val="1"/>
    <w:next w:val="1"/>
    <w:link w:val="54"/>
    <w:qFormat/>
    <w:uiPriority w:val="29"/>
    <w:pPr>
      <w:tabs>
        <w:tab w:val="left" w:pos="284"/>
        <w:tab w:val="left" w:pos="851"/>
      </w:tabs>
      <w:spacing w:line="240" w:lineRule="auto"/>
      <w:ind w:left="2268" w:firstLine="0"/>
    </w:pPr>
    <w:rPr>
      <w:rFonts w:cs="Arial"/>
      <w:color w:val="auto"/>
      <w:sz w:val="20"/>
      <w:szCs w:val="20"/>
    </w:rPr>
  </w:style>
  <w:style w:type="character" w:customStyle="1" w:styleId="54">
    <w:name w:val="Citação Char"/>
    <w:basedOn w:val="11"/>
    <w:link w:val="53"/>
    <w:uiPriority w:val="29"/>
    <w:rPr>
      <w:rFonts w:ascii="Arial" w:hAnsi="Arial" w:cs="Arial"/>
      <w:sz w:val="20"/>
      <w:szCs w:val="20"/>
    </w:rPr>
  </w:style>
  <w:style w:type="paragraph" w:customStyle="1" w:styleId="55">
    <w:name w:val="Elementos da capa"/>
    <w:basedOn w:val="1"/>
    <w:qFormat/>
    <w:uiPriority w:val="0"/>
    <w:pPr>
      <w:ind w:firstLine="0"/>
      <w:jc w:val="center"/>
    </w:pPr>
    <w:rPr>
      <w:rFonts w:cs="Arial"/>
      <w:b/>
      <w:caps/>
      <w:szCs w:val="24"/>
      <w:lang w:eastAsia="pt-BR"/>
    </w:rPr>
  </w:style>
  <w:style w:type="paragraph" w:customStyle="1" w:styleId="56">
    <w:name w:val="Natureza do trabalho"/>
    <w:basedOn w:val="1"/>
    <w:qFormat/>
    <w:uiPriority w:val="0"/>
    <w:pPr>
      <w:spacing w:line="240" w:lineRule="auto"/>
      <w:ind w:left="4536" w:firstLine="0"/>
    </w:pPr>
    <w:rPr>
      <w:rFonts w:cs="Arial"/>
      <w:szCs w:val="24"/>
    </w:rPr>
  </w:style>
  <w:style w:type="character" w:customStyle="1" w:styleId="57">
    <w:name w:val="Referências Char"/>
    <w:basedOn w:val="11"/>
    <w:link w:val="49"/>
    <w:locked/>
    <w:uiPriority w:val="0"/>
    <w:rPr>
      <w:rFonts w:ascii="Arial" w:hAnsi="Arial"/>
      <w:color w:val="000000" w:themeColor="text1"/>
      <w:sz w:val="24"/>
      <w14:textFill>
        <w14:solidFill>
          <w14:schemeClr w14:val="tx1"/>
        </w14:solidFill>
      </w14:textFill>
    </w:rPr>
  </w:style>
  <w:style w:type="paragraph" w:customStyle="1" w:styleId="58">
    <w:name w:val="Banca examinadora"/>
    <w:basedOn w:val="1"/>
    <w:qFormat/>
    <w:uiPriority w:val="0"/>
    <w:pPr>
      <w:ind w:firstLine="0"/>
      <w:jc w:val="center"/>
    </w:pPr>
  </w:style>
  <w:style w:type="paragraph" w:customStyle="1" w:styleId="59">
    <w:name w:val="Epigrafe até 3 linhas"/>
    <w:basedOn w:val="1"/>
    <w:qFormat/>
    <w:uiPriority w:val="0"/>
    <w:pPr>
      <w:ind w:left="4536" w:firstLine="0"/>
    </w:pPr>
  </w:style>
  <w:style w:type="paragraph" w:customStyle="1" w:styleId="60">
    <w:name w:val="Epigrafe mais de 3 linhas"/>
    <w:basedOn w:val="59"/>
    <w:qFormat/>
    <w:uiPriority w:val="0"/>
    <w:pPr>
      <w:spacing w:line="240" w:lineRule="auto"/>
    </w:pPr>
    <w:rPr>
      <w:sz w:val="20"/>
    </w:rPr>
  </w:style>
  <w:style w:type="paragraph" w:styleId="61">
    <w:name w:val="List Paragraph"/>
    <w:basedOn w:val="1"/>
    <w:qFormat/>
    <w:uiPriority w:val="34"/>
    <w:pPr>
      <w:spacing w:after="120" w:line="264" w:lineRule="auto"/>
      <w:ind w:left="720" w:firstLine="0"/>
      <w:contextualSpacing/>
      <w:jc w:val="left"/>
    </w:pPr>
    <w:rPr>
      <w:rFonts w:asciiTheme="minorHAnsi" w:hAnsiTheme="minorHAnsi" w:eastAsiaTheme="minorEastAsia"/>
      <w:color w:val="auto"/>
      <w:sz w:val="21"/>
      <w:szCs w:val="21"/>
    </w:rPr>
  </w:style>
  <w:style w:type="paragraph" w:customStyle="1" w:styleId="62">
    <w:name w:val="Texto"/>
    <w:basedOn w:val="23"/>
    <w:link w:val="63"/>
    <w:qFormat/>
    <w:uiPriority w:val="0"/>
    <w:pPr>
      <w:ind w:firstLine="708"/>
    </w:pPr>
    <w:rPr>
      <w:rFonts w:ascii="Arial" w:hAnsi="Arial" w:eastAsia="Times New Roman" w:cs="Arial"/>
      <w:lang w:eastAsia="pt-BR"/>
    </w:rPr>
  </w:style>
  <w:style w:type="character" w:customStyle="1" w:styleId="63">
    <w:name w:val="Texto Char"/>
    <w:basedOn w:val="11"/>
    <w:link w:val="62"/>
    <w:qFormat/>
    <w:uiPriority w:val="0"/>
    <w:rPr>
      <w:rFonts w:ascii="Arial" w:hAnsi="Arial" w:eastAsia="Times New Roman" w:cs="Arial"/>
      <w:color w:val="000000" w:themeColor="text1"/>
      <w:sz w:val="24"/>
      <w:szCs w:val="24"/>
      <w:lang w:eastAsia="pt-BR"/>
      <w14:textFill>
        <w14:solidFill>
          <w14:schemeClr w14:val="tx1"/>
        </w14:solidFill>
      </w14:textFill>
    </w:rPr>
  </w:style>
  <w:style w:type="character" w:customStyle="1" w:styleId="64">
    <w:name w:val="Fonte das imagens Char"/>
    <w:basedOn w:val="11"/>
    <w:link w:val="46"/>
    <w:uiPriority w:val="0"/>
    <w:rPr>
      <w:rFonts w:ascii="Arial" w:hAnsi="Arial"/>
      <w:color w:val="000000" w:themeColor="text1"/>
      <w:sz w:val="20"/>
      <w:szCs w:val="20"/>
      <w14:textFill>
        <w14:solidFill>
          <w14:schemeClr w14:val="tx1"/>
        </w14:solidFill>
      </w14:textFill>
    </w:rPr>
  </w:style>
  <w:style w:type="character" w:customStyle="1" w:styleId="65">
    <w:name w:val="Assunto do comentário Char"/>
    <w:basedOn w:val="51"/>
    <w:link w:val="26"/>
    <w:semiHidden/>
    <w:uiPriority w:val="99"/>
    <w:rPr>
      <w:rFonts w:ascii="Arial" w:hAnsi="Arial" w:eastAsiaTheme="minorEastAsia"/>
      <w:b/>
      <w:bCs/>
      <w:color w:val="000000" w:themeColor="text1"/>
      <w:sz w:val="20"/>
      <w:szCs w:val="20"/>
      <w14:textFill>
        <w14:solidFill>
          <w14:schemeClr w14:val="tx1"/>
        </w14:solidFill>
      </w14:textFill>
    </w:rPr>
  </w:style>
  <w:style w:type="character" w:customStyle="1" w:styleId="66">
    <w:name w:val="Texto de balão Char"/>
    <w:basedOn w:val="11"/>
    <w:link w:val="30"/>
    <w:semiHidden/>
    <w:uiPriority w:val="99"/>
    <w:rPr>
      <w:rFonts w:ascii="Segoe UI" w:hAnsi="Segoe UI" w:cs="Segoe UI"/>
      <w:color w:val="000000" w:themeColor="text1"/>
      <w:sz w:val="18"/>
      <w:szCs w:val="18"/>
      <w14:textFill>
        <w14:solidFill>
          <w14:schemeClr w14:val="tx1"/>
        </w14:solidFill>
      </w14:textFill>
    </w:rPr>
  </w:style>
  <w:style w:type="character" w:customStyle="1" w:styleId="67">
    <w:name w:val="Unresolved Mention"/>
    <w:basedOn w:val="11"/>
    <w:semiHidden/>
    <w:unhideWhenUsed/>
    <w:uiPriority w:val="99"/>
    <w:rPr>
      <w:color w:val="605E5C"/>
      <w:shd w:val="clear" w:color="auto" w:fill="E1DFDD"/>
    </w:rPr>
  </w:style>
  <w:style w:type="paragraph" w:customStyle="1" w:styleId="68">
    <w:name w:val="TOC Heading"/>
    <w:basedOn w:val="2"/>
    <w:next w:val="1"/>
    <w:unhideWhenUsed/>
    <w:qFormat/>
    <w:uiPriority w:val="39"/>
    <w:pPr>
      <w:pageBreakBefore w:val="0"/>
      <w:numPr>
        <w:ilvl w:val="0"/>
        <w:numId w:val="0"/>
      </w:numPr>
      <w:spacing w:before="240" w:line="259" w:lineRule="auto"/>
      <w:jc w:val="left"/>
      <w:outlineLvl w:val="9"/>
    </w:pPr>
    <w:rPr>
      <w:rFonts w:asciiTheme="majorHAnsi" w:hAnsiTheme="majorHAnsi"/>
      <w:b w:val="0"/>
      <w:caps w:val="0"/>
      <w:color w:val="2F5597" w:themeColor="accent1" w:themeShade="BF"/>
      <w:sz w:val="32"/>
      <w:lang w:eastAsia="pt-BR"/>
    </w:rPr>
  </w:style>
</w:styles>
</file>

<file path=word/_rels/document.xml.rels><?xml version="1.0" encoding="UTF-8"?><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441347D372B1684CA0871D8010662EE7" ma:contentTypeVersion="7" ma:contentTypeDescription="Crie um novo documento." ma:contentTypeScope="" ma:versionID="c9a102eed51b747df849c76f4d9f365e">
  <xsd:schema xmlns:xsd="http://www.w3.org/2001/XMLSchema" xmlns:xs="http://www.w3.org/2001/XMLSchema" xmlns:p="http://schemas.microsoft.com/office/2006/metadata/properties" xmlns:ns2="2bf709f8-ce30-4c8d-be0a-05136b9d1faf" targetNamespace="http://schemas.microsoft.com/office/2006/metadata/properties" ma:root="true" ma:fieldsID="517974d091d131e2e43bcc9ca6206513" ns2:_="">
    <xsd:import namespace="2bf709f8-ce30-4c8d-be0a-05136b9d1f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709f8-ce30-4c8d-be0a-05136b9d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AC3D86-4755-4386-9EAA-D0A74BA7C06B}">
  <ds:schemaRefs/>
</ds:datastoreItem>
</file>

<file path=customXml/itemProps3.xml><?xml version="1.0" encoding="utf-8"?>
<ds:datastoreItem xmlns:ds="http://schemas.openxmlformats.org/officeDocument/2006/customXml" ds:itemID="{C9F93CEB-8B40-49C2-9559-ACBDB3940E03}">
  <ds:schemaRefs/>
</ds:datastoreItem>
</file>

<file path=customXml/itemProps4.xml><?xml version="1.0" encoding="utf-8"?>
<ds:datastoreItem xmlns:ds="http://schemas.openxmlformats.org/officeDocument/2006/customXml" ds:itemID="{FE9D23DB-2816-4719-8003-AA2718D8FA81}">
  <ds:schemaRefs/>
</ds:datastoreItem>
</file>

<file path=customXml/itemProps5.xml><?xml version="1.0" encoding="utf-8"?>
<ds:datastoreItem xmlns:ds="http://schemas.openxmlformats.org/officeDocument/2006/customXml" ds:itemID="{BD5B7501-A9AF-4DF5-95C4-E355D43DE9C0}">
  <ds:schemaRefs/>
</ds:datastoreItem>
</file>

<file path=docProps/app.xml><?xml version="1.0" encoding="utf-8"?>
<Properties xmlns="http://schemas.openxmlformats.org/officeDocument/2006/extended-properties" xmlns:vt="http://schemas.openxmlformats.org/officeDocument/2006/docPropsVTypes">
  <Template>Normal</Template>
  <Pages>34</Pages>
  <Words>850</Words>
  <Characters>6314</Characters>
  <Lines>75</Lines>
  <Paragraphs>21</Paragraphs>
  <TotalTime>107</TotalTime>
  <ScaleCrop>false</ScaleCrop>
  <LinksUpToDate>false</LinksUpToDate>
  <CharactersWithSpaces>7081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2022-08-20T12:27:00Z</dcterms:created>
  <dc:creator>Aline</dc:creator>
  <cp:lastModifiedBy>Suporte</cp:lastModifiedBy>
  <cp:lastPrinted>2022-09-01T12:12:00Z</cp:lastPrinted>
  <dcterms:modified xsi:type="dcterms:W3CDTF">2026-06-10T02:19:24Z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http://www.zotero.org/styles/associacao-brasileira-de-normas-tecnicas-ufrgs</vt:lpwstr>
  </property>
  <property fmtid="{D5CDD505-2E9C-101B-9397-08002B2CF9AE}" pid="21" name="Mendeley Recent Style Name 9_1">
    <vt:lpwstr>Universidade Federal do Rio Grande do Sul - ABNT (autoria completa) (Portuguese - Brazil)</vt:lpwstr>
  </property>
  <property fmtid="{D5CDD505-2E9C-101B-9397-08002B2CF9AE}" pid="22" name="ContentTypeId">
    <vt:lpwstr>0x010100441347D372B1684CA0871D8010662EE7</vt:lpwstr>
  </property>
  <property fmtid="{D5CDD505-2E9C-101B-9397-08002B2CF9AE}" pid="23" name="KSOTemplateDocerSaveRecord">
    <vt:lpwstr>eyJoZGlkIjoiNzgyNTQwY2RlMDIwNzkxMTA1ZGEyZjUwMTQ2ODA2NjAifQ==</vt:lpwstr>
  </property>
  <property fmtid="{D5CDD505-2E9C-101B-9397-08002B2CF9AE}" pid="24" name="KSOProductBuildVer">
    <vt:lpwstr>1046-12.1.0.26880</vt:lpwstr>
  </property>
  <property fmtid="{D5CDD505-2E9C-101B-9397-08002B2CF9AE}" pid="25" name="ICV">
    <vt:lpwstr>60D2B67C7D6D4C088F719B42896B8AFA_12</vt:lpwstr>
  </property>
</Properties>
</file>