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 prof.</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 xml:space="preserve"> 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ilvio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L</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uiz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tanzani</w:t>
      </w:r>
    </w:p>
    <w:p w14:paraId="1E1FD561">
      <w:pPr>
        <w:pStyle w:val="3"/>
        <w:spacing w:line="259" w:lineRule="auto"/>
        <w:jc w:val="lef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656DB2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EE689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352C1A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1C444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B34ADC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3809CA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6FBCDF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D1CAA4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473446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5D2ECB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EE458A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8F27DE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725064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1B327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14F4F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50FFA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auto"/>
          <w:position w:val="0"/>
          <w:sz w:val="24"/>
          <w:szCs w:val="24"/>
          <w:highlight w:val="none"/>
          <w:u w:val="none"/>
          <w:shd w:val="clear" w:fill="auto"/>
          <w:vertAlign w:val="baseline"/>
        </w:rPr>
      </w:pPr>
      <w:r>
        <w:rPr>
          <w:rFonts w:eastAsia="Arial" w:cs="Arial"/>
          <w:b/>
          <w:bCs/>
          <w:i w:val="0"/>
          <w:iCs w:val="0"/>
          <w:smallCaps/>
          <w:strike w:val="0"/>
          <w:dstrike w:val="0"/>
          <w:color w:val="auto"/>
          <w:position w:val="0"/>
          <w:sz w:val="24"/>
          <w:szCs w:val="24"/>
          <w:highlight w:val="none"/>
          <w:u w:val="none"/>
          <w:shd w:val="clear" w:fill="auto"/>
          <w:vertAlign w:val="baseline"/>
        </w:rPr>
        <w:t>AGRADECIMENTOS</w:t>
      </w:r>
    </w:p>
    <w:p w14:paraId="1DF9DB61">
      <w:pPr>
        <w:pStyle w:val="3"/>
        <w:rPr>
          <w:color w:val="auto"/>
          <w:highlight w:val="none"/>
        </w:rPr>
      </w:pPr>
    </w:p>
    <w:p w14:paraId="6B6B2EAD">
      <w:pPr>
        <w:pStyle w:val="3"/>
        <w:rPr>
          <w:rFonts w:hint="default"/>
          <w:color w:val="auto"/>
          <w:highlight w:val="none"/>
          <w:lang w:val="pt-BR"/>
        </w:rPr>
      </w:pPr>
      <w:r>
        <w:rPr>
          <w:color w:val="auto"/>
          <w:highlight w:val="none"/>
        </w:rPr>
        <w:t xml:space="preserve">Ao professor Silvio Luiz Stanzani, meu orientador, agradeço a leitura atenta e as observações precisas que deram forma a este trabalho. </w:t>
      </w:r>
      <w:r>
        <w:rPr>
          <w:rFonts w:hint="default"/>
          <w:color w:val="auto"/>
          <w:highlight w:val="none"/>
          <w:lang w:val="pt-BR"/>
        </w:rPr>
        <w:t xml:space="preserve">Auxiliou </w:t>
      </w:r>
      <w:r>
        <w:rPr>
          <w:color w:val="auto"/>
          <w:highlight w:val="none"/>
        </w:rPr>
        <w:t xml:space="preserve"> para definir o problema</w:t>
      </w:r>
      <w:r>
        <w:rPr>
          <w:rFonts w:hint="default"/>
          <w:color w:val="auto"/>
          <w:highlight w:val="none"/>
          <w:lang w:val="pt-BR"/>
        </w:rPr>
        <w:t xml:space="preserve"> e como seguir ate a conclusão.</w:t>
      </w:r>
    </w:p>
    <w:p w14:paraId="5A487436">
      <w:pPr>
        <w:pStyle w:val="3"/>
        <w:rPr>
          <w:color w:val="auto"/>
          <w:highlight w:val="none"/>
        </w:rPr>
      </w:pPr>
      <w:r>
        <w:rPr>
          <w:color w:val="auto"/>
          <w:highlight w:val="none"/>
        </w:rPr>
        <w:t xml:space="preserve">A Raimunda Cláudia, minha companheira, por seu incentivo </w:t>
      </w:r>
      <w:r>
        <w:rPr>
          <w:rFonts w:hint="default"/>
          <w:color w:val="auto"/>
          <w:highlight w:val="none"/>
          <w:lang w:val="pt-BR"/>
        </w:rPr>
        <w:t>e apoio sempre que precisei</w:t>
      </w:r>
      <w:r>
        <w:rPr>
          <w:color w:val="auto"/>
          <w:highlight w:val="none"/>
        </w:rPr>
        <w:t>.</w:t>
      </w:r>
    </w:p>
    <w:p w14:paraId="6B1FAAB8">
      <w:pPr>
        <w:pStyle w:val="3"/>
        <w:rPr>
          <w:color w:val="auto"/>
          <w:highlight w:val="none"/>
        </w:rPr>
      </w:pPr>
      <w:r>
        <w:rPr>
          <w:color w:val="auto"/>
          <w:highlight w:val="none"/>
        </w:rPr>
        <w:t>À minha família, que sempre tratou o estudo como algo digno de esforço, e aos amigos que acompanharam cada etapa desta especialização.</w:t>
      </w:r>
    </w:p>
    <w:p w14:paraId="12A1E6D9">
      <w:pPr>
        <w:pStyle w:val="3"/>
        <w:rPr>
          <w:color w:val="auto"/>
          <w:highlight w:val="none"/>
        </w:rPr>
      </w:pPr>
      <w:r>
        <w:rPr>
          <w:color w:val="auto"/>
          <w:highlight w:val="none"/>
        </w:rPr>
        <w:t>À Pontifícia Universidade Católica de São Paulo e ao corpo docente da Especialização em Engenharia de Software, pela formação sólida e pelo ambiente de discussão que tornaram este trabalho possível.</w:t>
      </w:r>
    </w:p>
    <w:p w14:paraId="2BE616FC">
      <w:pPr>
        <w:pStyle w:val="3"/>
        <w:rPr>
          <w:b/>
          <w:bCs/>
          <w:color w:val="auto"/>
          <w:highlight w:val="none"/>
        </w:rPr>
      </w:pPr>
      <w:r>
        <w:rPr>
          <w:color w:val="auto"/>
          <w:highlight w:val="none"/>
        </w:rP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position w:val="0"/>
          <w:sz w:val="24"/>
          <w:szCs w:val="24"/>
          <w:u w:val="none"/>
          <w:shd w:val="clear" w:fill="auto"/>
          <w:vertAlign w:val="baseline"/>
        </w:rPr>
        <w:t>Ninguém educa ninguém, ninguém educa a si mesmo, os homens se educam entre si, mediatizados pelo mundo. (FREIRE, 1987, p. 39).</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caiu de 2,05% em 2022 para 0,96% em 2024. Mas a média esconde o problema real: em 2024, dois terços das escolas não registraram nenhum abandono, enquanto 10% delas concentraram 76% dos 2.043 alunos que deixaram a escola. Este trabalho desenvolve um sistema que identifica antecipadamente as escolas de maior risco, adotando a escola, e não o aluno, como unidade de análise. O sistema reúne dados públicos do INEP — Censo Escolar de 2022 a 2024, taxas de rendimento e quatro indicadores complementares — e deriva 39 características por escola. Com elas, estima a taxa de abandono do ano seguinte por árvores impulsionadas por gradiente, comparadas a modelos de referência. A validação impede a mistura de municípios entre treino e teste e respeita a ordem dos anos. Cada previsão é decomposta na contribuição de cada característica, o que mostra quais elevaram ou reduziram o risco daquela escola. O resultado chega ao gestor em um painel que ordena as escolas por risco e explica cada indicação. O sistema acerta a ordem das escolas muito melhor que o valor da taxa: entre as apontadas como prioritárias, cerca de metade está de fato entre as mais críticas, contra 7 em cada 100 na escolha ao acaso. No teste mais exigente, prever um ano que o sistema não viu, uma lista de 150 escolas alcança mais da metade das escolas críticas da rede. Os principais sinais de risco são o histórico recente de abandono, a reprovação e a defasagem entre idade e série. Registra-se ainda uma limitação de equidade: o sistema superestima o risco nas escolas indígenas e quilombolas.</w:t>
      </w:r>
    </w:p>
    <w:p w14:paraId="31B565F5">
      <w:pPr>
        <w:pStyle w:val="3"/>
        <w:ind w:firstLine="0"/>
        <w:rPr>
          <w:color w:val="2E75B5"/>
        </w:rPr>
      </w:pPr>
      <w:r>
        <w:rPr>
          <w:rFonts w:ascii="Arial" w:hAnsi="Arial" w:eastAsia="Arial" w:cs="Arial"/>
          <w:b w:val="0"/>
        </w:rPr>
        <w:t>Palavras-chave: Evasão escolar. Priorização de escolas. Aprendizado de máquina.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fell from 2.05% in 2022 to 0.96% in 2024. But the average hides the real problem: in 2024, two thirds of the schools recorded no dropout at all, while 10% of them concentrated 76% of the 2,043 students who left school. This work develops a system that identifies in advance the schools at highest risk, taking the school, not the student, as the unit of analysis. The system gathers public data from INEP — the School Census from 2022 to 2024, performance rates and four complementary indicators — and derives 39 characteristics per school. From these it estimates the dropout rate of the following year with a gradient boosted tree model, compared against baseline models. The validation scheme prevents municipalities from being split across training and test sets and respects the ordering of the years. Each prediction is decomposed into the contribution of every characteristic, showing which ones raised or lowered that school's risk. The result reaches the manager through a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predicting a year the system has never seen, a list of 150 schools reaches more than half of the critical schools in the network. Recent dropout history, grade retention and the gap between age and grade are the main risk signals. An equity limitation is also reported: the system overestimates risk in indigenous and quilombola schools.</w:t>
      </w:r>
    </w:p>
    <w:p w14:paraId="3D8D40F5">
      <w:pPr>
        <w:pStyle w:val="3"/>
        <w:ind w:firstLine="0"/>
        <w:rPr>
          <w:color w:val="2E75B5"/>
        </w:rPr>
      </w:pPr>
      <w:r>
        <w:rPr>
          <w:rFonts w:ascii="Arial" w:hAnsi="Arial" w:eastAsia="Arial" w:cs="Arial"/>
          <w:b w:val="0"/>
        </w:rPr>
        <w:t>Keywords: School dropout. School prioritization. Machine learning.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12CBFCCB">
      <w:pPr>
        <w:pStyle w:val="3"/>
        <w:ind w:firstLine="0"/>
        <w:rPr>
          <w:color w:val="2E75B5"/>
        </w:rPr>
      </w:pPr>
      <w:r>
        <w:rPr>
          <w:rFonts w:ascii="Arial" w:hAnsi="Arial"/>
          <w:sz w:val="22"/>
        </w:rPr>
        <w:t>Figura 13 – Desempenho do modelo adotado em cada transição anual (2022→2023 e 2023→2024)</w:t>
      </w:r>
    </w:p>
    <w:p w14:paraId="3199E1D8">
      <w:pPr>
        <w:pStyle w:val="3"/>
        <w:ind w:firstLine="0"/>
        <w:rPr>
          <w:color w:val="2E75B5"/>
        </w:rPr>
      </w:pPr>
      <w:r>
        <w:rPr>
          <w:rFonts w:ascii="Arial" w:hAnsi="Arial"/>
          <w:sz w:val="22"/>
        </w:rPr>
        <w:t>Figura 14 – Resíduo do modelo por escola, em número de alunos que abandonaram o ensino médio, nas transições 2022–2023 e 2023–2024</w:t>
      </w:r>
    </w:p>
    <w:p w14:paraId="0BCC53AB">
      <w:pPr>
        <w:pStyle w:val="3"/>
        <w:ind w:firstLine="0"/>
        <w:rPr>
          <w:color w:val="2E75B5"/>
        </w:rPr>
      </w:pPr>
      <w:r>
        <w:rPr>
          <w:rFonts w:ascii="Arial" w:hAnsi="Arial"/>
          <w:sz w:val="22"/>
        </w:rPr>
        <w:t>Figura 15 – Ganho prático da lista de prioridade em relação à escolha ao acaso</w:t>
      </w:r>
    </w:p>
    <w:p w14:paraId="243493A6">
      <w:pPr>
        <w:pStyle w:val="3"/>
        <w:ind w:firstLine="0"/>
        <w:rPr>
          <w:color w:val="2E75B5"/>
        </w:rPr>
      </w:pPr>
      <w:r>
        <w:rPr>
          <w:rFonts w:ascii="Arial" w:hAnsi="Arial"/>
          <w:sz w:val="22"/>
        </w:rPr>
        <w:t>Figura 16 – Acerto e alcance da lista para diferentes tamanhos de lista</w:t>
      </w:r>
    </w:p>
    <w:p w14:paraId="145FB100">
      <w:pPr>
        <w:pStyle w:val="3"/>
        <w:ind w:firstLine="0"/>
        <w:rPr>
          <w:color w:val="2E75B5"/>
        </w:rPr>
      </w:pPr>
      <w:r>
        <w:rPr>
          <w:rFonts w:ascii="Arial" w:hAnsi="Arial"/>
          <w:sz w:val="22"/>
        </w:rPr>
        <w:t>Figura 17 – Contribuição de cada característica para as previsões do sistema</w:t>
      </w:r>
    </w:p>
    <w:p w14:paraId="44E8BD78">
      <w:pPr>
        <w:pStyle w:val="3"/>
        <w:ind w:firstLine="0"/>
        <w:rPr>
          <w:color w:val="2E75B5"/>
        </w:rPr>
      </w:pPr>
      <w:r>
        <w:rPr>
          <w:rFonts w:ascii="Arial" w:hAnsi="Arial"/>
          <w:sz w:val="22"/>
        </w:rPr>
        <w:t>Figura 18 – Peso e direção de cada característica nas previsões do sistema</w:t>
      </w:r>
    </w:p>
    <w:p w14:paraId="4F99997E">
      <w:pPr>
        <w:pStyle w:val="3"/>
        <w:ind w:firstLine="0"/>
        <w:rPr>
          <w:color w:val="2E75B5"/>
        </w:rPr>
      </w:pPr>
      <w:r>
        <w:rPr>
          <w:rFonts w:ascii="Arial" w:hAnsi="Arial"/>
          <w:sz w:val="22"/>
        </w:rPr>
        <w:t>Figura 19 – Explicação individual da escola de maior risco previsto</w:t>
      </w:r>
    </w:p>
    <w:p w14:paraId="1A68FE01">
      <w:pPr>
        <w:pStyle w:val="3"/>
        <w:ind w:firstLine="0"/>
        <w:rPr>
          <w:color w:val="2E75B5"/>
        </w:rPr>
      </w:pPr>
      <w:r>
        <w:rPr>
          <w:rFonts w:ascii="Arial" w:hAnsi="Arial"/>
          <w:sz w:val="22"/>
        </w:rPr>
        <w:t>Figura 20 – Erro do sistema por grupo de localização no teste do ano nunca visto</w:t>
      </w:r>
    </w:p>
    <w:p w14:paraId="66821D4E">
      <w:pPr>
        <w:pStyle w:val="3"/>
        <w:rPr>
          <w:b/>
          <w:bCs/>
          <w:color w:val="000000"/>
        </w:rPr>
      </w:pPr>
    </w:p>
    <w:p w14:paraId="0E470546">
      <w:pPr>
        <w:pStyle w:val="3"/>
        <w:rPr>
          <w:b/>
          <w:bCs/>
          <w:color w:val="000000"/>
        </w:rPr>
      </w:pP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2E75B5"/>
        </w:rPr>
      </w:pPr>
      <w:r>
        <w:rPr>
          <w:rFonts w:ascii="Arial" w:hAnsi="Arial"/>
          <w:sz w:val="22"/>
        </w:rPr>
        <w:t>Quadro 11 – Desempenho do modelo adotado em cada transição anual (média e faixa de confiança de 95% sobre 20 repetições)</w:t>
      </w:r>
    </w:p>
    <w:p w14:paraId="2CB820C1">
      <w:pPr>
        <w:pStyle w:val="3"/>
        <w:rPr>
          <w:b/>
          <w:bCs/>
          <w:color w:val="000000"/>
        </w:rPr>
      </w:pPr>
    </w:p>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t>ABNT</w:t>
            </w:r>
          </w:p>
        </w:tc>
        <w:tc>
          <w:tcPr>
            <w:tcW w:w="7604" w:type="dxa"/>
          </w:tcPr>
          <w:p w14:paraId="031A16CB">
            <w:pPr>
              <w:pStyle w:val="3"/>
              <w:ind w:firstLine="0"/>
              <w:jc w:val="left"/>
              <w:rPr>
                <w:color w:val="000000"/>
              </w:rPr>
            </w:pPr>
            <w: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t>AFD</w:t>
            </w:r>
          </w:p>
        </w:tc>
        <w:tc>
          <w:tcPr>
            <w:tcW w:w="7604" w:type="dxa"/>
          </w:tcPr>
          <w:p w14:paraId="10CBB3A7">
            <w:pPr>
              <w:pStyle w:val="3"/>
              <w:ind w:firstLine="0"/>
              <w:jc w:val="left"/>
              <w:rPr>
                <w:color w:val="000000"/>
              </w:rPr>
            </w:pPr>
            <w:r>
              <w:t>Adequação da Formação Docente</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t>CRISP-DM</w:t>
            </w:r>
          </w:p>
        </w:tc>
        <w:tc>
          <w:tcPr>
            <w:tcW w:w="7604" w:type="dxa"/>
          </w:tcPr>
          <w:p w14:paraId="77D1C937">
            <w:pPr>
              <w:pStyle w:val="3"/>
              <w:ind w:firstLine="0"/>
              <w:jc w:val="left"/>
              <w:rPr>
                <w:color w:val="000000"/>
              </w:rPr>
            </w:pPr>
            <w:r>
              <w:t>Cross-Industry Standard Process for Data Mining</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t>EJA</w:t>
            </w:r>
          </w:p>
        </w:tc>
        <w:tc>
          <w:tcPr>
            <w:tcW w:w="7604" w:type="dxa"/>
          </w:tcPr>
          <w:p w14:paraId="3C950431">
            <w:pPr>
              <w:pStyle w:val="3"/>
              <w:ind w:firstLine="0"/>
              <w:jc w:val="left"/>
              <w:rPr>
                <w:color w:val="000000"/>
              </w:rPr>
            </w:pPr>
            <w:r>
              <w:t>Educação de Jovens e Adultos</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r>
              <w:t>EM</w:t>
            </w:r>
          </w:p>
        </w:tc>
        <w:tc>
          <w:tcPr>
            <w:tcW w:w="7604" w:type="dxa"/>
          </w:tcPr>
          <w:p w14:paraId="5FE4DE85">
            <w:pPr>
              <w:pStyle w:val="3"/>
              <w:ind w:firstLine="0"/>
              <w:jc w:val="left"/>
              <w:rPr>
                <w:color w:val="000000"/>
              </w:rPr>
            </w:pPr>
            <w:r>
              <w:t>Ensino Médio</w:t>
            </w:r>
          </w:p>
        </w:tc>
      </w:tr>
      <w:tr w14:paraId="1FBC13FC">
        <w:tblPrEx>
          <w:tblCellMar>
            <w:top w:w="0" w:type="dxa"/>
            <w:left w:w="108" w:type="dxa"/>
            <w:bottom w:w="0" w:type="dxa"/>
            <w:right w:w="108" w:type="dxa"/>
          </w:tblCellMar>
        </w:tblPrEx>
        <w:tc>
          <w:tcPr>
            <w:tcW w:w="1275" w:type="dxa"/>
          </w:tcPr>
          <w:p w14:paraId="6EF15157">
            <w:pPr>
              <w:pStyle w:val="3"/>
              <w:ind w:firstLine="0"/>
              <w:jc w:val="left"/>
              <w:rPr>
                <w:color w:val="000000"/>
              </w:rPr>
            </w:pPr>
            <w:r>
              <w:t>INEP</w:t>
            </w:r>
          </w:p>
        </w:tc>
        <w:tc>
          <w:tcPr>
            <w:tcW w:w="7604" w:type="dxa"/>
          </w:tcPr>
          <w:p w14:paraId="595945D6">
            <w:pPr>
              <w:pStyle w:val="3"/>
              <w:ind w:firstLine="0"/>
              <w:jc w:val="left"/>
              <w:rPr>
                <w:color w:val="000000"/>
              </w:rPr>
            </w:pPr>
            <w:r>
              <w:t>Instituto Nacional de Estudos e Pesquisas Educacionais Anísio Teixeira</w:t>
            </w:r>
          </w:p>
        </w:tc>
      </w:tr>
      <w:tr w14:paraId="57288C4A">
        <w:tblPrEx>
          <w:tblCellMar>
            <w:top w:w="0" w:type="dxa"/>
            <w:left w:w="108" w:type="dxa"/>
            <w:bottom w:w="0" w:type="dxa"/>
            <w:right w:w="108" w:type="dxa"/>
          </w:tblCellMar>
        </w:tblPrEx>
        <w:tc>
          <w:tcPr>
            <w:tcW w:w="1275" w:type="dxa"/>
          </w:tcPr>
          <w:p w14:paraId="7D0AB5C5">
            <w:pPr>
              <w:pStyle w:val="3"/>
              <w:ind w:firstLine="0"/>
              <w:jc w:val="left"/>
              <w:rPr>
                <w:color w:val="000000"/>
              </w:rPr>
            </w:pPr>
            <w:r>
              <w:t>INSE</w:t>
            </w:r>
          </w:p>
        </w:tc>
        <w:tc>
          <w:tcPr>
            <w:tcW w:w="7604" w:type="dxa"/>
          </w:tcPr>
          <w:p w14:paraId="5FC0AE45">
            <w:pPr>
              <w:pStyle w:val="3"/>
              <w:ind w:firstLine="0"/>
              <w:jc w:val="left"/>
              <w:rPr>
                <w:color w:val="000000"/>
              </w:rPr>
            </w:pPr>
            <w:r>
              <w:t>Indicador de Nível Socioeconômico</w:t>
            </w:r>
          </w:p>
        </w:tc>
      </w:tr>
      <w:tr w14:paraId="563F479F">
        <w:tblPrEx>
          <w:tblCellMar>
            <w:top w:w="0" w:type="dxa"/>
            <w:left w:w="108" w:type="dxa"/>
            <w:bottom w:w="0" w:type="dxa"/>
            <w:right w:w="108" w:type="dxa"/>
          </w:tblCellMar>
        </w:tblPrEx>
        <w:tc>
          <w:tcPr>
            <w:tcW w:w="1275" w:type="dxa"/>
          </w:tcPr>
          <w:p w14:paraId="59687C2D">
            <w:pPr>
              <w:pStyle w:val="3"/>
              <w:ind w:firstLine="0"/>
              <w:jc w:val="left"/>
              <w:rPr>
                <w:color w:val="000000"/>
              </w:rPr>
            </w:pPr>
            <w:r>
              <w:t>IRD</w:t>
            </w:r>
          </w:p>
        </w:tc>
        <w:tc>
          <w:tcPr>
            <w:tcW w:w="7604" w:type="dxa"/>
          </w:tcPr>
          <w:p w14:paraId="4930AC52">
            <w:pPr>
              <w:pStyle w:val="3"/>
              <w:ind w:firstLine="0"/>
              <w:jc w:val="left"/>
              <w:rPr>
                <w:color w:val="000000"/>
              </w:rPr>
            </w:pPr>
            <w:r>
              <w:t>Indicador de Regularidade do Docente</w:t>
            </w:r>
          </w:p>
        </w:tc>
      </w:tr>
      <w:tr w14:paraId="74A23515">
        <w:tblPrEx>
          <w:tblCellMar>
            <w:top w:w="0" w:type="dxa"/>
            <w:left w:w="108" w:type="dxa"/>
            <w:bottom w:w="0" w:type="dxa"/>
            <w:right w:w="108" w:type="dxa"/>
          </w:tblCellMar>
        </w:tblPrEx>
        <w:tc>
          <w:tcPr>
            <w:tcW w:w="1275" w:type="dxa"/>
          </w:tcPr>
          <w:p w14:paraId="48F6FFD7">
            <w:pPr>
              <w:pStyle w:val="3"/>
              <w:ind w:firstLine="0"/>
              <w:jc w:val="left"/>
              <w:rPr>
                <w:color w:val="000000"/>
              </w:rPr>
            </w:pPr>
            <w:r>
              <w:t>RMSE</w:t>
            </w:r>
          </w:p>
        </w:tc>
        <w:tc>
          <w:tcPr>
            <w:tcW w:w="7604" w:type="dxa"/>
          </w:tcPr>
          <w:p w14:paraId="6213E37B">
            <w:pPr>
              <w:pStyle w:val="3"/>
              <w:ind w:firstLine="0"/>
              <w:jc w:val="left"/>
              <w:rPr>
                <w:color w:val="000000"/>
              </w:rPr>
            </w:pPr>
            <w:r>
              <w:t>Raiz do Erro Quadrático Médio (Root Mean Squared Error)</w:t>
            </w:r>
          </w:p>
        </w:tc>
      </w:tr>
      <w:tr w14:paraId="60369995">
        <w:tblPrEx>
          <w:tblCellMar>
            <w:top w:w="0" w:type="dxa"/>
            <w:left w:w="108" w:type="dxa"/>
            <w:bottom w:w="0" w:type="dxa"/>
            <w:right w:w="108" w:type="dxa"/>
          </w:tblCellMar>
        </w:tblPrEx>
        <w:tc>
          <w:tcPr>
            <w:tcW w:w="1275" w:type="dxa"/>
          </w:tcPr>
          <w:p w14:paraId="3F6D001A">
            <w:pPr>
              <w:pStyle w:val="3"/>
              <w:ind w:firstLine="0"/>
              <w:jc w:val="left"/>
              <w:rPr>
                <w:color w:val="000000"/>
              </w:rPr>
            </w:pPr>
            <w:r>
              <w:t>ROC-AUC</w:t>
            </w:r>
          </w:p>
        </w:tc>
        <w:tc>
          <w:tcPr>
            <w:tcW w:w="7604" w:type="dxa"/>
          </w:tcPr>
          <w:p w14:paraId="5378CFDD">
            <w:pPr>
              <w:pStyle w:val="3"/>
              <w:ind w:firstLine="0"/>
              <w:jc w:val="left"/>
              <w:rPr>
                <w:color w:val="000000"/>
              </w:rPr>
            </w:pPr>
            <w:r>
              <w:t>Área sob a Curva ROC (Area Under the ROC Curve)</w:t>
            </w:r>
          </w:p>
        </w:tc>
      </w:tr>
      <w:tr w14:paraId="474CA64F">
        <w:tblPrEx>
          <w:tblCellMar>
            <w:top w:w="0" w:type="dxa"/>
            <w:left w:w="108" w:type="dxa"/>
            <w:bottom w:w="0" w:type="dxa"/>
            <w:right w:w="108" w:type="dxa"/>
          </w:tblCellMar>
        </w:tblPrEx>
        <w:tc>
          <w:tcPr>
            <w:tcW w:w="1275" w:type="dxa"/>
          </w:tcPr>
          <w:p w14:paraId="67AFA00F">
            <w:pPr>
              <w:pStyle w:val="3"/>
              <w:ind w:firstLine="0"/>
              <w:jc w:val="left"/>
              <w:rPr>
                <w:color w:val="000000"/>
              </w:rPr>
            </w:pPr>
            <w:r>
              <w:t>SHAP</w:t>
            </w:r>
          </w:p>
        </w:tc>
        <w:tc>
          <w:tcPr>
            <w:tcW w:w="7604" w:type="dxa"/>
          </w:tcPr>
          <w:p w14:paraId="285E5E5C">
            <w:pPr>
              <w:pStyle w:val="3"/>
              <w:ind w:firstLine="0"/>
              <w:jc w:val="left"/>
              <w:rPr>
                <w:color w:val="000000"/>
              </w:rPr>
            </w:pPr>
            <w:r>
              <w:t>SHapley Additive exPlanations</w:t>
            </w:r>
          </w:p>
        </w:tc>
      </w:tr>
      <w:tr w14:paraId="2396B301">
        <w:tblPrEx>
          <w:tblCellMar>
            <w:top w:w="0" w:type="dxa"/>
            <w:left w:w="108" w:type="dxa"/>
            <w:bottom w:w="0" w:type="dxa"/>
            <w:right w:w="108" w:type="dxa"/>
          </w:tblCellMar>
        </w:tblPrEx>
        <w:tc>
          <w:tcPr>
            <w:tcW w:w="1275" w:type="dxa"/>
          </w:tcPr>
          <w:p w14:paraId="501B8804">
            <w:pPr>
              <w:pStyle w:val="3"/>
              <w:ind w:firstLine="0"/>
              <w:jc w:val="left"/>
              <w:rPr>
                <w:color w:val="000000"/>
              </w:rPr>
            </w:pPr>
            <w:r>
              <w:t>TCC</w:t>
            </w:r>
          </w:p>
        </w:tc>
        <w:tc>
          <w:tcPr>
            <w:tcW w:w="7604" w:type="dxa"/>
          </w:tcPr>
          <w:p w14:paraId="2E59B334">
            <w:pPr>
              <w:pStyle w:val="3"/>
              <w:ind w:firstLine="0"/>
              <w:jc w:val="left"/>
              <w:rPr>
                <w:color w:val="000000"/>
              </w:rPr>
            </w:pPr>
            <w:r>
              <w:t>Trabalho de Conclusão de Curso</w:t>
            </w:r>
          </w:p>
        </w:tc>
      </w:tr>
      <w:tr w14:paraId="1A923E62">
        <w:tblPrEx>
          <w:tblCellMar>
            <w:top w:w="0" w:type="dxa"/>
            <w:left w:w="108" w:type="dxa"/>
            <w:bottom w:w="0" w:type="dxa"/>
            <w:right w:w="108" w:type="dxa"/>
          </w:tblCellMar>
        </w:tblPrEx>
        <w:tc>
          <w:tcPr>
            <w:tcW w:w="1275" w:type="dxa"/>
          </w:tcPr>
          <w:p w14:paraId="4EF39AC1">
            <w:pPr>
              <w:pStyle w:val="3"/>
              <w:ind w:firstLine="0"/>
              <w:jc w:val="left"/>
              <w:rPr>
                <w:color w:val="000000"/>
              </w:rPr>
            </w:pPr>
            <w:r>
              <w:t>TDI</w:t>
            </w:r>
          </w:p>
        </w:tc>
        <w:tc>
          <w:tcPr>
            <w:tcW w:w="7604" w:type="dxa"/>
          </w:tcPr>
          <w:p w14:paraId="7956B817">
            <w:pPr>
              <w:pStyle w:val="3"/>
              <w:ind w:firstLine="0"/>
              <w:jc w:val="left"/>
              <w:rPr>
                <w:color w:val="000000"/>
              </w:rPr>
            </w:pPr>
            <w:r>
              <w:t>Taxa de Distorção Idade-Série</w:t>
            </w:r>
          </w:p>
        </w:tc>
      </w:tr>
      <w:tr w14:paraId="1A6461CF">
        <w:tblPrEx>
          <w:tblCellMar>
            <w:top w:w="0" w:type="dxa"/>
            <w:left w:w="108" w:type="dxa"/>
            <w:bottom w:w="0" w:type="dxa"/>
            <w:right w:w="108" w:type="dxa"/>
          </w:tblCellMar>
        </w:tblPrEx>
        <w:tc>
          <w:tcPr>
            <w:tcW w:w="1275" w:type="dxa"/>
          </w:tcPr>
          <w:p w14:paraId="3197F694">
            <w:pPr>
              <w:pStyle w:val="3"/>
              <w:ind w:firstLine="0"/>
              <w:jc w:val="left"/>
              <w:rPr>
                <w:color w:val="000000"/>
              </w:rPr>
            </w:pPr>
            <w:r>
              <w:t>XGBoost</w:t>
            </w:r>
          </w:p>
        </w:tc>
        <w:tc>
          <w:tcPr>
            <w:tcW w:w="7604" w:type="dxa"/>
          </w:tcPr>
          <w:p w14:paraId="630CCC3E">
            <w:pPr>
              <w:pStyle w:val="3"/>
              <w:ind w:firstLine="0"/>
              <w:jc w:val="left"/>
              <w:rPr>
                <w:color w:val="000000"/>
              </w:rPr>
            </w:pPr>
            <w:r>
              <w:t>Extreme Gradient Boosting</w:t>
            </w: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1C319AFF">
          <w:pPr>
            <w:pStyle w:val="3"/>
            <w:keepNext w:val="0"/>
            <w:keepLines w:val="0"/>
            <w:pageBreakBefore w:val="0"/>
            <w:widowControl/>
            <w:shd w:val="clear" w:fill="auto"/>
            <w:tabs>
              <w:tab w:val="right" w:pos="8494"/>
            </w:tabs>
            <w:spacing w:before="0" w:after="0" w:line="360" w:lineRule="auto"/>
            <w:ind w:left="0" w:right="0" w:firstLine="0"/>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rPr>
              <w:rFonts w:hint="default"/>
              <w:lang w:val="pt-BR"/>
            </w:rPr>
            <w:t>\</w:t>
          </w: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0CFB392B">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_Toc14999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_Toc14999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AB48AFC">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_Toc30512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_Toc30512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F7735E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_Toc26586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_Toc26586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865636">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_Toc32683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_Toc32683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A7590D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_Toc9018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_Toc9018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1017B6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_Toc15928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_Toc15928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25595F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_Toc18478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_Toc18478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F21747D">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_Toc5545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_Toc5545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9551C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_Toc13971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_Toc13971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C64DD1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_Toc5491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 e Determinantes</w:t>
          </w:r>
          <w:r>
            <w:tab/>
          </w:r>
          <w:r>
            <w:fldChar w:fldCharType="begin"/>
          </w:r>
          <w:r>
            <w:instrText xml:space="preserve"> PAGEREF _Toc5491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CF5A80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_Toc23274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Mineração de Dados Educacionais</w:t>
          </w:r>
          <w:r>
            <w:tab/>
          </w:r>
          <w:r>
            <w:fldChar w:fldCharType="begin"/>
          </w:r>
          <w:r>
            <w:instrText xml:space="preserve"> PAGEREF _Toc23274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5B1965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_Toc12139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Modelos Preditivos Baseados em Árvores</w:t>
          </w:r>
          <w:r>
            <w:tab/>
          </w:r>
          <w:r>
            <w:fldChar w:fldCharType="begin"/>
          </w:r>
          <w:r>
            <w:instrText xml:space="preserve"> PAGEREF _Toc12139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756504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_Toc8619 </w:instrText>
          </w:r>
          <w:r>
            <w:rPr>
              <w:rFonts w:eastAsia="Arial" w:cs="Arial"/>
              <w:bCs/>
              <w:i w:val="0"/>
              <w:iCs w:val="0"/>
              <w:smallCaps/>
              <w:strike w:val="0"/>
              <w:dstrike w:val="0"/>
              <w:vanish w:val="0"/>
              <w:position w:val="0"/>
              <w:szCs w:val="24"/>
              <w:shd w:val="clear" w:fill="auto"/>
              <w:vertAlign w:val="baseline"/>
            </w:rPr>
            <w:fldChar w:fldCharType="separate"/>
          </w:r>
          <w:r>
            <w:t xml:space="preserve">2.1.4 </w:t>
          </w:r>
          <w:r>
            <w:rPr>
              <w:rFonts w:ascii="Arial" w:hAnsi="Arial" w:eastAsia="Arial" w:cs="Arial"/>
            </w:rPr>
            <w:t>Interpretabilidade dos Modelos</w:t>
          </w:r>
          <w:r>
            <w:tab/>
          </w:r>
          <w:r>
            <w:fldChar w:fldCharType="begin"/>
          </w:r>
          <w:r>
            <w:instrText xml:space="preserve"> PAGEREF _Toc8619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8B81D9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_Toc8277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_Toc8277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4388644">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_Toc30212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_Toc30212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5AEEB7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_Toc18978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_Toc18978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001AC7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_Toc12220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_Toc12220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5445B2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_Toc29892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_Toc29892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39CE44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_Toc12568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_Toc12568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1BCA74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_Toc21253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_Toc21253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EBA84B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_Toc15600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_Toc15600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7DB4A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_Toc21195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_Toc21195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18C174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_Toc3667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_Toc3667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A0049C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_Toc15523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_Toc15523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754568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_Toc18028 </w:instrText>
          </w:r>
          <w:r>
            <w:rPr>
              <w:rFonts w:eastAsia="Arial" w:cs="Arial"/>
              <w:bCs/>
              <w:i w:val="0"/>
              <w:iCs w:val="0"/>
              <w:smallCaps/>
              <w:strike w:val="0"/>
              <w:dstrike w:val="0"/>
              <w:vanish w:val="0"/>
              <w:position w:val="0"/>
              <w:szCs w:val="24"/>
              <w:shd w:val="clear" w:fill="auto"/>
              <w:vertAlign w:val="baseline"/>
            </w:rPr>
            <w:fldChar w:fldCharType="separate"/>
          </w:r>
          <w:r>
            <w:t xml:space="preserve">3.2.8 </w:t>
          </w:r>
          <w:r>
            <w:rPr>
              <w:rFonts w:ascii="Arial" w:hAnsi="Arial" w:eastAsia="Arial" w:cs="Arial"/>
            </w:rPr>
            <w:t>Geração da Lista para um Ano Ainda Não Observado</w:t>
          </w:r>
          <w:r>
            <w:tab/>
          </w:r>
          <w:r>
            <w:fldChar w:fldCharType="begin"/>
          </w:r>
          <w:r>
            <w:instrText xml:space="preserve"> PAGEREF _Toc18028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58E23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_Toc1170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_Toc1170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C484257">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_Toc10895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_Toc10895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01256D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_Toc32376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_Toc32376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927F7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_Toc15245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_Toc15245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B6506A1">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_Toc31374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_Toc31374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595B689">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_Toc14527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_Toc14527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5E58B43">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_Toc12991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_Toc12991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AB3F35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_Toc29809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_Toc29809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41B6B6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_Toc30709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_Toc30709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4E2C41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_Toc19598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_Toc19598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1DD798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_Toc18056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_Toc18056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868DCC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_Toc29114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_Toc29114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A56FC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_Toc25461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_Toc25461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389362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_Toc14403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_Toc14403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94C25F3">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_Toc28682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_Toc28682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A8D2171">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_Toc18830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_Toc18830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CBA43EB">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_Toc4133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_Toc4133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1341D2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_Toc488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_Toc488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15FF4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_Toc24378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_Toc24378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3F13D7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_Toc26082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_Toc26082 \h </w:instrText>
          </w:r>
          <w:r>
            <w:fldChar w:fldCharType="separate"/>
          </w:r>
          <w:r>
            <w:t>38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10A20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_Toc4796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_Toc4796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18B54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_Toc13227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_Toc13227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01F2B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_Toc23709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_Toc23709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27F4D6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_Toc30713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_Toc30713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07DDC0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_Toc30465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_Toc30465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080A3B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_Toc2948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_Toc2948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1EB6C8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_Toc19034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_Toc19034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A0CEBC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_Toc17703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rPr>
            <w:t>Resultados em Cada Transição Anual</w:t>
          </w:r>
          <w:r>
            <w:tab/>
          </w:r>
          <w:r>
            <w:fldChar w:fldCharType="begin"/>
          </w:r>
          <w:r>
            <w:instrText xml:space="preserve"> PAGEREF _Toc17703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7FF39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_Toc27010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_Toc27010 \h </w:instrText>
          </w:r>
          <w:r>
            <w:fldChar w:fldCharType="separate"/>
          </w:r>
          <w:r>
            <w:t>51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077AC5B">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_Toc19992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_Toc19992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E65FD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_Toc15251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_Toc15251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5D5E4B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_Toc12507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_Toc12507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029235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_Toc10633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_Toc10633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ACF9D9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_Toc16606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_Toc16606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6EFE5B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_Toc5621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_Toc5621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8B74D6C">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_Toc10205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_Toc10205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118CA0">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_Toc22348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_Toc22348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18DF869">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_Toc3968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_Toc3968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C353D9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_Toc29070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_Toc29070 \h </w:instrText>
          </w:r>
          <w:r>
            <w:fldChar w:fldCharType="separate"/>
          </w:r>
          <w:r>
            <w:t>59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EA983C0">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_Toc20691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_Toc20691 \h </w:instrText>
          </w:r>
          <w:r>
            <w:fldChar w:fldCharType="separate"/>
          </w:r>
          <w:r>
            <w:t>61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7DF7611">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_Toc29284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_Toc29284 \h </w:instrText>
          </w:r>
          <w:r>
            <w:fldChar w:fldCharType="separate"/>
          </w:r>
          <w:r>
            <w:t>63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14999"/>
      <w:r>
        <w:rPr>
          <w:rFonts w:ascii="Arial" w:hAnsi="Arial" w:eastAsia="Arial" w:cs="Arial"/>
          <w:b w:val="0"/>
        </w:rPr>
        <w:t>Introdução</w:t>
      </w:r>
      <w:bookmarkEnd w:id="1"/>
    </w:p>
    <w:p w14:paraId="71BF03DA">
      <w:pPr>
        <w:pStyle w:val="4"/>
        <w:numPr>
          <w:ilvl w:val="1"/>
          <w:numId w:val="1"/>
        </w:numPr>
      </w:pPr>
      <w:bookmarkStart w:id="2" w:name="_Toc30512"/>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sociais, econômicas, geográficas e institucionais profundas. Raramente é um evento isolado: costuma ser o desfecho de um afastamento que se acumula entre o estudante e a escola (BOWERS; SPROTT; TAFF, 2013). Pernambuco implantou um programa pioneiro de Ensino Médio em tempo integral, já avaliado quanto aos efeitos sobre o desempenho dos estudantes (ROSA et al., 2022), e a parcela de matrículas nessa modalidade passou de 56,7% em 2022 para 64,9% em 2024 (BRASIL, 2024a). Mesmo assim a rede segue desigual: as escolas rurais e as do São Francisco Pernambucano reúnem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(BRASIL, 2024a). Hoje ela não dispõe de um mecanismo que antecipe o risco. Sem ele, o gestor age depois que o abandono já apareceu nos números do ano anterior.</w:t>
      </w:r>
    </w:p>
    <w:p w14:paraId="6A4DF56F">
      <w:pPr>
        <w:pStyle w:val="3"/>
        <w:ind w:firstLine="0"/>
        <w:rPr>
          <w:color w:val="2E75B5"/>
        </w:rPr>
      </w:pPr>
      <w:r>
        <w:rPr>
          <w:rFonts w:ascii="Arial" w:hAnsi="Arial" w:eastAsia="Arial" w:cs="Arial"/>
          <w:b w:val="0"/>
        </w:rPr>
        <w:t>Antecipar esse risco é o que propõe a literatura de mineração de dados educacionais, que aplica técnicas de aprendizado de máquina a dados da educação para prever desfechos como o abandono (BAKER; YACEF, 2009). Estudos dessa linha mostram ser possível estimar o risco a partir de características observáveis das escolas (CORTEZ; SILVA, 2008) e organizá-lo em sistemas de alerta precoce, que priorizam os casos mais críticos (BOWERS; SPROTT; TAFF, 2013). No Brasil, a abordagem já foi aplicada à evasão com dados públicos do INEP (TEODORO; KAPPEL, 2020), e mapeamentos recentes confirmam o crescimento do tema (JESUS; GUSMÃO, 2024; NASCIMENTO et al., 2024).</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segundo as taxas de rendimento do INEP, vem caindo: 2,05% em 2022, 1,37% em 2023 e 0,96% em 2024 (BRASIL, 2024c). Essa leitura sugere que a situação está sob controle e, principalmente, não indica onde agir. O exame ano a ano mostra outro quadro. Em 2024, 2.043 alunos abandonaram o Ensino Médio na rede estadual; 67% das escolas não registraram nenhum abandono, e as 79 escolas mais críticas, 10% da rede, responderam por 76% de todos os alunos que saíram. O problema não está espalhado pela rede; ele se concentra em poucas escolas. A Figura 1 põe as duas leituras lado a lado.</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sobre onde alocar equipe, programa e visita acontece nesse mesmo nível.</w:t>
      </w:r>
    </w:p>
    <w:p w14:paraId="4E5B67FE">
      <w:pPr>
        <w:pStyle w:val="4"/>
        <w:numPr>
          <w:ilvl w:val="1"/>
          <w:numId w:val="1"/>
        </w:numPr>
      </w:pPr>
      <w:bookmarkStart w:id="3" w:name="_Toc26586"/>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 xml:space="preserve">Pergunta de previsão (P1): </w:t>
      </w:r>
      <w:r>
        <w:rPr>
          <w:rFonts w:ascii="Arial" w:hAnsi="Arial" w:eastAsia="Arial" w:cs="Arial"/>
        </w:rPr>
        <w:t>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(P2):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tanto as que perdem mais alunos do que o perfil indica, e merecem atenção imediata, quanto as que resistem apesar de um perfil desfavorável, e merecem ser estudadas.</w:t>
      </w:r>
    </w:p>
    <w:p w14:paraId="1E3A4383">
      <w:pPr>
        <w:pStyle w:val="4"/>
        <w:numPr>
          <w:ilvl w:val="1"/>
          <w:numId w:val="1"/>
        </w:numPr>
      </w:pPr>
      <w:bookmarkStart w:id="4" w:name="_Toc32683"/>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9018"/>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15928"/>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18478"/>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nas visões funcional, estrutural, comportamental e de implantação.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5545"/>
      <w:r>
        <w:rPr>
          <w:rFonts w:ascii="Arial" w:hAnsi="Arial" w:eastAsia="Arial" w:cs="Arial"/>
          <w:b w:val="0"/>
        </w:rPr>
        <w:t>Revisão Bibliográfica</w:t>
      </w:r>
      <w:bookmarkEnd w:id="8"/>
    </w:p>
    <w:p w14:paraId="02527F0D">
      <w:pPr>
        <w:pStyle w:val="3"/>
        <w:ind w:firstLine="0"/>
        <w:rPr>
          <w:color w:val="2E75B5"/>
        </w:rPr>
      </w:pPr>
      <w:r>
        <w:rPr>
          <w:rFonts w:ascii="Arial" w:hAnsi="Arial" w:eastAsia="Arial" w:cs="Arial"/>
          <w:b w:val="0"/>
        </w:rPr>
        <w:t>Este capítulo reúne a base conceitual e os trabalhos que sustentam o sistema proposto. A primeira seção estabelece os fundamentos teóricos em quatro frentes: o fenômeno da evasão escolar e seus determinantes, a mineração de dados educacionais como campo que aplica aprendizado de máquina a dados da educação, os modelos preditivos baseados em árvores e as técnicas de interpretabilidade empregadas no trabalho. A segunda seção examina pesquisas correlatas de predição de evasão e situa a contribuição desta monografia diante do que já foi publicado, sobretudo no contexto brasileiro.</w:t>
      </w:r>
    </w:p>
    <w:p w14:paraId="39C81C03">
      <w:pPr>
        <w:pStyle w:val="4"/>
        <w:numPr>
          <w:ilvl w:val="1"/>
          <w:numId w:val="1"/>
        </w:numPr>
      </w:pPr>
      <w:bookmarkStart w:id="9" w:name="_Toc13971"/>
      <w:r>
        <w:rPr>
          <w:rFonts w:ascii="Arial" w:hAnsi="Arial" w:eastAsia="Arial" w:cs="Arial"/>
          <w:b w:val="0"/>
        </w:rPr>
        <w:t>Fundamentação Teórica</w:t>
      </w:r>
      <w:bookmarkEnd w:id="9"/>
    </w:p>
    <w:p w14:paraId="0ED2592D">
      <w:pPr>
        <w:pStyle w:val="5"/>
        <w:numPr>
          <w:ilvl w:val="2"/>
          <w:numId w:val="1"/>
        </w:numPr>
      </w:pPr>
      <w:bookmarkStart w:id="10" w:name="_Toc5491"/>
      <w:r>
        <w:rPr>
          <w:rFonts w:ascii="Arial" w:hAnsi="Arial" w:eastAsia="Arial" w:cs="Arial"/>
          <w:b w:val="0"/>
        </w:rPr>
        <w:t>Evasão Escolar: Conceito e Determinantes</w:t>
      </w:r>
      <w:bookmarkEnd w:id="10"/>
    </w:p>
    <w:p w14:paraId="28E7AB52">
      <w:pPr>
        <w:pStyle w:val="3"/>
        <w:ind w:firstLine="0"/>
        <w:rPr>
          <w:color w:val="2E75B5"/>
        </w:rPr>
      </w:pPr>
      <w:r>
        <w:rPr>
          <w:rFonts w:ascii="Arial" w:hAnsi="Arial" w:eastAsia="Arial" w:cs="Arial"/>
          <w:b w:val="0"/>
        </w:rPr>
        <w:t>A evasão escolar é entendida na literatura menos como um evento isolado e mais como o desfecho de um processo prolongado de afastamento entre o estudante e a escola. Bowers, Sprott e Taff (2013) compararam 110 indicadores de risco de abandono reunidos em 36 estudos. Verificaram que os sinais mais precisos são os que acompanham a trajetória do estudante ao longo do tempo, e não os que registram um único momento. O fenômeno é também multinível: além das características do aluno, como desempenho, defasagem idade-série e condição socioeconômica, pesam atributos da própria escola e do território, dimensão que os mapeamentos brasileiros recentes registram entre os fatores indutores mais estudados (JESUS; GUSMÃO, 2024; NASCIMENTO et al., 2024).</w:t>
      </w:r>
    </w:p>
    <w:p w14:paraId="61255A77">
      <w:pPr>
        <w:pStyle w:val="3"/>
        <w:ind w:firstLine="0"/>
        <w:rPr>
          <w:color w:val="2E75B5"/>
        </w:rPr>
      </w:pPr>
      <w:r>
        <w:rPr>
          <w:rFonts w:ascii="Arial" w:hAnsi="Arial" w:eastAsia="Arial" w:cs="Arial"/>
          <w:b w:val="0"/>
        </w:rPr>
        <w:t>No sistema estatístico brasileiro, o Instituto Nacional de Estudos e Pesquisas Educacionais Anísio Teixeira (Inep) mede o abandono como a parcela de estudantes que, matriculados no início do ano letivo, deixam de frequentar a escola antes de seu término, distinguindo-o da evasão, associada à não rematrícula no ano seguinte (BRASIL, 2024c). Essa taxa de abandono é o indicador adotado neste trabalho por ser observável anualmente e comparável entre escolas. Para além da mensuração, a permanência escolar tem valor formativo e social: Freire (1987) situa a educação como prática de emancipação, o que confere ao enfrentamento da evasão um significado que ultrapassa o desempenho estatístico da rede.</w:t>
      </w:r>
    </w:p>
    <w:p w14:paraId="22509AB0">
      <w:pPr>
        <w:pStyle w:val="5"/>
        <w:numPr>
          <w:ilvl w:val="2"/>
          <w:numId w:val="1"/>
        </w:numPr>
      </w:pPr>
      <w:bookmarkStart w:id="11" w:name="_Toc23274"/>
      <w:r>
        <w:rPr>
          <w:rFonts w:ascii="Arial" w:hAnsi="Arial" w:eastAsia="Arial" w:cs="Arial"/>
          <w:b w:val="0"/>
        </w:rPr>
        <w:t>Mineração de Dados Educacionais</w:t>
      </w:r>
      <w:bookmarkEnd w:id="11"/>
    </w:p>
    <w:p w14:paraId="5513F21D">
      <w:pPr>
        <w:pStyle w:val="3"/>
        <w:ind w:firstLine="0"/>
        <w:rPr>
          <w:color w:val="2E75B5"/>
        </w:rPr>
      </w:pPr>
      <w:r>
        <w:rPr>
          <w:rFonts w:ascii="Arial" w:hAnsi="Arial" w:eastAsia="Arial" w:cs="Arial"/>
          <w:b w:val="0"/>
        </w:rPr>
        <w:t>A aplicação sistemática de técnicas computacionais a dados educacionais consolidou-se no campo da mineração de dados educacionais (educational data mining). Baker e Yacef (2009), ao revisarem o estado do campo, organizam seus métodos em cinco categorias: predição, agrupamento, mineração de relações, destilação de dados para julgamento humano e descoberta com modelos. Situam a predição entre as tarefas centrais da área — estimar um resultado futuro, como desempenho ou abandono, a partir de atributos observados. Um exemplo precursor é o de Cortez e Silva (2008), que empregaram árvores de decisão, florestas aleatórias, redes neurais e máquinas de vetores de suporte para prever o desempenho de estudantes do ensino secundário português.</w:t>
      </w:r>
    </w:p>
    <w:p w14:paraId="73A69EFE">
      <w:pPr>
        <w:pStyle w:val="5"/>
        <w:numPr>
          <w:ilvl w:val="2"/>
          <w:numId w:val="1"/>
        </w:numPr>
      </w:pPr>
      <w:bookmarkStart w:id="12" w:name="_Toc12139"/>
      <w:r>
        <w:rPr>
          <w:rFonts w:ascii="Arial" w:hAnsi="Arial" w:eastAsia="Arial" w:cs="Arial"/>
          <w:b w:val="0"/>
        </w:rPr>
        <w:t>Modelos Preditivos Baseados em Árvores</w:t>
      </w:r>
      <w:bookmarkEnd w:id="12"/>
    </w:p>
    <w:p w14:paraId="4330AD82">
      <w:pPr>
        <w:pStyle w:val="3"/>
        <w:ind w:firstLine="0"/>
        <w:rPr>
          <w:color w:val="2E75B5"/>
        </w:rPr>
      </w:pPr>
      <w:r>
        <w:rPr>
          <w:rFonts w:ascii="Arial" w:hAnsi="Arial" w:eastAsia="Arial" w:cs="Arial"/>
          <w:b w:val="0"/>
        </w:rPr>
        <w:t>Entre os métodos de aprendizado de máquina, os baseados em árvores de decisão destacam-se no tratamento de dados tabulares, como os deste trabalho. Breiman (2001) propôs as florestas aleatórias (random forests), que combinam um grande número de árvores treinadas sobre amostras e subconjuntos de atributos distintos, reduzindo a variância e a tendência ao sobreajuste de uma árvore isolada. Uma alternativa que costuma alcançar desempenho superior em dados tabulares é o gradiente impulsionado (gradient boosting), no qual as árvores são construídas em sequência, cada uma corrigindo os erros das anteriores. Chen e Guestrin (2016) apresentaram o XGBoost, uma implementação escalável e regularizada desse princípio, amplamente adotada por seu desempenho e eficiência, e escolhida como modelo principal desta monografia.</w:t>
      </w:r>
    </w:p>
    <w:p w14:paraId="3B05318F">
      <w:pPr>
        <w:pStyle w:val="5"/>
        <w:numPr>
          <w:ilvl w:val="2"/>
          <w:numId w:val="1"/>
        </w:numPr>
      </w:pPr>
      <w:bookmarkStart w:id="13" w:name="_Toc8619"/>
      <w:r>
        <w:rPr>
          <w:rFonts w:ascii="Arial" w:hAnsi="Arial" w:eastAsia="Arial" w:cs="Arial"/>
          <w:b w:val="0"/>
        </w:rPr>
        <w:t>Interpretabilidade dos Modelos</w:t>
      </w:r>
      <w:bookmarkEnd w:id="13"/>
    </w:p>
    <w:p w14:paraId="6975BC01">
      <w:pPr>
        <w:pStyle w:val="3"/>
        <w:ind w:firstLine="0"/>
        <w:rPr>
          <w:color w:val="2E75B5"/>
        </w:rPr>
      </w:pPr>
      <w:r>
        <w:rPr>
          <w:rFonts w:ascii="Arial" w:hAnsi="Arial" w:eastAsia="Arial" w:cs="Arial"/>
          <w:b w:val="0"/>
        </w:rPr>
        <w:t>Modelos de alto desempenho como as florestas e o gradiente impulsionado são frequentemente descritos como caixas-pretas, pois a relação entre suas entradas e saídas não é diretamente legível. Em decisões de interesse público, saber por que uma previsão foi feita é tão importante quanto a previsão. Duas técnicas tornaram-se referência para explicar previsões de qualquer modelo. O LIME, de Ribeiro, Singh e Guestrin (2016), aproxima localmente o modelo por um substituto interpretável; seus autores situam a explicação como condição para que se possa confiar tanto em uma previsão isolada quanto no modelo que a produz. O SHAP, de Lundberg e Lee (2017), atribui a cada atributo uma contribuição para a previsão com base na teoria dos valores de Shapley, o que dá explicações consistentes no nível individual e no global. Este trabalho adota o SHAP para explicar o risco previsto de cada escola.</w:t>
      </w:r>
    </w:p>
    <w:p w14:paraId="23F01F44">
      <w:pPr>
        <w:pStyle w:val="4"/>
        <w:numPr>
          <w:ilvl w:val="1"/>
          <w:numId w:val="1"/>
        </w:numPr>
      </w:pPr>
      <w:bookmarkStart w:id="14" w:name="_Toc8277"/>
      <w:r>
        <w:rPr>
          <w:rFonts w:ascii="Arial" w:hAnsi="Arial" w:eastAsia="Arial" w:cs="Arial"/>
          <w:b w:val="0"/>
        </w:rPr>
        <w:t>Trabalhos Relacionados</w:t>
      </w:r>
      <w:bookmarkEnd w:id="14"/>
    </w:p>
    <w:p w14:paraId="4413B595">
      <w:pPr>
        <w:pStyle w:val="3"/>
        <w:ind w:firstLine="0"/>
        <w:rPr>
          <w:color w:val="2E75B5"/>
        </w:rPr>
      </w:pPr>
      <w:r>
        <w:rPr>
          <w:rFonts w:ascii="Arial" w:hAnsi="Arial" w:eastAsia="Arial" w:cs="Arial"/>
          <w:b w:val="0"/>
        </w:rPr>
        <w:t>A predição de evasão por aprendizado de máquina é um tema ativo, inclusive no Brasil. Dois mapeamentos sistemáticos recentes ilustram a produção nacional: Jesus e Gusmão (2024) recuperaram 336 estudos e analisaram os 71 que atenderam aos critérios de inclusão, e Nascimento et al. (2024) revisaram as técnicas de mineração de dados aplicadas à evasão estudantil. Ambos apontam o predomínio das abordagens de classificação e a concentração de trabalhos no ensino superior. Teodoro e Kappel (2020) aplicaram cinco técnicas de aprendizado de máquina a dados públicos do Inep para prever o risco de evasão em instituições públicas de ensino superior — exemplo próximo desta monografia quanto à fonte de dados, ainda que voltado a outro nível de ensino.</w:t>
      </w:r>
    </w:p>
    <w:p w14:paraId="7F084826">
      <w:pPr>
        <w:pStyle w:val="3"/>
        <w:ind w:firstLine="0"/>
        <w:rPr>
          <w:color w:val="2E75B5"/>
        </w:rPr>
      </w:pPr>
      <w:r>
        <w:rPr>
          <w:rFonts w:ascii="Arial" w:hAnsi="Arial" w:eastAsia="Arial" w:cs="Arial"/>
          <w:b w:val="0"/>
        </w:rPr>
        <w:t>No campo dos sistemas de alerta precoce (early warning systems), o mesmo estudo de Bowers, Sprott e Taff (2013) mostrou, por análise ROC, que muitos indicadores usuais têm alta precisão mas baixa acurácia, e que os mais confiáveis se apoiam em desempenho e trajetória. Isso justifica avaliar um sistema de priorização não apenas pelo erro médio, mas pela capacidade de ordenar corretamente as escolas de maior risco — critério adotado neste trabalho. Resta uma lacuna: a maior parte da literatura opera no nível do estudante e no ensino superior. Esta monografia toma a escola como unidade de análise na educação básica, combinando dados públicos, um modelo de gradiente impulsionado e explicações por SHAP para apoiar a priorização de intervenções pela gestão estadual.</w:t>
      </w:r>
    </w:p>
    <w:p w14:paraId="1319101A">
      <w:pPr>
        <w:pStyle w:val="2"/>
        <w:numPr>
          <w:ilvl w:val="0"/>
          <w:numId w:val="1"/>
        </w:numPr>
        <w:rPr>
          <w:color w:val="000000"/>
        </w:rPr>
      </w:pPr>
      <w:bookmarkStart w:id="15" w:name="_Toc30212"/>
      <w:r>
        <w:rPr>
          <w:rFonts w:ascii="Arial" w:hAnsi="Arial" w:eastAsia="Arial" w:cs="Arial"/>
          <w:b w:val="0"/>
        </w:rPr>
        <w:t>Método de Desenvolvimento</w:t>
      </w:r>
      <w:bookmarkEnd w:id="15"/>
    </w:p>
    <w:p w14:paraId="39EFBDEF">
      <w:pPr>
        <w:pStyle w:val="4"/>
        <w:numPr>
          <w:ilvl w:val="1"/>
          <w:numId w:val="1"/>
        </w:numPr>
      </w:pPr>
      <w:bookmarkStart w:id="16" w:name="_Toc18978"/>
      <w:r>
        <w:rPr>
          <w:rFonts w:ascii="Arial" w:hAnsi="Arial" w:eastAsia="Arial" w:cs="Arial"/>
          <w:b w:val="0"/>
        </w:rPr>
        <w:t>Processo de Desenvolvimento</w:t>
      </w:r>
      <w:bookmarkEnd w:id="16"/>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um ciclo iterativo e incremental com o processo CRISP-DM (CHAPMAN et al., 2000), que organiza projetos desse tipo em seis etapas: entendimento do negócio, entendimento dos dados, preparação dos dados, construção do modelo, avaliação e implantação.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Duas decisões de organização atravessam todas as fases. A primeira separa o código de produção, formado pelos módulos reaproveitáveis do sistema, do código de análise, que apenas os consome para gerar relatórios e figuras. A segunda faz os dados percorrerem três estágios sucessivos, dos arquivos originais aos intermediários e destes ao conjunto final, sem que um estágio jamais sobrescreva o anterior. Juntas, sustentam duas propriedades exigidas do sistema: qualquer resultado pode ser refeito a partir dos arquivos originais, e cada módulo pode ser testado isoladamente. A estrutura concreta que materializa essas decisões está no Capítulo 5.</w:t>
      </w:r>
    </w:p>
    <w:p w14:paraId="4D605BAE">
      <w:pPr>
        <w:pStyle w:val="4"/>
        <w:numPr>
          <w:ilvl w:val="1"/>
          <w:numId w:val="1"/>
        </w:numPr>
      </w:pPr>
      <w:bookmarkStart w:id="17" w:name="_Toc12220"/>
      <w:r>
        <w:rPr>
          <w:rFonts w:ascii="Arial" w:hAnsi="Arial" w:eastAsia="Arial" w:cs="Arial"/>
          <w:b w:val="0"/>
        </w:rPr>
        <w:t>Fases Executadas</w:t>
      </w:r>
      <w:bookmarkEnd w:id="17"/>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r w14:paraId="4557F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EDB5FD5">
            <w:r>
              <w:rPr>
                <w:rFonts w:ascii="Arial" w:hAnsi="Arial" w:eastAsia="Arial" w:cs="Arial"/>
                <w:b w:val="0"/>
                <w:sz w:val="18"/>
              </w:rPr>
              <w:t>7. Geração da lista para novos anos</w:t>
            </w:r>
          </w:p>
        </w:tc>
        <w:tc>
          <w:tcPr>
            <w:tcW w:w="3456" w:type="dxa"/>
          </w:tcPr>
          <w:p w14:paraId="60460EFB">
            <w:r>
              <w:rPr>
                <w:rFonts w:ascii="Arial" w:hAnsi="Arial" w:eastAsia="Arial" w:cs="Arial"/>
                <w:b w:val="0"/>
                <w:sz w:val="18"/>
              </w:rPr>
              <w:t>Implantação</w:t>
            </w:r>
          </w:p>
        </w:tc>
        <w:tc>
          <w:tcPr>
            <w:tcW w:w="3263" w:type="dxa"/>
          </w:tcPr>
          <w:p w14:paraId="64351780">
            <w:r>
              <w:rPr>
                <w:rFonts w:ascii="Arial" w:hAnsi="Arial" w:eastAsia="Arial" w:cs="Arial"/>
                <w:b w:val="0"/>
                <w:sz w:val="18"/>
              </w:rPr>
              <w:t>Modo de predição para um ano ainda não observado; ranking de risco gravado em disco; validação das fontes do ano solicitado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D411C45">
      <w:pPr>
        <w:pStyle w:val="5"/>
        <w:numPr>
          <w:ilvl w:val="2"/>
          <w:numId w:val="1"/>
        </w:numPr>
      </w:pPr>
      <w:bookmarkStart w:id="18" w:name="_Toc29892"/>
      <w:r>
        <w:rPr>
          <w:rFonts w:ascii="Arial" w:hAnsi="Arial" w:eastAsia="Arial" w:cs="Arial"/>
          <w:b w:val="0"/>
        </w:rPr>
        <w:t>Planejamento e Decisões</w:t>
      </w:r>
      <w:bookmarkEnd w:id="18"/>
    </w:p>
    <w:p w14:paraId="2D034E36">
      <w:pPr>
        <w:pStyle w:val="3"/>
        <w:ind w:firstLine="0"/>
        <w:rPr>
          <w:color w:val="2E75B5"/>
        </w:rPr>
      </w:pPr>
      <w:r>
        <w:rPr>
          <w:rFonts w:ascii="Arial" w:hAnsi="Arial" w:eastAsia="Arial" w:cs="Arial"/>
          <w:b w:val="0"/>
        </w:rPr>
        <w:t>A fase inicial consolidou as decisões estruturantes. A escola, e não o aluno,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9" w:name="_Toc12568"/>
      <w:r>
        <w:rPr>
          <w:rFonts w:ascii="Arial" w:hAnsi="Arial" w:eastAsia="Arial" w:cs="Arial"/>
          <w:b w:val="0"/>
        </w:rPr>
        <w:t>Leitura e Padronização dos Dados do Censo</w:t>
      </w:r>
      <w:bookmarkEnd w:id="19"/>
    </w:p>
    <w:p w14:paraId="32CB1368">
      <w:pPr>
        <w:pStyle w:val="3"/>
        <w:ind w:firstLine="0"/>
        <w:rPr>
          <w:color w:val="2E75B5"/>
        </w:rPr>
      </w:pPr>
      <w:r>
        <w:rPr>
          <w:rFonts w:ascii="Arial" w:hAnsi="Arial" w:eastAsia="Arial" w:cs="Arial"/>
          <w:b w:val="0"/>
        </w:rPr>
        <w:t>A primeira fase de implementação construiu a leitura dos microdados do Censo Escolar (BRASIL, 2024a). Um módulo carrega os arquivos anuais com busca tolerante pelos nomes das colunas, já que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cobrindo abrangência municipal, porte das escolas, infraestrutura e oferta de tempo integral; seus resultados estão reunidos no Capítulo 6. Um deles já orienta a leitura do restante: o índice de infraestrutura é muito menor nas escolas rurais do que nas urbanas (0,52 contra 0,71). Essa fase também revelou problemas nos dados de origem que orientaram decisões posteriores: uma coluna de matrículas ausente em todo o ano de 2022, que foi descartada, e o código de região do estado, que muda de formato entre 2022 e 2023 e precisou ser convertido.</w:t>
      </w:r>
    </w:p>
    <w:p w14:paraId="40F8A41F">
      <w:pPr>
        <w:pStyle w:val="5"/>
        <w:numPr>
          <w:ilvl w:val="2"/>
          <w:numId w:val="1"/>
        </w:numPr>
      </w:pPr>
      <w:bookmarkStart w:id="20" w:name="_Toc21253"/>
      <w:r>
        <w:rPr>
          <w:rFonts w:ascii="Arial" w:hAnsi="Arial" w:eastAsia="Arial" w:cs="Arial"/>
          <w:b w:val="0"/>
        </w:rPr>
        <w:t>Integração dos Indicadores Complementares</w:t>
      </w:r>
      <w:bookmarkEnd w:id="20"/>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que reúnem aprovação, reprovação e abandono, no total e por série (BRASIL, 2024c), e quatro indicadores educacionais — o nível socioeconômico, a regularidade do corpo docente, a defasagem idade-série e a adequação da formação dos professores (BRASIL, 2024b).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nunca em zero.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21" w:name="_Toc15600"/>
      <w:r>
        <w:rPr>
          <w:rFonts w:ascii="Arial" w:hAnsi="Arial" w:eastAsia="Arial" w:cs="Arial"/>
          <w:b w:val="0"/>
        </w:rPr>
        <w:t>Seleção e Preparação das Características</w:t>
      </w:r>
      <w:bookmarkEnd w:id="21"/>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e o sistema usa 39. A redução é deliberada: com 1.586 observações, manter centenas de colunas faria o sistema decorar a base em vez de aprender o padrão, de modo que ele acertaria o passado e erraria o ano seguinte (HASTIE; TIBSHIRANI; FRIEDMAN, 2009).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alinhados às diretrizes de seleção de variáveis da literatura (GUYON; ELISSEEFF, 2003). Saiu, primeiro, a informação repetida: o número de turmas e o de professores acompanham quase perfeitamente o de matrículas, e manter os três apenas confunde o sistema. Saiu também o que é consequência aritmética de outra coluna, como a taxa de aprovação, que é o que sobra depois da reprovação e do abandono; fornecê-la seria entregar a resposta antecipadamente. Saíram, por fim, as colunas ausentes na maior parte das escolas, caso das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22" w:name="_Toc21195"/>
      <w:r>
        <w:rPr>
          <w:rFonts w:ascii="Arial" w:hAnsi="Arial" w:eastAsia="Arial" w:cs="Arial"/>
          <w:b w:val="0"/>
        </w:rPr>
        <w:t>Construção e Ajuste do Modelo de Previsão</w:t>
      </w:r>
      <w:bookmarkEnd w:id="22"/>
    </w:p>
    <w:p w14:paraId="234DC940">
      <w:pPr>
        <w:pStyle w:val="3"/>
        <w:ind w:firstLine="0"/>
        <w:rPr>
          <w:color w:val="2E75B5"/>
        </w:rPr>
      </w:pPr>
      <w:r>
        <w:rPr>
          <w:rFonts w:ascii="Arial" w:hAnsi="Arial" w:eastAsia="Arial" w:cs="Arial"/>
          <w:b w:val="0"/>
        </w:rPr>
        <w:t>A quarta fase construiu o modelo. Antes do modelo principal foram avaliados dois modelos de referência, um linear e um baseado em árvores de decisão,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Só com o preparo idêntico a comparação é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cada regra interna considera poucas condições por vez, o aprendizado avança em passos pequenos e a complexidade é penalizada. Em uma base de treino de menos de 800 observações, é essa contenção que impede o sistema de decorar as escolas que já viu, em vez de aprender o padrão que vale para as demais. O modelo final é gravado em disco e carregado pelo painel; treino e uso são etapas separadas.</w:t>
      </w:r>
    </w:p>
    <w:p w14:paraId="5B1CFE5A">
      <w:pPr>
        <w:pStyle w:val="5"/>
        <w:numPr>
          <w:ilvl w:val="2"/>
          <w:numId w:val="1"/>
        </w:numPr>
      </w:pPr>
      <w:bookmarkStart w:id="23" w:name="_Toc3667"/>
      <w:r>
        <w:rPr>
          <w:rFonts w:ascii="Arial" w:hAnsi="Arial" w:eastAsia="Arial" w:cs="Arial"/>
          <w:b w:val="0"/>
        </w:rPr>
        <w:t>Explicação das Previsões</w:t>
      </w:r>
      <w:bookmarkEnd w:id="23"/>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Um teste automatizado verifica a consistência da decomposição: a soma das contribuições precisa reproduzir a previsão.</w:t>
      </w:r>
    </w:p>
    <w:p w14:paraId="3DF04341">
      <w:pPr>
        <w:pStyle w:val="5"/>
        <w:numPr>
          <w:ilvl w:val="2"/>
          <w:numId w:val="1"/>
        </w:numPr>
      </w:pPr>
      <w:bookmarkStart w:id="24" w:name="_Toc15523"/>
      <w:r>
        <w:rPr>
          <w:rFonts w:ascii="Arial" w:hAnsi="Arial" w:eastAsia="Arial" w:cs="Arial"/>
          <w:b w:val="0"/>
        </w:rPr>
        <w:t>Construção do Painel de Priorização</w:t>
      </w:r>
      <w:bookmarkEnd w:id="24"/>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painel foi definido como ferramenta de apoio à decisão, que prioriza escolas e explica o porquê, e não como recomendação automática de ações. A razão é metodológica: o sistema identifica associações, não causas, e a literatura de validação alerta justamente para o risco de modelos que se apoiam em preditores não causais (ROBERTS et al., 2017). Sugerir a intervenção específica exigiria evidência de causalidade que os dados não sustentam. O painel mostra onde olhar primeiro e por quê; a decisão de como agir permanece com o gestor.</w:t>
      </w:r>
    </w:p>
    <w:p w14:paraId="211656A5">
      <w:pPr>
        <w:pStyle w:val="5"/>
        <w:numPr>
          <w:ilvl w:val="2"/>
          <w:numId w:val="1"/>
        </w:numPr>
      </w:pPr>
      <w:bookmarkStart w:id="25" w:name="_Toc18028"/>
      <w:r>
        <w:rPr>
          <w:rFonts w:ascii="Arial" w:hAnsi="Arial" w:eastAsia="Arial" w:cs="Arial"/>
          <w:b w:val="0"/>
        </w:rPr>
        <w:t>Geração da Lista para um Ano Ainda Não Observado</w:t>
      </w:r>
      <w:bookmarkEnd w:id="25"/>
    </w:p>
    <w:p w14:paraId="59F696E3">
      <w:pPr>
        <w:pStyle w:val="3"/>
        <w:ind w:firstLine="0"/>
        <w:rPr>
          <w:color w:val="2E75B5"/>
        </w:rPr>
      </w:pPr>
      <w:r>
        <w:rPr>
          <w:rFonts w:ascii="Arial" w:hAnsi="Arial" w:eastAsia="Arial" w:cs="Arial"/>
          <w:b w:val="0"/>
        </w:rPr>
        <w:t>A sétima fase tornou o sistema utilizável a cada nova edição dos dados. O modelo não é ajustado a um par de anos específico: ele aprende uma relação geral entre as características da escola em um ano e o abandono do ano seguinte. Essa propriedade permite gerar uma lista nova sempre que o INEP publica uma edição, e é o papel da terceira linha do Quadro 2, em que as características de 2024 servem para prever o abandono de 2025.</w:t>
      </w:r>
    </w:p>
    <w:p w14:paraId="5A598E48">
      <w:pPr>
        <w:pStyle w:val="3"/>
        <w:ind w:firstLine="0"/>
        <w:rPr>
          <w:color w:val="2E75B5"/>
        </w:rPr>
      </w:pPr>
      <w:r>
        <w:rPr>
          <w:rFonts w:ascii="Arial" w:hAnsi="Arial" w:eastAsia="Arial" w:cs="Arial"/>
          <w:b w:val="0"/>
        </w:rPr>
        <w:t>A dificuldade é que o conjunto usado no treino só admite escolas cujo abandono do ano seguinte já foi observado, e esse valor ainda não existe no ano que se quer prever. A construção das características ganhou então um modo que dispensa a exigência do alvo, mantendo todo o resto idêntico ao do treino: as mesmas colunas, na mesma ordem, com a mesma imputação de ausências. Antes de qualquer cálculo, o módulo verifica se as fontes do ano solicitado já foram carregadas; se faltar alguma, interrompe a execução com uma mensagem que diz qual ano importar. Falhar de forma explícita é preferível a produzir uma lista silenciosamente incompleta.</w:t>
      </w:r>
    </w:p>
    <w:p w14:paraId="2ACAC0B4">
      <w:pPr>
        <w:pStyle w:val="3"/>
        <w:ind w:firstLine="0"/>
        <w:rPr>
          <w:color w:val="2E75B5"/>
        </w:rPr>
      </w:pPr>
      <w:r>
        <w:rPr>
          <w:rFonts w:ascii="Arial" w:hAnsi="Arial" w:eastAsia="Arial" w:cs="Arial"/>
          <w:b w:val="0"/>
        </w:rPr>
        <w:t>Sobre esse conjunto, um módulo próprio carrega o modelo gravado em disco e devolve as escolas ordenadas por risco, com a posição de cada uma, o ano de referência e o ano previsto. O resultado é gravado em disco e pode ser acionado por uma única linha de comando, informando o ano de referência. Treino e uso permanecem separados: gerar a lista de um ano novo não exige treinar o modelo outra vez. Com os dados já disponíveis, a lista de 2025 foi gerada a partir das características de 2024 e cobre as 791 escolas da rede, com risco médio previsto de 0,85%. Essas previsões são inteiramente fora da amostra: o modelo nunca viu o ano que está prevendo.</w:t>
      </w:r>
    </w:p>
    <w:p w14:paraId="57A1D3F3">
      <w:pPr>
        <w:pStyle w:val="3"/>
        <w:ind w:firstLine="0"/>
        <w:rPr>
          <w:color w:val="2E75B5"/>
        </w:rPr>
      </w:pPr>
      <w:r>
        <w:rPr>
          <w:rFonts w:ascii="Arial" w:hAnsi="Arial" w:eastAsia="Arial" w:cs="Arial"/>
          <w:b w:val="0"/>
        </w:rPr>
        <w:t>Quatro verificações automatizadas protegem esse caminho, porque um erro aqui não geraria sintoma: as características de predição têm de ser idênticas às do treino, o conjunto tem de conter apenas o ano solicitado, não pode restar nenhuma ausência e a lista devolvida tem de estar íntegra. Uma quinta verifica que o pedido de um ano sem dados falha com a mensagem correta.</w:t>
      </w:r>
    </w:p>
    <w:p w14:paraId="7820F8BC">
      <w:pPr>
        <w:pStyle w:val="4"/>
        <w:numPr>
          <w:ilvl w:val="1"/>
          <w:numId w:val="1"/>
        </w:numPr>
      </w:pPr>
      <w:bookmarkStart w:id="26" w:name="_Toc1170"/>
      <w:r>
        <w:rPr>
          <w:rFonts w:ascii="Arial" w:hAnsi="Arial" w:eastAsia="Arial" w:cs="Arial"/>
          <w:b w:val="0"/>
        </w:rPr>
        <w:t>Práticas de Engenharia de Software</w:t>
      </w:r>
      <w:bookmarkEnd w:id="26"/>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138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a ordenação da lista e a equivalência entre as características de treino e as de predição;</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7" w:name="_Toc10895"/>
      <w:r>
        <w:rPr>
          <w:rFonts w:ascii="Arial" w:hAnsi="Arial" w:eastAsia="Arial" w:cs="Arial"/>
          <w:b w:val="0"/>
        </w:rPr>
        <w:t>Arquitetura do Software</w:t>
      </w:r>
      <w:bookmarkEnd w:id="27"/>
    </w:p>
    <w:p w14:paraId="527CA8A8">
      <w:pPr>
        <w:pStyle w:val="4"/>
        <w:numPr>
          <w:ilvl w:val="1"/>
          <w:numId w:val="1"/>
        </w:numPr>
      </w:pPr>
      <w:bookmarkStart w:id="28" w:name="_Toc32376"/>
      <w:r>
        <w:rPr>
          <w:rFonts w:ascii="Arial" w:hAnsi="Arial" w:eastAsia="Arial" w:cs="Arial"/>
          <w:b w:val="0"/>
        </w:rPr>
        <w:t>Aspectos Funcionais e Não-Funcionais</w:t>
      </w:r>
      <w:bookmarkEnd w:id="28"/>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 A Figura 2 reúne esses atores e casos de uso.</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Cinco requisitos não funcionais orientaram o projeto. A reprodutibilidade exige que qualquer resultado possa ser reconstruído a partir dos dados originais, que permanecem imutáveis. A explicabilidade obriga o sistema a justificar cada indicação de prioridade, o que restringe a escolha às soluções cujas previsões possam ser decompostas e apresentadas ao gestor. A ausência de vazamento pede que a validação respeite a ordem do tempo e a proximidade geográfica: o sistema nunca pode ser avaliado com informação que não teria no momento do uso, sob pena de produzir números otimistas e falsos. A testabilidade cobre cada módulo com testes automatizados. E a portabilidade requer que a aplicação seja empacotável para implantação, sem depender da máquina de desenvolvimento.</w:t>
      </w:r>
    </w:p>
    <w:p w14:paraId="64DEEBC7">
      <w:pPr>
        <w:pStyle w:val="4"/>
        <w:numPr>
          <w:ilvl w:val="1"/>
          <w:numId w:val="1"/>
        </w:numPr>
      </w:pPr>
      <w:bookmarkStart w:id="29" w:name="_Toc15245"/>
      <w:r>
        <w:rPr>
          <w:rFonts w:ascii="Arial" w:hAnsi="Arial" w:eastAsia="Arial" w:cs="Arial"/>
          <w:b w:val="0"/>
        </w:rPr>
        <w:t>Visão Estrutural</w:t>
      </w:r>
      <w:bookmarkEnd w:id="29"/>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e sem ciclos, ou seja, nenhuma camada depende, direta ou indiretamente, de outra que dependa dela: a camada de características depende da camada de dados; a de modelo, da de características; a do painel, da de modelo. A configuração é transversal a todas. Os scripts de análise e os testes consomem as camadas de produção, e nenhuma camada de produção depende deles. É essa orientação acíclica, representada na Figura 3,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O acoplamento é fraco: nenhum componente precisa que o outro esteja em execução, o que permite retomar o fluxo a partir de qualquer etapa. A Figura 4 mostra esses componentes e o caminho percorrido pelos dados.</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30" w:name="_Toc31374"/>
      <w:r>
        <w:rPr>
          <w:rFonts w:ascii="Arial" w:hAnsi="Arial" w:eastAsia="Arial" w:cs="Arial"/>
          <w:b w:val="0"/>
        </w:rPr>
        <w:t>Visão Comportamental</w:t>
      </w:r>
      <w:bookmarkEnd w:id="30"/>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 A Figura 5 detalha essa sequência.</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31" w:name="_Toc14527"/>
      <w:r>
        <w:rPr>
          <w:rFonts w:ascii="Arial" w:hAnsi="Arial" w:eastAsia="Arial" w:cs="Arial"/>
          <w:b w:val="0"/>
        </w:rPr>
        <w:t>Visão de Implementação e Implantação</w:t>
      </w:r>
      <w:bookmarkEnd w:id="31"/>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 A Figura 6 representa esse arranjo.</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32" w:name="_Toc12991"/>
      <w:r>
        <w:rPr>
          <w:rFonts w:ascii="Arial" w:hAnsi="Arial" w:eastAsia="Arial" w:cs="Arial"/>
          <w:b w:val="0"/>
        </w:rPr>
        <w:t>Tecnologias e Aspectos de Implementação</w:t>
      </w:r>
      <w:bookmarkEnd w:id="32"/>
    </w:p>
    <w:p w14:paraId="6E080A24">
      <w:pPr>
        <w:pStyle w:val="4"/>
        <w:numPr>
          <w:ilvl w:val="1"/>
          <w:numId w:val="1"/>
        </w:numPr>
      </w:pPr>
      <w:bookmarkStart w:id="33" w:name="_Toc29809"/>
      <w:r>
        <w:rPr>
          <w:rFonts w:ascii="Arial" w:hAnsi="Arial" w:eastAsia="Arial" w:cs="Arial"/>
          <w:b w:val="0"/>
        </w:rPr>
        <w:t>Soluções de Tecnologia</w:t>
      </w:r>
      <w:bookmarkEnd w:id="33"/>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(McKINNEY, 2010) e NumPy (HARRIS et al., 2020); a leitura das planilhas do INEP usa o openpyxl.</w:t>
      </w:r>
    </w:p>
    <w:p w14:paraId="1615CA9A">
      <w:pPr>
        <w:pStyle w:val="3"/>
        <w:ind w:firstLine="0"/>
        <w:rPr>
          <w:color w:val="2E75B5"/>
        </w:rPr>
      </w:pPr>
      <w:r>
        <w:rPr>
          <w:rFonts w:ascii="Arial" w:hAnsi="Arial" w:eastAsia="Arial" w:cs="Arial"/>
          <w:b w:val="0"/>
        </w:rPr>
        <w:t>A construção do modelo usa o scikit-learn (PEDREGOSA et al., 2011) e o XGBoost (CHEN; GUESTRIN, 2016). Do scikit-learn vêm o preparo das características, os modelos de referência, a busca de configuração e os protocolos de validação; do XGBoost,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(LUNDBERG; LEE, 2017),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34" w:name="_Toc30709"/>
      <w:r>
        <w:rPr>
          <w:rFonts w:ascii="Arial" w:hAnsi="Arial" w:eastAsia="Arial" w:cs="Arial"/>
          <w:b w:val="0"/>
        </w:rPr>
        <w:t>Aspectos de Implementação</w:t>
      </w:r>
      <w:bookmarkEnd w:id="34"/>
    </w:p>
    <w:p w14:paraId="1D664FD8">
      <w:pPr>
        <w:pStyle w:val="5"/>
        <w:numPr>
          <w:ilvl w:val="2"/>
          <w:numId w:val="1"/>
        </w:numPr>
      </w:pPr>
      <w:bookmarkStart w:id="35" w:name="_Toc19598"/>
      <w:r>
        <w:rPr>
          <w:rFonts w:ascii="Arial" w:hAnsi="Arial" w:eastAsia="Arial" w:cs="Arial"/>
          <w:b w:val="0"/>
        </w:rPr>
        <w:t>Estrutura do Código</w:t>
      </w:r>
      <w:bookmarkEnd w:id="35"/>
    </w:p>
    <w:p w14:paraId="5F719458">
      <w:pPr>
        <w:pStyle w:val="3"/>
        <w:ind w:firstLine="0"/>
        <w:rPr>
          <w:color w:val="2E75B5"/>
        </w:rPr>
      </w:pPr>
      <w:r>
        <w:rPr>
          <w:rFonts w:ascii="Arial" w:hAnsi="Arial" w:eastAsia="Arial" w:cs="Arial"/>
          <w:b w:val="0"/>
        </w:rPr>
        <w:t>A separação entre código de produção e código de análise, estabelecida no Capítulo 3, materializa-se em diretórios.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numerados na ordem em que devem ser executados, ficam em notebooks; a aplicação do painel, em app; e os testes, em tests.</w:t>
      </w:r>
    </w:p>
    <w:p w14:paraId="0DB58165">
      <w:pPr>
        <w:pStyle w:val="5"/>
        <w:numPr>
          <w:ilvl w:val="2"/>
          <w:numId w:val="1"/>
        </w:numPr>
      </w:pPr>
      <w:bookmarkStart w:id="36" w:name="_Toc18056"/>
      <w:r>
        <w:rPr>
          <w:rFonts w:ascii="Arial" w:hAnsi="Arial" w:eastAsia="Arial" w:cs="Arial"/>
          <w:b w:val="0"/>
        </w:rPr>
        <w:t>Fluxo dos Dados</w:t>
      </w:r>
      <w:bookmarkEnd w:id="36"/>
    </w:p>
    <w:p w14:paraId="067CFA9E">
      <w:pPr>
        <w:pStyle w:val="3"/>
        <w:ind w:firstLine="0"/>
        <w:rPr>
          <w:color w:val="2E75B5"/>
        </w:rPr>
      </w:pPr>
      <w:r>
        <w:rPr>
          <w:rFonts w:ascii="Arial" w:hAnsi="Arial" w:eastAsia="Arial" w:cs="Arial"/>
          <w:b w:val="0"/>
        </w:rPr>
        <w:t>Os três estágios de dados também correspondem a diretórios distintos: os arquivos originais do INEP, que permanecem imutáveis; os arquivos intermediários, um por fonte, já padronizados por escola e ano; e o conjunto final usado na previsão. Cada etapa lê o artefato da etapa anterior e grava o seu em disco, no formato Parquet. Como nenhuma etapa aciona a seguinte diretamente, é possível reexecutar apenas o trecho afetado por uma correção, sem repetir o fluxo inteiro.</w:t>
      </w:r>
    </w:p>
    <w:p w14:paraId="79BA5652">
      <w:pPr>
        <w:pStyle w:val="5"/>
        <w:numPr>
          <w:ilvl w:val="2"/>
          <w:numId w:val="1"/>
        </w:numPr>
      </w:pPr>
      <w:bookmarkStart w:id="37" w:name="_Toc29114"/>
      <w:r>
        <w:rPr>
          <w:rFonts w:ascii="Arial" w:hAnsi="Arial" w:eastAsia="Arial" w:cs="Arial"/>
          <w:b w:val="0"/>
        </w:rPr>
        <w:t>Painel Interativo</w:t>
      </w:r>
      <w:bookmarkEnd w:id="37"/>
    </w:p>
    <w:p w14:paraId="314579C9">
      <w:pPr>
        <w:pStyle w:val="3"/>
        <w:ind w:firstLine="0"/>
        <w:rPr>
          <w:color w:val="2E75B5"/>
        </w:rPr>
      </w:pPr>
      <w:r>
        <w:rPr>
          <w:rFonts w:ascii="Arial" w:hAnsi="Arial" w:eastAsia="Arial" w:cs="Arial"/>
          <w:b w:val="0"/>
        </w:rPr>
        <w:t>No painel, essa mesma disciplina se traduz em três partes. A camada de serviço concentra a regra de negócio: lista de risco, explicação por escola e diagnóstico. Um módulo à parte traduz os nomes técnicos das colunas para a linguagem do gestor. A interface apenas consome essas duas partes. O modelo e o conjunto de características são carregados uma única vez, quando a aplicação sobe, e as explicações de todas as escolas são calculadas nesse momento, de modo que a navegação entre filtros e abas não repete o cálculo. Como a regra vive fora da tela, ela é testada sem que a interface precise ser executada.</w:t>
      </w:r>
    </w:p>
    <w:p w14:paraId="7F290BC8">
      <w:pPr>
        <w:pStyle w:val="5"/>
        <w:numPr>
          <w:ilvl w:val="2"/>
          <w:numId w:val="1"/>
        </w:numPr>
      </w:pPr>
      <w:bookmarkStart w:id="38" w:name="_Toc25461"/>
      <w:r>
        <w:rPr>
          <w:rFonts w:ascii="Arial" w:hAnsi="Arial" w:eastAsia="Arial" w:cs="Arial"/>
          <w:b w:val="0"/>
        </w:rPr>
        <w:t>Testes Automatizados</w:t>
      </w:r>
      <w:bookmarkEnd w:id="38"/>
    </w:p>
    <w:p w14:paraId="79F7FAEC">
      <w:pPr>
        <w:pStyle w:val="3"/>
        <w:ind w:firstLine="0"/>
        <w:rPr>
          <w:color w:val="2E75B5"/>
        </w:rPr>
      </w:pPr>
      <w:r>
        <w:rPr>
          <w:rFonts w:ascii="Arial" w:hAnsi="Arial" w:eastAsia="Arial" w:cs="Arial"/>
          <w:b w:val="0"/>
        </w:rPr>
        <w:t>A suíte é executada pelo pytest e organizada em um módulo por camada. Os testes constroem os próprios dados sintéticos, pequenos e escritos no corpo de cada caso, de modo que nenhuma execução depende dos microdados do INEP — que são grandes e podem não estar disponíveis em outra máquina. Os riscos cobertos por cada módulo estão detalhados no Capítulo 6.</w:t>
      </w:r>
    </w:p>
    <w:p w14:paraId="5CDC61E9">
      <w:pPr>
        <w:pStyle w:val="5"/>
        <w:numPr>
          <w:ilvl w:val="2"/>
          <w:numId w:val="1"/>
        </w:numPr>
      </w:pPr>
      <w:bookmarkStart w:id="39" w:name="_Toc14403"/>
      <w:r>
        <w:rPr>
          <w:rFonts w:ascii="Arial" w:hAnsi="Arial" w:eastAsia="Arial" w:cs="Arial"/>
          <w:b w:val="0"/>
        </w:rPr>
        <w:t>Gerenciamento de Dependências</w:t>
      </w:r>
      <w:bookmarkEnd w:id="39"/>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atendendo ao requisito de reprodutibilidade estabelecido na arquitetura.</w:t>
      </w:r>
    </w:p>
    <w:p w14:paraId="7A9D3065">
      <w:pPr>
        <w:pStyle w:val="2"/>
        <w:numPr>
          <w:ilvl w:val="0"/>
          <w:numId w:val="1"/>
        </w:numPr>
        <w:rPr>
          <w:color w:val="000000"/>
        </w:rPr>
      </w:pPr>
      <w:bookmarkStart w:id="40" w:name="_Toc28682"/>
      <w:r>
        <w:rPr>
          <w:rFonts w:ascii="Arial" w:hAnsi="Arial" w:eastAsia="Arial" w:cs="Arial"/>
          <w:b w:val="0"/>
        </w:rPr>
        <w:t>Testes e Análise dos Resultados</w:t>
      </w:r>
      <w:bookmarkEnd w:id="40"/>
    </w:p>
    <w:p w14:paraId="5264F51A">
      <w:pPr>
        <w:pStyle w:val="4"/>
        <w:numPr>
          <w:ilvl w:val="1"/>
          <w:numId w:val="1"/>
        </w:numPr>
      </w:pPr>
      <w:bookmarkStart w:id="41" w:name="_Toc18830"/>
      <w:r>
        <w:rPr>
          <w:rFonts w:ascii="Arial" w:hAnsi="Arial" w:eastAsia="Arial" w:cs="Arial"/>
          <w:b w:val="0"/>
        </w:rPr>
        <w:t>Testes de Software</w:t>
      </w:r>
      <w:bookmarkEnd w:id="41"/>
    </w:p>
    <w:p w14:paraId="6D115D9C">
      <w:pPr>
        <w:pStyle w:val="3"/>
        <w:ind w:firstLine="0"/>
        <w:rPr>
          <w:color w:val="2E75B5"/>
        </w:rPr>
      </w:pPr>
      <w:r>
        <w:rPr>
          <w:rFonts w:ascii="Arial" w:hAnsi="Arial" w:eastAsia="Arial" w:cs="Arial"/>
          <w:b w:val="0"/>
        </w:rPr>
        <w:t>A corretude do sistema é garantida por uma suíte de 138 testes automatizados, que roda por inteiro a cada alteração; todos passam na última execução. Mais do que a quantidade, importa o tipo de risco que eles cobrem. Em sistemas que aprendem a partir de dados, os erros de preparação em geral não interrompem a execução: produzem, em silêncio, um modelo inválido que continua respondendo normalmente, risco já documentado como característico de sistemas de aprendizado de máquina em produção (SCULLEY et al., 2015). Um deslocamento de um ano no casamento entre as características e o abandono, por exemplo, destruiria todo o valor preditivo sem gerar qualquer sintoma. Por isso os testes se concentram nos riscos que comprometeriam a validade dos resultados. O Quadro 4 relaciona os principais módulos de teste aos riscos que cada um cobre.</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r w14:paraId="1226E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CFCCD04">
            <w:r>
              <w:rPr>
                <w:rFonts w:ascii="Arial" w:hAnsi="Arial" w:eastAsia="Arial" w:cs="Arial"/>
                <w:b w:val="0"/>
                <w:sz w:val="18"/>
              </w:rPr>
              <w:t>test_predicao.py</w:t>
            </w:r>
          </w:p>
        </w:tc>
        <w:tc>
          <w:tcPr>
            <w:tcW w:w="6520" w:type="dxa"/>
          </w:tcPr>
          <w:p w14:paraId="1D3BE26E">
            <w:r>
              <w:rPr>
                <w:rFonts w:ascii="Arial" w:hAnsi="Arial" w:eastAsia="Arial" w:cs="Arial"/>
                <w:b w:val="0"/>
                <w:sz w:val="18"/>
              </w:rPr>
              <w:t>Geração da lista para um ano ainda não observado: características idênticas às do treino, ausência de lacunas e falha explícita quando o ano não tem dados</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42" w:name="_Toc4133"/>
      <w:r>
        <w:rPr>
          <w:rFonts w:ascii="Arial" w:hAnsi="Arial" w:eastAsia="Arial" w:cs="Arial"/>
          <w:b w:val="0"/>
        </w:rPr>
        <w:t>Caracterização dos Dados e Análise das Características Usadas</w:t>
      </w:r>
      <w:bookmarkEnd w:id="42"/>
    </w:p>
    <w:p w14:paraId="4D464269">
      <w:pPr>
        <w:pStyle w:val="5"/>
        <w:numPr>
          <w:ilvl w:val="2"/>
          <w:numId w:val="1"/>
        </w:numPr>
      </w:pPr>
      <w:bookmarkStart w:id="43" w:name="_Toc488"/>
      <w:r>
        <w:rPr>
          <w:rFonts w:ascii="Arial" w:hAnsi="Arial" w:eastAsia="Arial" w:cs="Arial"/>
          <w:b w:val="0"/>
        </w:rPr>
        <w:t>Base Construída</w:t>
      </w:r>
      <w:bookmarkEnd w:id="43"/>
    </w:p>
    <w:p w14:paraId="4E588503">
      <w:pPr>
        <w:pStyle w:val="3"/>
        <w:ind w:firstLine="0"/>
        <w:rPr>
          <w:color w:val="2E75B5"/>
        </w:rPr>
      </w:pPr>
      <w:r>
        <w:rPr>
          <w:rFonts w:ascii="Arial" w:hAnsi="Arial" w:eastAsia="Arial" w:cs="Arial"/>
          <w:b w:val="0"/>
        </w:rPr>
        <w:t>A base histórica reúne 2.392 registros de 806 escolas, 97,4% delas presentes nos três anos,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5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D9B71D0">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2022 para 2023 e 2023 para 2024, de modo que as 791 linhas de 2024 não servem de origem, por não haver 2025 a observar. Essas linhas não se perdem: são o alvo das linhas de 2023. Descontadas,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44" w:name="_Toc24378"/>
      <w:r>
        <w:rPr>
          <w:rFonts w:ascii="Arial" w:hAnsi="Arial" w:eastAsia="Arial" w:cs="Arial"/>
          <w:b w:val="0"/>
        </w:rPr>
        <w:t>O Que o Sistema Prevê</w:t>
      </w:r>
      <w:bookmarkEnd w:id="44"/>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Em 68% das observações a taxa é exatamente zero, ou seja, a maioria das escolas não registra abandono no ano. E o risco é muito desigual entre grupos: em 2024 a taxa média foi de 0,6% nas 679 escolas urbanas (desvio-padrão de 1,8 ponto), 0,9% nas 70 rurais (desvio-padrão de 1,8) e 6,3% nas 42 escolas indígenas e quilombolas (desvio-padrão de 8,9). O desvio elevado neste último grupo mostra que a média alta não é uniforme: convivem escolas sem abandono algum e escolas com taxas acima de 30%.</w:t>
      </w:r>
    </w:p>
    <w:p w14:paraId="19559515">
      <w:pPr>
        <w:pStyle w:val="3"/>
        <w:ind w:firstLine="0"/>
        <w:rPr>
          <w:color w:val="2E75B5"/>
        </w:rPr>
      </w:pPr>
      <w:r>
        <w:rPr>
          <w:rFonts w:ascii="Arial" w:hAnsi="Arial" w:eastAsia="Arial" w:cs="Arial"/>
          <w:b w:val="0"/>
        </w:rPr>
        <w:t>A Figura 7 resume esses dois traços. No painel da esquerda, as observações de escola e ano estão distribuídas por faixa de abandono: a barra “nenhum abandono” concentra 68% dos casos, e as faixas seguintes, de baixo a crítico, encolhem rapidamente, de modo que apenas 2% das observações superam 10% de abandono. No painel da direita está a taxa média de 2024 por grupo de localização, que torna visível a desigualdade descrita acima: as barras urbana e rural ficam próximas de zero, enquanto a das escolas indígenas e quilombolas se destaca, mais de dez vezes acima. Juntos, os dois painéis explicam por que o valor médio da taxa diz pouco e por que o esforço do sistema se volta para ordenar as escolas por risco.</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79745" cy="1981291"/>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45" w:name="_Toc26082"/>
      <w:r>
        <w:rPr>
          <w:rFonts w:ascii="Arial" w:hAnsi="Arial" w:eastAsia="Arial" w:cs="Arial"/>
          <w:b w:val="0"/>
        </w:rPr>
        <w:t>Análise Estatística das Características Contínuas</w:t>
      </w:r>
      <w:bookmarkEnd w:id="45"/>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As taxas de rendimento e os quatro indicadores educacionais que aparecem no quadro merecem definição. As taxas de abandono e de reprovação do ano anterior são percentuais de matrículas publicados pelo INEP, apresentados para o Ensino Médio como um todo e para cada série.</w:t>
      </w:r>
    </w:p>
    <w:p w14:paraId="14A85065">
      <w:pPr>
        <w:pStyle w:val="3"/>
        <w:ind w:firstLine="0"/>
        <w:rPr>
          <w:color w:val="2E75B5"/>
        </w:rPr>
      </w:pPr>
      <w:r>
        <w:rPr>
          <w:rFonts w:ascii="Arial" w:hAnsi="Arial" w:eastAsia="Arial" w:cs="Arial"/>
          <w:b w:val="0"/>
        </w:rPr>
        <w:t>A distorção idade-série, referida no restante do texto e nos quadros do Apêndice A também como defasagem idade-série, é o percentual de alunos com dois anos ou mais acima da idade esperada para a série que cursam.</w:t>
      </w:r>
    </w:p>
    <w:p w14:paraId="7841EB8B">
      <w:pPr>
        <w:pStyle w:val="3"/>
        <w:ind w:firstLine="0"/>
        <w:rPr>
          <w:color w:val="2E75B5"/>
        </w:rPr>
      </w:pPr>
      <w:r>
        <w:rPr>
          <w:rFonts w:ascii="Arial" w:hAnsi="Arial" w:eastAsia="Arial" w:cs="Arial"/>
          <w:b w:val="0"/>
        </w:rPr>
        <w:t>O nível socioeconômico (INSE) é uma escala contínua calculada pelo INEP a partir do perfil das famílias dos alunos (BRASIL, 2024b): escolaridade dos pais, renda e bens do domicílio. Valores maiores indicam comunidades mais favorecidas. Entre as 69.820 escolas brasileiras avaliadas em 2021 a escala vai de 2,45 a 6,85; nesta rede, varia de 2,97 a 6,10, com média de 4,46.</w:t>
      </w:r>
    </w:p>
    <w:p w14:paraId="251A6EAD">
      <w:pPr>
        <w:pStyle w:val="3"/>
        <w:ind w:firstLine="0"/>
        <w:rPr>
          <w:color w:val="2E75B5"/>
        </w:rPr>
      </w:pPr>
      <w:r>
        <w:rPr>
          <w:rFonts w:ascii="Arial" w:hAnsi="Arial" w:eastAsia="Arial" w:cs="Arial"/>
          <w:b w:val="0"/>
        </w:rPr>
        <w:t>A adequação da formação docente reparte os professores da escola em cinco grupos que somam 100%. O Grupo 1 reúne os professores com licenciatura na própria disciplina que lecionam, a formação considerada ideal; o Grupo 3, os de licenciatura em área diferente; e o Grupo 5, os sem ensino superior. Apenas esses três entram no sistema, por resumirem os dois extremos e o caso intermediário mais comum.</w:t>
      </w:r>
    </w:p>
    <w:p w14:paraId="49815EC8">
      <w:pPr>
        <w:pStyle w:val="3"/>
        <w:ind w:firstLine="0"/>
        <w:rPr>
          <w:color w:val="2E75B5"/>
        </w:rPr>
      </w:pPr>
      <w:r>
        <w:rPr>
          <w:rFonts w:ascii="Arial" w:hAnsi="Arial" w:eastAsia="Arial" w:cs="Arial"/>
          <w:b w:val="0"/>
        </w:rPr>
        <w:t>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e o desvio-padrão diz o quanto as escolas se afastam dele: quanto maior, mais desigual é a rede naquela característica. Mínimo, mediana e máximo descrevem a distribuição. A mediana divide a rede ao meio; quando fica muito abaixo da média, indica que poucas escolas com valores altos puxam o resultado para cima. A última coluna resume a relação de cada característica com o abandono do ano seguinte, num indicador que varia de −1 a +1. Positivo significa que a característica acompanha o aumento do abandono; negativo, que acompanha a redução. Quanto mais distante de zero, mais forte a associação. Os asteriscos indicam a confiança do resultado (* 95%, ** 99%, *** 99,9%); sem asterisco, a relação não se distingue do acaso. As unidades variam conforme a linha: taxas e proporções estão em pontos percentuais, e as demais seguem as escalas descritas acima. O porte é a única característica transformada — entra como logaritmo do número de matrículas, para que escolas muito grandes não dominem a comparação. Por isso a mediana de 5,87 corresponde a cerca de 350 matrículas.</w:t>
      </w: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17,8% do conjunto,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As características de fluxo concentram-se em zero: metade das escolas não registrou abandono no ano anterior, e a média de 1,72% é puxada por poucas escolas com valores muito altos, até 43,6%. O tempo integral comporta-se de forma quase binária, com a rede dividida entre escolas totalmente integrais e escolas sem nenhuma matrícula nessa modalidade, e pouca coisa no meio. Já a defasagem idade-série distribui-se de maneira equilibrada, em torno de 23%, o que a torna especialmente útil para diferenciar escolas. A Figura 8 reúne a distribuição das 23 características em um único painel.</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040"/>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59450" cy="6416568"/>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6" w:name="_Toc4796"/>
      <w:r>
        <w:rPr>
          <w:rFonts w:ascii="Arial" w:hAnsi="Arial" w:eastAsia="Arial" w:cs="Arial"/>
          <w:b w:val="0"/>
        </w:rPr>
        <w:t>Análise Estatística das Características de Sim ou Não</w:t>
      </w:r>
      <w:bookmarkEnd w:id="46"/>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está na localização, não na infraestrutura.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entre as escolas que têm o atributo e as que não têm, e por isso se completam: somadas, dão o total da rede. As duas colunas seguintes são de outra natureza, pois cada uma traz a taxa média de abandono no ano seguinte dentro de um desses grupos. São duas médias do mesmo indicador, medidas em conjuntos diferentes de escolas, e não há razão para que se somem a 100%;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 A Figura 9 apresenta a mesma comparação em forma gráfica.</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7" w:name="_Toc13227"/>
      <w:r>
        <w:rPr>
          <w:rFonts w:ascii="Arial" w:hAnsi="Arial" w:eastAsia="Arial" w:cs="Arial"/>
          <w:b w:val="0"/>
        </w:rPr>
        <w:t>A Região do Estado</w:t>
      </w:r>
      <w:bookmarkEnd w:id="47"/>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 O Quadro 8 e a Figura 10 detalham o peso de cada região no conjunto de dados e o abandono médio observado em cada uma.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79745" cy="1983969"/>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8" w:name="_Toc23709"/>
      <w:r>
        <w:rPr>
          <w:rFonts w:ascii="Arial" w:hAnsi="Arial" w:eastAsia="Arial" w:cs="Arial"/>
          <w:b w:val="0"/>
        </w:rPr>
        <w:t>Quais Características Têm Valor para a Previsão</w:t>
      </w:r>
      <w:bookmarkEnd w:id="48"/>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não se separaram do acaso: Porte (nº de matrículas), Adequação da formação docente — Grupo 3, Banda larga, Esgoto em rede pública, Água potável, Internet, Auditório e Sala de leitura.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 A Figura 11 ordena todas as características numéricas por essa relação.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2565"/>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59655" cy="5282590"/>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mais forte, de longe, é o histórico recente da própria escola: abandono e reprovação do ano anterior. Vem depois o perfil dos alunos, com a defasagem idade-série e o nível socioeconômico. Por último,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o esforço docente e a complexidade de gestão, foram submetidos ao mesmo critério e não entraram no sistema. O esforço docente tem relação fraca com o abandono; a complexidade de gestão repete a informação já trazida pela defasagem idade-série. Uma comparação controlada, com e sem os dois, confirmou a ausência de ganho: a qualidade da ordenação ficou praticamente idêntica e o erro médio piorou ligeiramente. Contratar um segundo funcionário para o serviço que o primeiro já faz não aumenta a produção. Ambos permanecem no projeto apenas como caracterização descritiva da rede.</w:t>
      </w:r>
    </w:p>
    <w:p w14:paraId="63600EC3">
      <w:pPr>
        <w:pStyle w:val="3"/>
        <w:ind w:firstLine="0"/>
        <w:rPr>
          <w:color w:val="2E75B5"/>
        </w:rPr>
      </w:pPr>
      <w:r>
        <w:rPr>
          <w:rFonts w:ascii="Arial" w:hAnsi="Arial" w:eastAsia="Arial" w:cs="Arial"/>
          <w:b w:val="0"/>
        </w:rPr>
        <w:t>A caracterização das escolas fixa o critério que orienta o restante do capítulo. Como o que se exige do sistema é colocar no topo da lista as escolas que de fato terão abandono alto, a avaliação a seguir julga sobretudo a ordem prevista, e não o valor exato da taxa.</w:t>
      </w:r>
    </w:p>
    <w:p w14:paraId="3F71063F">
      <w:pPr>
        <w:pStyle w:val="4"/>
        <w:numPr>
          <w:ilvl w:val="1"/>
          <w:numId w:val="1"/>
        </w:numPr>
      </w:pPr>
      <w:bookmarkStart w:id="49" w:name="_Toc30713"/>
      <w:r>
        <w:rPr>
          <w:rFonts w:ascii="Arial" w:hAnsi="Arial" w:eastAsia="Arial" w:cs="Arial"/>
          <w:b w:val="0"/>
        </w:rPr>
        <w:t>Desempenho do Sistema</w:t>
      </w:r>
      <w:bookmarkEnd w:id="49"/>
    </w:p>
    <w:p w14:paraId="4805032B">
      <w:pPr>
        <w:pStyle w:val="5"/>
        <w:numPr>
          <w:ilvl w:val="2"/>
          <w:numId w:val="1"/>
        </w:numPr>
      </w:pPr>
      <w:bookmarkStart w:id="50" w:name="_Toc30465"/>
      <w:r>
        <w:rPr>
          <w:rFonts w:ascii="Arial" w:hAnsi="Arial" w:eastAsia="Arial" w:cs="Arial"/>
          <w:b w:val="0"/>
        </w:rPr>
        <w:t>Como o Desempenho Foi Medido</w:t>
      </w:r>
      <w:bookmarkEnd w:id="50"/>
    </w:p>
    <w:p w14:paraId="22E30C10">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mais exigente: treinar com o par 2022–2023 e prever o par 2023–2024, isto é, um ano que o sistema nunca viu. É esse que simula o uso real. Ambos seguem a recomendação de que dados com estrutura espacial ou temporal exijam esquemas de validação capazes de separar os blocos dependentes, sob pena de superestimar o desempenho (ROBERTS et al., 2017).</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1804DADF">
      <w:pPr>
        <w:pStyle w:val="3"/>
        <w:ind w:firstLine="0"/>
        <w:rPr>
          <w:color w:val="2E75B5"/>
        </w:rPr>
      </w:pPr>
      <w:r>
        <w:rPr>
          <w:rFonts w:ascii="Arial" w:hAnsi="Arial"/>
          <w:color w:val="0000FF"/>
          <w:highlight w:val="yellow"/>
        </w:rPr>
        <w:t>Antes da comparação entre modelos, convém responder em termos diretos quanto o sistema erra e quanto acerta. No cenário que simula o uso real, ele erra o valor da taxa de abandono de cada escola em cerca de 2,9 pontos percentuais — o equivalente a cerca de 3 alunos por escola —, de modo que a taxa prevista não deve ser lida como um número exato. O acerto está em indicar quem precisa de atenção primeiro: de cada dez escolas que o sistema coloca no topo da lista de prioridade, cerca de quatro estavam de fato entre as de maior abandono, contra menos de uma se a lista fosse montada ao acaso. É essa capacidade de ordenar, e não o valor exato da taxa, que constitui a contribuição do sistema; os quadros seguintes detalham esses números.</w:t>
      </w:r>
    </w:p>
    <w:p w14:paraId="242E4030">
      <w:pPr>
        <w:pStyle w:val="5"/>
        <w:numPr>
          <w:ilvl w:val="2"/>
          <w:numId w:val="1"/>
        </w:numPr>
      </w:pPr>
      <w:bookmarkStart w:id="51" w:name="_Toc2948"/>
      <w:r>
        <w:rPr>
          <w:rFonts w:ascii="Arial" w:hAnsi="Arial" w:eastAsia="Arial" w:cs="Arial"/>
          <w:b w:val="0"/>
        </w:rPr>
        <w:t>Resultados em Validação Repetida</w:t>
      </w:r>
      <w:bookmarkEnd w:id="51"/>
    </w:p>
    <w:p w14:paraId="420AAE76">
      <w:pPr>
        <w:pStyle w:val="3"/>
        <w:ind w:firstLine="0"/>
        <w:rPr>
          <w:color w:val="auto"/>
          <w:highlight w:val="none"/>
        </w:rPr>
      </w:pPr>
      <w:r>
        <w:rPr>
          <w:color w:val="auto"/>
          <w:highlight w:val="none"/>
        </w:rPr>
        <w:t>O Quadro 9 reúne o desempenho dos quatro modelos sob o primeiro protocolo, com a faixa de confiança obtida nas 20 repetições.</w:t>
      </w:r>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ABBCF8C">
      <w:pPr>
        <w:pStyle w:val="3"/>
        <w:ind w:firstLine="0"/>
        <w:rPr>
          <w:color w:val="2E75B5"/>
        </w:rPr>
      </w:pPr>
      <w:r>
        <w:rPr>
          <w:rFonts w:ascii="Arial" w:hAnsi="Arial"/>
          <w:color w:val="FFFFFF"/>
          <w:highlight w:val="red"/>
        </w:rPr>
        <w:t xml:space="preserve">Cada coluna do Quadro 9 conta uma história diferente. </w:t>
      </w:r>
      <w:r>
        <w:rPr>
          <w:rFonts w:ascii="Arial" w:hAnsi="Arial"/>
          <w:color w:val="0000FF"/>
          <w:highlight w:val="yellow"/>
        </w:rPr>
        <w:t xml:space="preserve">O Quadro 9 responde, na validação repetida, às duas perguntas que importam: quanto cada modelo erra e quanto acerta. </w:t>
      </w:r>
      <w:r>
        <w:rPr>
          <w:rFonts w:ascii="Arial" w:hAnsi="Arial"/>
        </w:rPr>
        <w:t>O erro médio melhora pouco</w:t>
      </w:r>
      <w:r>
        <w:rPr>
          <w:rFonts w:ascii="Arial" w:hAnsi="Arial"/>
          <w:color w:val="0000FF"/>
          <w:highlight w:val="yellow"/>
        </w:rPr>
        <w:t xml:space="preserve"> (2,6 pontos percentuais no modelo adotado, contra 3,2 do palpite pela média da rede)</w:t>
      </w:r>
      <w:r>
        <w:rPr>
          <w:rFonts w:ascii="Arial" w:hAnsi="Arial"/>
        </w:rPr>
        <w:t>: o sistema continua errando o valor exato da taxa. Já a ordenação e o acerto da lista prioritária melhoram muito em relação à média da rede. Na ordenação os três modelos ficam praticamente empatados, com intervalos de confiança que se sobrepõem e sem vencedor claro</w:t>
      </w:r>
      <w:r>
        <w:rPr>
          <w:rFonts w:ascii="Arial" w:hAnsi="Arial"/>
          <w:color w:val="FFFFFF"/>
          <w:highlight w:val="red"/>
        </w:rPr>
        <w:t xml:space="preserve">, e o modelo adotado acompanha os demais: </w:t>
      </w:r>
      <w:r>
        <w:rPr>
          <w:rFonts w:ascii="Arial" w:hAnsi="Arial"/>
          <w:color w:val="0000FF"/>
          <w:highlight w:val="yellow"/>
        </w:rPr>
        <w:t xml:space="preserve">. O modelo adotado acompanha os demais: </w:t>
      </w:r>
      <w:r>
        <w:rPr>
          <w:rFonts w:ascii="Arial" w:hAnsi="Arial"/>
        </w:rPr>
        <w:t>das escolas que ele aponta como prioritárias, cerca de metade estava de fato entre as mais críticas, contra 7 em cada 100 na escolha ao acaso, sete vezes mais. A Figura 12 mostra como essas três medidas se distribuem ao longo das 20 repetições.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79745" cy="1667682"/>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52" w:name="_Toc19034"/>
      <w:r>
        <w:rPr>
          <w:rFonts w:ascii="Arial" w:hAnsi="Arial" w:eastAsia="Arial" w:cs="Arial"/>
          <w:b w:val="0"/>
        </w:rPr>
        <w:t>Resultados no Teste do Ano Nunca Visto</w:t>
      </w:r>
      <w:bookmarkEnd w:id="52"/>
    </w:p>
    <w:p w14:paraId="0226D584">
      <w:pPr>
        <w:pStyle w:val="3"/>
        <w:ind w:firstLine="0"/>
        <w:rPr>
          <w:color w:val="auto"/>
          <w:highlight w:val="none"/>
        </w:rPr>
      </w:pPr>
      <w:bookmarkStart w:id="67" w:name="_GoBack"/>
      <w:r>
        <w:rPr>
          <w:color w:val="auto"/>
          <w:highlight w:val="none"/>
        </w:rPr>
        <w:t>O Quadro 10 repete a comparação sob o segundo protocolo, em que o modelo aprende com os pares de 2022 e 2023 e é avaliado num ano que nunca viu.</w:t>
      </w:r>
    </w:p>
    <w:bookmarkEnd w:id="67"/>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rPr>
        <w:t>O Quadro 10 traz o achado mais relevante da avaliação. Entre um ciclo e outro o abandono médio da rede caiu, e nenhum modelo superou o piso trivial no erro de magnitude: todos erram sistematicamente o nível da taxa.</w:t>
      </w:r>
      <w:r>
        <w:rPr>
          <w:rFonts w:ascii="Arial" w:hAnsi="Arial"/>
          <w:color w:val="0000FF"/>
          <w:highlight w:val="yellow"/>
        </w:rPr>
        <w:t xml:space="preserve"> Em números, o modelo adotado erra a taxa de cada escola em 2,9 pontos percentuais, em média, ante 2,5 de quem simplesmente repete a média da rede para todas as escolas.</w:t>
      </w:r>
      <w:r>
        <w:rPr>
          <w:rFonts w:ascii="Arial" w:hAnsi="Arial"/>
        </w:rPr>
        <w:t xml:space="preserve"> As medidas de ordenação, porém, permanecem muito acima do piso. O sistema continua identificando quais escolas terão abandono alto, mesmo errando o valor.</w:t>
      </w:r>
      <w:r>
        <w:rPr>
          <w:rFonts w:ascii="Arial" w:hAnsi="Arial"/>
          <w:color w:val="0000FF"/>
          <w:highlight w:val="yellow"/>
        </w:rPr>
        <w:t xml:space="preserve"> Das 79 escolas que ele coloca no topo da lista (10% da rede do ano de teste), 33 estavam de fato entre as de maior abandono; a escolha ao acaso acertaria 7 — um ganho de quase cinco vezes.</w:t>
      </w:r>
    </w:p>
    <w:p w14:paraId="5FA6047C">
      <w:pPr>
        <w:pStyle w:val="3"/>
        <w:ind w:firstLine="0"/>
        <w:rPr>
          <w:color w:val="2E75B5"/>
        </w:rPr>
      </w:pPr>
      <w:r>
        <w:rPr>
          <w:rFonts w:ascii="Arial" w:hAnsi="Arial" w:eastAsia="Arial" w:cs="Arial"/>
          <w:b w:val="0"/>
        </w:rPr>
        <w:t>O sistema se comporta como um termômetro descalibrado: erra alguns graus, mas aponta corretamente quem está com mais febre. Para priorizar intervenções, é a ordem que importa. A limitação de magnitude vem da janela curta de dados, apenas dois pares de anos,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0,798 para o modelo adotado, na faixa típica dos estudos da área.</w:t>
      </w:r>
    </w:p>
    <w:p w14:paraId="6F1254E4">
      <w:pPr>
        <w:pStyle w:val="3"/>
        <w:ind w:firstLine="0"/>
        <w:rPr>
          <w:color w:val="2E75B5"/>
        </w:rPr>
      </w:pPr>
      <w:r>
        <w:rPr>
          <w:rFonts w:ascii="Arial" w:hAnsi="Arial" w:eastAsia="Arial" w:cs="Arial"/>
          <w:b w:val="0"/>
        </w:rPr>
        <w:t>Entre modelos tão próximos, o XGBoost foi mantido como modelo principal por duas razões, reconhecendo-se que a escolha não é imposta pelos números. A primeira tem a ver com o propósito do sistema. Como o objetivo é priorizar, isto é, ordenar as escolas por risco, as medidas que mais importam são a ordenação e o acerto da lista prioritária. É nelas que o modelo adotado se sai melhor no teste do ano nunca visto, o cenário que reproduz o uso real. O modelo em árvores de referência leva vantagem no erro de magnitude e na separação entre escolas críticas e não críticas, dimensões menos centrais para a decisão de onde intervir primeiro. A segunda razão é prática: é sobre o modelo adotado que se constroem as explicações apresentadas na seção seguinte. Como as diferenças entre os três modelos permanecem dentro da margem de incerteza, a escolha não representa perda de desempenho relevante.</w:t>
      </w:r>
    </w:p>
    <w:p w14:paraId="24977E46">
      <w:pPr>
        <w:pStyle w:val="5"/>
        <w:numPr>
          <w:ilvl w:val="2"/>
          <w:numId w:val="1"/>
        </w:numPr>
      </w:pPr>
      <w:bookmarkStart w:id="53" w:name="_Toc17703"/>
      <w:r>
        <w:rPr>
          <w:rFonts w:ascii="Arial" w:hAnsi="Arial" w:eastAsia="Arial" w:cs="Arial"/>
          <w:b w:val="0"/>
        </w:rPr>
        <w:t>Resultados em Cada Transição Anual</w:t>
      </w:r>
      <w:bookmarkEnd w:id="53"/>
    </w:p>
    <w:p w14:paraId="68971E2A">
      <w:pPr>
        <w:pStyle w:val="3"/>
        <w:ind w:firstLine="0"/>
        <w:rPr>
          <w:color w:val="2E75B5"/>
        </w:rPr>
      </w:pPr>
      <w:r>
        <w:rPr>
          <w:rFonts w:ascii="Arial" w:hAnsi="Arial" w:eastAsia="Arial" w:cs="Arial"/>
          <w:b w:val="0"/>
        </w:rPr>
        <w:t>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a mesma régua do Quadro 9, aqui separada por ano em vez de agregada. É sempre o mesmo modelo; muda apenas o ano de referência. O Quadro 11 reúne os resultados dos dois cenários.</w:t>
      </w:r>
    </w:p>
    <w:p w14:paraId="07971620">
      <w:pPr>
        <w:pStyle w:val="3"/>
        <w:ind w:firstLine="0"/>
        <w:rPr>
          <w:color w:val="2E75B5"/>
        </w:rPr>
      </w:pPr>
      <w:r>
        <w:rPr>
          <w:rFonts w:ascii="Arial" w:hAnsi="Arial"/>
          <w:sz w:val="22"/>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8BDAD81">
            <w:r>
              <w:rPr>
                <w:rFonts w:ascii="Arial" w:hAnsi="Arial" w:eastAsia="Arial" w:cs="Arial"/>
                <w:b/>
                <w:sz w:val="18"/>
              </w:rPr>
              <w:t>Indicador de desempenho</w:t>
            </w:r>
          </w:p>
        </w:tc>
        <w:tc>
          <w:tcPr>
            <w:tcW w:w="2484" w:type="dxa"/>
          </w:tcPr>
          <w:p w14:paraId="434758FF">
            <w:r>
              <w:rPr>
                <w:rFonts w:ascii="Arial" w:hAnsi="Arial" w:eastAsia="Arial" w:cs="Arial"/>
                <w:b/>
                <w:sz w:val="18"/>
              </w:rPr>
              <w:t>Cenário 2022 → 2023</w:t>
            </w:r>
          </w:p>
        </w:tc>
        <w:tc>
          <w:tcPr>
            <w:tcW w:w="2484" w:type="dxa"/>
          </w:tcPr>
          <w:p w14:paraId="7D368DAD">
            <w:r>
              <w:rPr>
                <w:rFonts w:ascii="Arial" w:hAnsi="Arial" w:eastAsia="Arial" w:cs="Arial"/>
                <w:b/>
                <w:sz w:val="18"/>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sz w:val="18"/>
              </w:rPr>
              <w:t>Erro médio da taxa, p.p. (RMSE) — menor é melhor</w:t>
            </w:r>
          </w:p>
        </w:tc>
        <w:tc>
          <w:tcPr>
            <w:tcW w:w="2484" w:type="dxa"/>
          </w:tcPr>
          <w:p w14:paraId="290B08DD">
            <w:r>
              <w:rPr>
                <w:rFonts w:ascii="Arial" w:hAnsi="Arial" w:eastAsia="Arial" w:cs="Arial"/>
                <w:b w:val="0"/>
                <w:sz w:val="18"/>
              </w:rPr>
              <w:t>2,82 ± 0,34</w:t>
            </w:r>
          </w:p>
        </w:tc>
        <w:tc>
          <w:tcPr>
            <w:tcW w:w="2484" w:type="dxa"/>
          </w:tcPr>
          <w:p w14:paraId="4AFD25CB">
            <w:r>
              <w:rPr>
                <w:rFonts w:ascii="Arial" w:hAnsi="Arial" w:eastAsia="Arial" w:cs="Arial"/>
                <w:b w:val="0"/>
                <w:sz w:val="18"/>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sz w:val="18"/>
              </w:rPr>
              <w:t>Acerto da ordenação, de 0 a 1 (Spearman)</w:t>
            </w:r>
          </w:p>
        </w:tc>
        <w:tc>
          <w:tcPr>
            <w:tcW w:w="2484" w:type="dxa"/>
          </w:tcPr>
          <w:p w14:paraId="44C44AAA">
            <w:r>
              <w:rPr>
                <w:rFonts w:ascii="Arial" w:hAnsi="Arial" w:eastAsia="Arial" w:cs="Arial"/>
                <w:b w:val="0"/>
                <w:sz w:val="18"/>
              </w:rPr>
              <w:t>0,469 ± 0,039</w:t>
            </w:r>
          </w:p>
        </w:tc>
        <w:tc>
          <w:tcPr>
            <w:tcW w:w="2484" w:type="dxa"/>
          </w:tcPr>
          <w:p w14:paraId="3904D936">
            <w:r>
              <w:rPr>
                <w:rFonts w:ascii="Arial" w:hAnsi="Arial" w:eastAsia="Arial" w:cs="Arial"/>
                <w:b w:val="0"/>
                <w:sz w:val="18"/>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sz w:val="18"/>
              </w:rPr>
              <w:t>Acerto na lista prioritária, top 10% (Precision@K)</w:t>
            </w:r>
          </w:p>
        </w:tc>
        <w:tc>
          <w:tcPr>
            <w:tcW w:w="2484" w:type="dxa"/>
          </w:tcPr>
          <w:p w14:paraId="05EBC5C6">
            <w:r>
              <w:rPr>
                <w:rFonts w:ascii="Arial" w:hAnsi="Arial" w:eastAsia="Arial" w:cs="Arial"/>
                <w:b w:val="0"/>
                <w:sz w:val="18"/>
              </w:rPr>
              <w:t>0,627 ± 0,060</w:t>
            </w:r>
          </w:p>
        </w:tc>
        <w:tc>
          <w:tcPr>
            <w:tcW w:w="2484" w:type="dxa"/>
          </w:tcPr>
          <w:p w14:paraId="5ADDB3E1">
            <w:r>
              <w:rPr>
                <w:rFonts w:ascii="Arial" w:hAnsi="Arial" w:eastAsia="Arial" w:cs="Arial"/>
                <w:b w:val="0"/>
                <w:sz w:val="18"/>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sz w:val="18"/>
              </w:rPr>
              <w:t>Separação alto/baixo risco (ROC-AUC)</w:t>
            </w:r>
          </w:p>
        </w:tc>
        <w:tc>
          <w:tcPr>
            <w:tcW w:w="2484" w:type="dxa"/>
          </w:tcPr>
          <w:p w14:paraId="240799C6">
            <w:r>
              <w:rPr>
                <w:rFonts w:ascii="Arial" w:hAnsi="Arial" w:eastAsia="Arial" w:cs="Arial"/>
                <w:b w:val="0"/>
                <w:sz w:val="18"/>
              </w:rPr>
              <w:t>0,901 ± 0,035</w:t>
            </w:r>
          </w:p>
        </w:tc>
        <w:tc>
          <w:tcPr>
            <w:tcW w:w="2484" w:type="dxa"/>
          </w:tcPr>
          <w:p w14:paraId="1B1D9CD6">
            <w:r>
              <w:rPr>
                <w:rFonts w:ascii="Arial" w:hAnsi="Arial" w:eastAsia="Arial" w:cs="Arial"/>
                <w:b w:val="0"/>
                <w:sz w:val="18"/>
              </w:rPr>
              <w:t>0,813 ± 0,019</w:t>
            </w:r>
          </w:p>
        </w:tc>
      </w:tr>
    </w:tbl>
    <w:p w14:paraId="1C5D7AC1">
      <w:pPr>
        <w:pStyle w:val="3"/>
        <w:ind w:firstLine="0"/>
        <w:rPr>
          <w:color w:val="2E75B5"/>
        </w:rPr>
      </w:pPr>
      <w:r>
        <w:rPr>
          <w:rFonts w:ascii="Arial" w:hAnsi="Arial"/>
          <w:sz w:val="22"/>
        </w:rPr>
        <w:t>Fonte: elaborado pelo autor.</w:t>
      </w:r>
    </w:p>
    <w:p w14:paraId="326796B6">
      <w:pPr>
        <w:pStyle w:val="3"/>
        <w:ind w:firstLine="0"/>
        <w:rPr>
          <w:color w:val="2E75B5"/>
        </w:rPr>
      </w:pPr>
      <w:r>
        <w:rPr>
          <w:rFonts w:ascii="Arial" w:hAnsi="Arial" w:eastAsia="Arial" w:cs="Arial"/>
          <w:b w:val="0"/>
        </w:rPr>
        <w:t>O modelo mantém utilidade nas duas transições, mas rende mais na primeira. Na transição de 2022 para 2023, 63% das escolas que ele coloca no topo da lista estão de fato entre as de maior abandono. Na de 2023 para 2024, esse acerto cai para 38% — ainda muito acima dos cerca de 10% de uma escolha ao acaso. A queda acompanha a própria mudança da rede: o abandono médio caiu de 1,36% para 0,88% e as escolas se aproximaram de zero, o que reduz o erro absoluto e comprime o sinal que permite ordená-las. Mesmo no cenário mais difícil, a capacidade de separar as escolas de alto risco das demais permanece alta (0,81 numa escala em que 0,5 é o acaso). Os dois cenários cercam os valores do Quadro 9, que avalia as duas transições agregadas — sinal de que a decomposição é coerente com o desempenho global. A Figura 13 apresenta os dois cenários lado a lado.</w:t>
      </w:r>
    </w:p>
    <w:p w14:paraId="06ABB063">
      <w:pPr>
        <w:pStyle w:val="3"/>
        <w:ind w:firstLine="0"/>
        <w:rPr>
          <w:color w:val="2E75B5"/>
        </w:rPr>
      </w:pPr>
      <w:r>
        <w:rPr>
          <w:rFonts w:ascii="Arial" w:hAnsi="Arial"/>
          <w:sz w:val="22"/>
        </w:rPr>
        <w:t>Figura 13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sz w:val="22"/>
        </w:rPr>
        <w:t>Fonte: elaborado pelo autor.</w:t>
      </w:r>
    </w:p>
    <w:p w14:paraId="433FF695">
      <w:pPr>
        <w:pStyle w:val="3"/>
        <w:ind w:firstLine="0"/>
        <w:rPr>
          <w:color w:val="2E75B5"/>
        </w:rPr>
      </w:pPr>
      <w:r>
        <w:rPr>
          <w:rFonts w:ascii="Arial" w:hAnsi="Arial" w:eastAsia="Arial" w:cs="Arial"/>
          <w:b w:val="0"/>
        </w:rPr>
        <w:t>A mesma comparação entre os dois anos pode ser lida em número de alunos, e não em taxa. Convertendo a taxa de abandono de cada escola em quantidade de estudantes, ou seja, multiplicando-a pela matrícula do ensino médio no ano em que o abandono é medido, o resíduo passa a exprimir quantos alunos o sistema errou, para mais ou para menos, em cada escola. A Figura 14 apresenta esse resíduo, escola a escola, nas duas transições. Em ambas, a maioria das escolas concentra-se em torno de zero e o erro médio é de cerca de três alunos por escola (3,3 na transição de 2022 para 2023 e 3,0 na de 2023 para 2024), sem tendência sistemática de superestimar ou subestimar; as poucas escolas de maior porte, com dezenas de evasões, concentram os maiores desvios.</w:t>
      </w:r>
    </w:p>
    <w:p w14:paraId="23069A4F">
      <w:pPr>
        <w:pStyle w:val="3"/>
        <w:ind w:firstLine="0"/>
        <w:rPr>
          <w:color w:val="2E75B5"/>
        </w:rPr>
      </w:pPr>
      <w:r>
        <w:rPr>
          <w:rFonts w:ascii="Arial" w:hAnsi="Arial"/>
          <w:sz w:val="22"/>
        </w:rPr>
        <w:t>Figura 14 – Resíduo do modelo por escola, em número de alunos que abandonaram o ensino médio, nas transições 2022–2023 e 2023–2024</w:t>
      </w:r>
    </w:p>
    <w:p w14:paraId="682A6D0E">
      <w:pPr>
        <w:pStyle w:val="3"/>
        <w:jc w:val="center"/>
      </w:pPr>
      <w:r>
        <w:drawing>
          <wp:inline distT="0" distB="0" distL="114300" distR="114300">
            <wp:extent cx="5579745" cy="2139950"/>
            <wp:effectExtent l="0" t="0" r="825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580000" cy="2140384"/>
                    </a:xfrm>
                    <a:prstGeom prst="rect">
                      <a:avLst/>
                    </a:prstGeom>
                  </pic:spPr>
                </pic:pic>
              </a:graphicData>
            </a:graphic>
          </wp:inline>
        </w:drawing>
      </w:r>
    </w:p>
    <w:p w14:paraId="58A849A6">
      <w:pPr>
        <w:pStyle w:val="3"/>
        <w:ind w:firstLine="0"/>
        <w:rPr>
          <w:color w:val="2E75B5"/>
        </w:rPr>
      </w:pPr>
      <w:r>
        <w:rPr>
          <w:rFonts w:ascii="Arial" w:hAnsi="Arial"/>
          <w:sz w:val="22"/>
        </w:rPr>
        <w:t>Fonte: elaborado pelo autor.</w:t>
      </w:r>
    </w:p>
    <w:p w14:paraId="2277BBB5">
      <w:pPr>
        <w:pStyle w:val="4"/>
        <w:numPr>
          <w:ilvl w:val="1"/>
          <w:numId w:val="1"/>
        </w:numPr>
      </w:pPr>
      <w:bookmarkStart w:id="54" w:name="_Toc27010"/>
      <w:r>
        <w:rPr>
          <w:rFonts w:ascii="Arial" w:hAnsi="Arial" w:eastAsia="Arial" w:cs="Arial"/>
          <w:b w:val="0"/>
        </w:rPr>
        <w:t>Capacidade de Priorização</w:t>
      </w:r>
      <w:bookmarkEnd w:id="54"/>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como ele prevê uma taxa, e não um rótulo de “em risco” ou “fora de risco”, o ponto de corte da lista pode ser escolhido depois, conforme o orçamento disponível.</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Vale aqui o princípio da triagem de um pronto-socorro: com vagas limitadas, a fila ordenada por gravidade encontra muito mais casos graves do que o atendimento por ordem de chegada. A Figura 15 compara o alcance da lista do sistema com o da escolha ao acaso, e a Figura 16 mostra como o acerto e o alcance variam conforme o tamanho da lista.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579745" cy="1981291"/>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579745" cy="2134959"/>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55" w:name="_Toc19992"/>
      <w:r>
        <w:rPr>
          <w:rFonts w:ascii="Arial" w:hAnsi="Arial" w:eastAsia="Arial" w:cs="Arial"/>
          <w:b w:val="0"/>
        </w:rPr>
        <w:t>Explicação das Indicações</w:t>
      </w:r>
      <w:bookmarkEnd w:id="55"/>
    </w:p>
    <w:p w14:paraId="4564E80B">
      <w:pPr>
        <w:pStyle w:val="5"/>
        <w:numPr>
          <w:ilvl w:val="2"/>
          <w:numId w:val="1"/>
        </w:numPr>
      </w:pPr>
      <w:bookmarkStart w:id="56" w:name="_Toc15251"/>
      <w:r>
        <w:rPr>
          <w:rFonts w:ascii="Arial" w:hAnsi="Arial" w:eastAsia="Arial" w:cs="Arial"/>
          <w:b w:val="0"/>
        </w:rPr>
        <w:t>Visão Geral</w:t>
      </w:r>
      <w:bookmarkEnd w:id="56"/>
    </w:p>
    <w:p w14:paraId="5B8734FD">
      <w:pPr>
        <w:pStyle w:val="3"/>
        <w:ind w:firstLine="0"/>
        <w:rPr>
          <w:color w:val="2E75B5"/>
        </w:rPr>
      </w:pPr>
      <w:r>
        <w:rPr>
          <w:rFonts w:ascii="Arial" w:hAnsi="Arial" w:eastAsia="Arial" w:cs="Arial"/>
          <w:b w:val="0"/>
        </w:rPr>
        <w:t>Saber que uma escola está no topo da lista não basta; é preciso saber por quê. A técnica de explicação adotada é o SHAP (LUNDBERG; LEE, 2017), apresentado no Capítulo 2, que decompõe cada previsão na contribuição de cada característica. Aplicada a todo o conjunto, ela ordena as características por peso nas previsões do sistema. No topo está o abandono do ano anterior na 2ª série, seguido da defasagem idade-série. Vêm depois o abandono do Ensino Médio como um todo e o da 1ª série. Aparecem então a localização diferenciada — peso retomado adiante, em Erros do Modelo e Equidade — e a reprovação do ano anterior. Somadas, as medidas do ano anterior respondem pela maior parte do peso total. Esse peso confirma um princípio conhecido: o melhor previsor do tempo de amanhã costuma ser o tempo de hoje. A Figura 17 ordena as características por esse peso.</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7" w:name="_Toc12507"/>
      <w:r>
        <w:rPr>
          <w:rFonts w:ascii="Arial" w:hAnsi="Arial" w:eastAsia="Arial" w:cs="Arial"/>
          <w:b w:val="0"/>
        </w:rPr>
        <w:t>Direção dos Efeitos</w:t>
      </w:r>
      <w:bookmarkEnd w:id="57"/>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 A Figura 18 reúne, para cada característica, o peso e a direção de sua contribuição.</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8" w:name="_Toc10633"/>
      <w:r>
        <w:rPr>
          <w:rFonts w:ascii="Arial" w:hAnsi="Arial" w:eastAsia="Arial" w:cs="Arial"/>
          <w:b w:val="0"/>
        </w:rPr>
        <w:t>Explicação de Uma Escola</w:t>
      </w:r>
      <w:bookmarkEnd w:id="58"/>
    </w:p>
    <w:p w14:paraId="2C975AF9">
      <w:pPr>
        <w:pStyle w:val="3"/>
        <w:ind w:firstLine="0"/>
        <w:rPr>
          <w:rFonts w:ascii="Arial" w:hAnsi="Arial" w:eastAsia="Arial" w:cs="Arial"/>
          <w:b w:val="0"/>
        </w:rPr>
      </w:pPr>
      <w:r>
        <w:rPr>
          <w:rFonts w:ascii="Arial" w:hAnsi="Arial" w:eastAsia="Arial" w:cs="Arial"/>
          <w:b w:val="0"/>
        </w:rPr>
        <w:t>A decomposição também vale caso a caso. Para qualquer escola é possível mostrar como cada característica afastou sua previsão da média da rede, o que separa o mapa do clima de um país da previsão do tempo de uma cidade. Na escola de maior risco previsto, uma estadual indígena no município de Jatobá, as maiores contribuições positivas vêm do histórico de abandono, da defasagem idade-série e do abandono na 2ª série, como mostra a Figura 19. É essa explicação que o painel apresenta ao gestor para justificar cada indicação.</w:t>
      </w:r>
    </w:p>
    <w:p w14:paraId="124B9F2F">
      <w:pPr>
        <w:pStyle w:val="3"/>
        <w:ind w:firstLine="0"/>
        <w:rPr>
          <w:rFonts w:ascii="Arial" w:hAnsi="Arial" w:eastAsia="Arial" w:cs="Arial"/>
          <w:b w:val="0"/>
        </w:rPr>
      </w:pPr>
    </w:p>
    <w:p w14:paraId="6FB29AAC">
      <w:pPr>
        <w:pStyle w:val="3"/>
        <w:ind w:firstLine="0"/>
        <w:rPr>
          <w:rFonts w:ascii="Arial" w:hAnsi="Arial" w:eastAsia="Arial" w:cs="Arial"/>
          <w:b w:val="0"/>
        </w:rPr>
      </w:pPr>
    </w:p>
    <w:p w14:paraId="5F1B95E9">
      <w:pPr>
        <w:pStyle w:val="3"/>
        <w:ind w:firstLine="0"/>
        <w:rPr>
          <w:rFonts w:ascii="Arial" w:hAnsi="Arial" w:eastAsia="Arial" w:cs="Arial"/>
          <w:b w:val="0"/>
        </w:rPr>
      </w:pPr>
    </w:p>
    <w:p w14:paraId="3FC15897">
      <w:pPr>
        <w:pStyle w:val="3"/>
        <w:ind w:firstLine="0"/>
        <w:rPr>
          <w:rFonts w:ascii="Arial" w:hAnsi="Arial" w:eastAsia="Arial" w:cs="Arial"/>
          <w:b w:val="0"/>
        </w:rPr>
      </w:pPr>
    </w:p>
    <w:p w14:paraId="13A3067E">
      <w:pPr>
        <w:pStyle w:val="3"/>
        <w:ind w:firstLine="0"/>
        <w:rPr>
          <w:rFonts w:ascii="Arial" w:hAnsi="Arial" w:eastAsia="Arial" w:cs="Arial"/>
          <w:b w:val="0"/>
        </w:rPr>
      </w:pPr>
    </w:p>
    <w:p w14:paraId="28EA3091">
      <w:pPr>
        <w:pStyle w:val="3"/>
        <w:ind w:firstLine="0"/>
        <w:rPr>
          <w:rFonts w:ascii="Arial" w:hAnsi="Arial" w:eastAsia="Arial" w:cs="Arial"/>
          <w:b w:val="0"/>
        </w:rPr>
      </w:pPr>
    </w:p>
    <w:p w14:paraId="609565C8">
      <w:pPr>
        <w:pStyle w:val="3"/>
        <w:ind w:firstLine="0"/>
        <w:rPr>
          <w:rFonts w:ascii="Arial" w:hAnsi="Arial" w:eastAsia="Arial" w:cs="Arial"/>
          <w:b w:val="0"/>
        </w:rPr>
      </w:pPr>
    </w:p>
    <w:p w14:paraId="66540C6F">
      <w:pPr>
        <w:pStyle w:val="3"/>
        <w:ind w:firstLine="0"/>
        <w:rPr>
          <w:rFonts w:ascii="Arial" w:hAnsi="Arial" w:eastAsia="Arial" w:cs="Arial"/>
          <w:b w:val="0"/>
        </w:rPr>
      </w:pPr>
    </w:p>
    <w:p w14:paraId="6ECAB2CC">
      <w:pPr>
        <w:pStyle w:val="3"/>
        <w:ind w:firstLine="0"/>
        <w:rPr>
          <w:rFonts w:ascii="Arial" w:hAnsi="Arial" w:eastAsia="Arial" w:cs="Arial"/>
          <w:b w:val="0"/>
        </w:rPr>
      </w:pPr>
    </w:p>
    <w:p w14:paraId="0FE8D28F">
      <w:pPr>
        <w:pStyle w:val="3"/>
        <w:ind w:firstLine="0"/>
        <w:rPr>
          <w:rFonts w:ascii="Arial" w:hAnsi="Arial" w:eastAsia="Arial" w:cs="Arial"/>
          <w:b w:val="0"/>
        </w:rPr>
      </w:pPr>
    </w:p>
    <w:p w14:paraId="247A106E">
      <w:pPr>
        <w:pStyle w:val="3"/>
        <w:ind w:firstLine="0"/>
        <w:rPr>
          <w:rFonts w:ascii="Arial" w:hAnsi="Arial" w:eastAsia="Arial" w:cs="Arial"/>
          <w:b w:val="0"/>
        </w:rPr>
      </w:pP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9" w:name="_Toc16606"/>
      <w:r>
        <w:rPr>
          <w:rFonts w:ascii="Arial" w:hAnsi="Arial" w:eastAsia="Arial" w:cs="Arial"/>
          <w:b w:val="0"/>
        </w:rPr>
        <w:t>Erros do Modelo e Equidade</w:t>
      </w:r>
      <w:bookmarkEnd w:id="59"/>
    </w:p>
    <w:p w14:paraId="4E9AC818">
      <w:pPr>
        <w:pStyle w:val="3"/>
        <w:ind w:firstLine="0"/>
        <w:rPr>
          <w:color w:val="2E75B5"/>
        </w:rPr>
      </w:pPr>
      <w:r>
        <w:rPr>
          <w:rFonts w:ascii="Arial" w:hAnsi="Arial" w:eastAsia="Arial" w:cs="Arial"/>
          <w:b w:val="0"/>
        </w:rPr>
        <w:t>A análise dos erros por grupo revelou um achado de equidade que precisa ser declarado, na linha do que a literatura recomenda para sistemas preditivos aplicados a políticas públicas (BAROCAS; HARDT; NARAYANAN, 2023). No teste do ano nunca visto, o sistema erra para mais nas escolas de localização diferenciada: prevê risco alto para escolas indígenas e quilombolas cujo abandono observado é próximo de zero. O erro médio nesse grupo é de −6,12 pontos percentuais, contra +0,07 nas urbanas e +0,38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rural, de baixo nível socioeconômico e com alta defasagem idade-série, está associado a abandono alto, mas o abandono observado não acontece. É o que faz um seguro de automóvel cobrar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 A Figura 20 compara o erro médio do sistema entre os grupos de localização.</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20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60" w:name="_Toc5621"/>
      <w:r>
        <w:rPr>
          <w:rFonts w:ascii="Arial" w:hAnsi="Arial" w:eastAsia="Arial" w:cs="Arial"/>
          <w:b w:val="0"/>
        </w:rPr>
        <w:t>O Painel de Priorização ao Gestor</w:t>
      </w:r>
      <w:bookmarkEnd w:id="60"/>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61" w:name="_Toc10205"/>
      <w:r>
        <w:rPr>
          <w:rFonts w:ascii="Arial" w:hAnsi="Arial" w:eastAsia="Arial" w:cs="Arial"/>
          <w:b w:val="0"/>
        </w:rPr>
        <w:t>Síntese dos Resultados</w:t>
      </w:r>
      <w:bookmarkEnd w:id="61"/>
    </w:p>
    <w:p w14:paraId="3A43783E">
      <w:pPr>
        <w:pStyle w:val="3"/>
        <w:ind w:firstLine="0"/>
        <w:rPr>
          <w:color w:val="2E75B5"/>
        </w:rPr>
      </w:pPr>
      <w:r>
        <w:rPr>
          <w:rFonts w:ascii="Arial" w:hAnsi="Arial" w:eastAsia="Arial" w:cs="Arial"/>
          <w:b w:val="0"/>
        </w:rPr>
        <w:t>Cinco resultados resumem o trabalho. O sistema é confiável no que se propõe: uma suíte de 138 testes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O conjunto de características é enxuto e justificado, com 39 colunas escolhidas entre mais de 400, cada uma submetida a análise estatística individual e a critérios explícitos de corte.</w:t>
      </w:r>
    </w:p>
    <w:p w14:paraId="0DD60FA7">
      <w:pPr>
        <w:pStyle w:val="3"/>
        <w:ind w:firstLine="0"/>
        <w:rPr>
          <w:color w:val="2E75B5"/>
        </w:rPr>
      </w:pPr>
      <w:r>
        <w:rPr>
          <w:rFonts w:ascii="Arial" w:hAnsi="Arial" w:eastAsia="Arial" w:cs="Arial"/>
          <w:b w:val="0"/>
        </w:rPr>
        <w:t>O sistema acerta a ordem, não a magnitude. Ele erra o valor exato da taxa, mas ordena as escolas com qualidade útil, e é a ordem que a decisão do gestor requer.</w:t>
      </w:r>
    </w:p>
    <w:p w14:paraId="792A7F03">
      <w:pPr>
        <w:pStyle w:val="3"/>
        <w:ind w:firstLine="0"/>
        <w:rPr>
          <w:color w:val="2E75B5"/>
        </w:rPr>
      </w:pPr>
      <w:r>
        <w:rPr>
          <w:rFonts w:ascii="Arial" w:hAnsi="Arial" w:eastAsia="Arial" w:cs="Arial"/>
          <w:b w:val="0"/>
        </w:rPr>
        <w:t>O ganho prático é mensurável: das escolas apontadas como prioritárias, cerca de metade estava de fato entre as mais críticas, contra 7 em cada 100 na escolha ao acaso, e uma lista de 150 escolas alcança mais da metade das escolas críticas da rede.</w:t>
      </w:r>
    </w:p>
    <w:p w14:paraId="693241E1">
      <w:pPr>
        <w:pStyle w:val="3"/>
        <w:ind w:firstLine="0"/>
        <w:rPr>
          <w:color w:val="2E75B5"/>
        </w:rPr>
      </w:pPr>
      <w:r>
        <w:rPr>
          <w:rFonts w:ascii="Arial" w:hAnsi="Arial" w:eastAsia="Arial" w:cs="Arial"/>
          <w:b w:val="0"/>
        </w:rPr>
        <w:t>Por fim, cada indicação é explicável. Isso permite ao gestor concordar ou discordar com argumento e é também o que expõe, de forma transparente, a limitação de equidade nas escolas de localização diferenciada.</w:t>
      </w:r>
    </w:p>
    <w:p w14:paraId="78BAA92B">
      <w:pPr>
        <w:pStyle w:val="2"/>
        <w:numPr>
          <w:ilvl w:val="0"/>
          <w:numId w:val="1"/>
        </w:numPr>
        <w:rPr>
          <w:color w:val="000000"/>
        </w:rPr>
      </w:pPr>
      <w:bookmarkStart w:id="62" w:name="_Toc22348"/>
      <w:r>
        <w:rPr>
          <w:rFonts w:ascii="Arial" w:hAnsi="Arial" w:eastAsia="Arial" w:cs="Arial"/>
          <w:b w:val="0"/>
        </w:rPr>
        <w:t>Conclusões e Trabalhos Futuros</w:t>
      </w:r>
      <w:bookmarkEnd w:id="62"/>
    </w:p>
    <w:p w14:paraId="2B49EC9B">
      <w:pPr>
        <w:pStyle w:val="4"/>
        <w:numPr>
          <w:ilvl w:val="1"/>
          <w:numId w:val="1"/>
        </w:numPr>
      </w:pPr>
      <w:bookmarkStart w:id="63" w:name="_Toc3968"/>
      <w:r>
        <w:rPr>
          <w:rFonts w:ascii="Arial" w:hAnsi="Arial" w:eastAsia="Arial" w:cs="Arial"/>
          <w:b w:val="0"/>
        </w:rPr>
        <w:t>Conclusões</w:t>
      </w:r>
      <w:bookmarkEnd w:id="63"/>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(P1). </w:t>
      </w:r>
      <w:r>
        <w:rPr>
          <w:rFonts w:ascii="Arial" w:hAnsi="Arial" w:eastAsia="Arial" w:cs="Arial"/>
        </w:rPr>
        <w:t>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(P2).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−27,87 a +23,69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a escola que foge ao padrão e o modelo que não enxerga um fator, faz parte da resposta.</w:t>
      </w:r>
    </w:p>
    <w:p w14:paraId="0AE112BC">
      <w:pPr>
        <w:pStyle w:val="3"/>
        <w:ind w:firstLine="0"/>
        <w:rPr>
          <w:color w:val="2E75B5"/>
        </w:rPr>
      </w:pPr>
      <w:r>
        <w:rPr>
          <w:rFonts w:ascii="Arial" w:hAnsi="Arial" w:eastAsia="Arial" w:cs="Arial"/>
          <w:b w:val="0"/>
        </w:rPr>
        <w:t>Sobre o problema: a evasão na rede estadual é concentrada, não difusa.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138 testes automatizados e reprodutibilidade completa a partir dos dados originais. Essas propriedades não são acessórias: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3A00B01">
      <w:pPr>
        <w:pStyle w:val="3"/>
        <w:ind w:firstLine="0"/>
        <w:rPr>
          <w:color w:val="2E75B5"/>
        </w:rPr>
      </w:pPr>
      <w:r>
        <w:rPr>
          <w:rFonts w:ascii="Arial" w:hAnsi="Arial" w:eastAsia="Arial" w:cs="Arial"/>
          <w:b w:val="0"/>
        </w:rPr>
        <w:t>Sobre o que o sistema não garante: prever evasão não é o mesmo que conhecê-la. A decisão de deixar a escola é de um estudante, e o que pesa nela — trabalho, gravidez, mudança de cidade, doença, violência, perda de vínculo com o estudo — não está em nenhuma das 39 características, que descrevem a escola, não o aluno. O sistema encontra associações, não causas. Ele não garante que uma escola apontada terá abandono alto, nem que uma escola fora da lista esteja em segurança: cerca de metade das prioritárias não está entre as mais críticas, e o acerto da lista caiu de 0,627 para 0,381 de uma transição anual para a outra. Nas escolas indígenas e quilombolas, erra com confiança sobre um grupo inteiro. A lista diz onde olhar primeiro; quem confirma é a visita à escola.</w:t>
      </w:r>
    </w:p>
    <w:p w14:paraId="28C353BC">
      <w:pPr>
        <w:pStyle w:val="4"/>
        <w:numPr>
          <w:ilvl w:val="1"/>
          <w:numId w:val="1"/>
        </w:numPr>
      </w:pPr>
      <w:bookmarkStart w:id="64" w:name="_Toc29070"/>
      <w:r>
        <w:rPr>
          <w:rFonts w:ascii="Arial" w:hAnsi="Arial" w:eastAsia="Arial" w:cs="Arial"/>
          <w:b w:val="0"/>
        </w:rPr>
        <w:t>Trabalhos Futuros</w:t>
      </w:r>
      <w:bookmarkEnd w:id="64"/>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verificação final de que a ferramenta cumpre o propósito para o qual foi construída.</w:t>
      </w:r>
    </w:p>
    <w:p w14:paraId="3CF3BE1C">
      <w:pPr>
        <w:pStyle w:val="3"/>
        <w:ind w:firstLine="0"/>
        <w:rPr>
          <w:color w:val="2E75B5"/>
        </w:rPr>
      </w:pPr>
      <w:r>
        <w:rPr>
          <w:rFonts w:ascii="Arial" w:hAnsi="Arial" w:eastAsia="Arial" w:cs="Arial"/>
          <w:b w:val="0"/>
        </w:rPr>
        <w:t>Medida de incerteza: entregar cada escola com um intervalo, não com um número só. Escolas pequenas, em que a saída de poucos alunos muda a taxa, precisam chegar ao gestor com essa ressalva visível.</w:t>
      </w:r>
    </w:p>
    <w:p w14:paraId="3FACD3A8">
      <w:pPr>
        <w:pStyle w:val="3"/>
        <w:ind w:firstLine="0"/>
        <w:rPr>
          <w:color w:val="2E75B5"/>
        </w:rPr>
      </w:pPr>
      <w:r>
        <w:rPr>
          <w:rFonts w:ascii="Arial" w:hAnsi="Arial" w:eastAsia="Arial" w:cs="Arial"/>
          <w:b w:val="0"/>
        </w:rPr>
        <w:t>Dados por aluno: a evasão acontece na trajetória de cada estudante, e o sistema só enxerga a escola. Registros de matrícula, frequência e notas, respeitada a proteção de dados pessoais, permitiriam estimar o risco individual.</w:t>
      </w:r>
    </w:p>
    <w:p w14:paraId="7AF06E78">
      <w:pPr>
        <w:pStyle w:val="3"/>
        <w:ind w:firstLine="0"/>
        <w:rPr>
          <w:color w:val="2E75B5"/>
        </w:rPr>
      </w:pPr>
      <w:r>
        <w:rPr>
          <w:rFonts w:ascii="Arial" w:hAnsi="Arial" w:eastAsia="Arial" w:cs="Arial"/>
          <w:b w:val="0"/>
        </w:rPr>
        <w:t>Sinais durante o ano: hoje a lista sai uma vez por ano. Frequência e notas por bimestre permitiriam recalcular o risco enquanto ainda há tempo de agir.</w:t>
      </w:r>
    </w:p>
    <w:p w14:paraId="5FA7C965">
      <w:pPr>
        <w:pStyle w:val="3"/>
        <w:ind w:firstLine="0"/>
        <w:rPr>
          <w:color w:val="2E75B5"/>
        </w:rPr>
      </w:pPr>
      <w:r>
        <w:rPr>
          <w:rFonts w:ascii="Arial" w:hAnsi="Arial" w:eastAsia="Arial" w:cs="Arial"/>
          <w:b w:val="0"/>
        </w:rPr>
        <w:t>Monitoramento de deriva: o abandono da rede caiu de 2,05% para 0,96% entre 2022 e 2024, e foi isso que degradou a previsão de magnitude. O sistema precisa avisar sozinho quando os dados novos se afastam daqueles em que aprendeu.</w:t>
      </w:r>
    </w:p>
    <w:p w14:paraId="13822144">
      <w:pPr>
        <w:pStyle w:val="3"/>
        <w:ind w:firstLine="0"/>
        <w:rPr>
          <w:color w:val="2E75B5"/>
        </w:rPr>
      </w:pPr>
      <w:r>
        <w:rPr>
          <w:rFonts w:ascii="Arial" w:hAnsi="Arial" w:eastAsia="Arial" w:cs="Arial"/>
          <w:b w:val="0"/>
        </w:rPr>
        <w:t>Validação em outra rede: aplicar o mesmo protocolo fora de Pernambuco separaria o que é método do que é particularidade desta rede.</w:t>
      </w:r>
    </w:p>
    <w:p w14:paraId="51E336E1">
      <w:pPr>
        <w:pStyle w:val="3"/>
        <w:ind w:firstLine="0"/>
        <w:rPr>
          <w:color w:val="2E75B5"/>
        </w:rPr>
      </w:pPr>
      <w:r>
        <w:rPr>
          <w:rFonts w:ascii="Arial" w:hAnsi="Arial" w:eastAsia="Arial" w:cs="Arial"/>
          <w:b w:val="0"/>
        </w:rPr>
        <w:t>Comparação de modelos com mais dados: os três modelos avaliados empataram dentro da margem de incerteza. Com séries mais longas, a comparação deve ser refeita.</w:t>
      </w:r>
    </w:p>
    <w:p w14:paraId="74A766AA">
      <w:pPr>
        <w:pStyle w:val="8"/>
        <w:rPr>
          <w:color w:val="000000"/>
        </w:rPr>
      </w:pPr>
      <w:bookmarkStart w:id="65" w:name="_Toc20691"/>
      <w:r>
        <w:rPr>
          <w:rFonts w:ascii="Arial" w:hAnsi="Arial" w:eastAsia="Arial" w:cs="Arial"/>
          <w:b w:val="0"/>
        </w:rPr>
        <w:t>Referências</w:t>
      </w:r>
      <w:bookmarkEnd w:id="65"/>
    </w:p>
    <w:p w14:paraId="71D7381E">
      <w:pPr>
        <w:pStyle w:val="3"/>
        <w:ind w:firstLine="0"/>
        <w:rPr>
          <w:color w:val="2E75B5"/>
        </w:rPr>
      </w:pPr>
      <w:r>
        <w:rPr>
          <w:rFonts w:ascii="Arial" w:hAnsi="Arial" w:eastAsia="Arial" w:cs="Arial"/>
          <w:b w:val="0"/>
        </w:rPr>
        <w:t>BAKER, R. S. J. D.; YACEF, K. The state of educational data mining in 2009: a review and future visions. Journal of Educational Data Mining, v. 1, n. 1, p. 3–16, 2009.</w:t>
      </w:r>
    </w:p>
    <w:p w14:paraId="117FC7F7">
      <w:pPr>
        <w:pStyle w:val="3"/>
        <w:ind w:firstLine="0"/>
        <w:rPr>
          <w:color w:val="2E75B5"/>
        </w:rPr>
      </w:pPr>
      <w:r>
        <w:rPr>
          <w:rFonts w:ascii="Arial" w:hAnsi="Arial" w:eastAsia="Arial" w:cs="Arial"/>
          <w:b w:val="0"/>
        </w:rPr>
        <w:t>BAROCAS, S.; HARDT, M.; NARAYANAN, A. Fairness and machine learning: limitations and opportunities. Cambridge: MIT Press, 2023.</w:t>
      </w:r>
    </w:p>
    <w:p w14:paraId="659198F8">
      <w:pPr>
        <w:pStyle w:val="3"/>
        <w:ind w:firstLine="0"/>
        <w:rPr>
          <w:color w:val="2E75B5"/>
        </w:rPr>
      </w:pPr>
      <w:r>
        <w:rPr>
          <w:rFonts w:ascii="Arial" w:hAnsi="Arial" w:eastAsia="Arial" w:cs="Arial"/>
          <w:b w:val="0"/>
        </w:rPr>
        <w:t>BOWERS, A. J.; SPROTT, R.; TAFF, S. A. Do we know who will drop out? A review of the predictors of dropping out of high school: precision, sensitivity, and specificity. The High School Journal, v. 96, n. 2, p. 77–100, 2013.</w:t>
      </w:r>
    </w:p>
    <w:p w14:paraId="02DB7CE6">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2024a.</w:t>
      </w:r>
    </w:p>
    <w:p w14:paraId="3898415D">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2024b.</w:t>
      </w:r>
    </w:p>
    <w:p w14:paraId="64A09DD4">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2024c.</w:t>
      </w:r>
    </w:p>
    <w:p w14:paraId="2FB4A314">
      <w:pPr>
        <w:pStyle w:val="3"/>
        <w:ind w:firstLine="0"/>
        <w:rPr>
          <w:color w:val="2E75B5"/>
        </w:rPr>
      </w:pPr>
      <w:r>
        <w:rPr>
          <w:rFonts w:ascii="Arial" w:hAnsi="Arial" w:eastAsia="Arial" w:cs="Arial"/>
          <w:b w:val="0"/>
        </w:rPr>
        <w:t>BREIMAN, L. Random forests. Machine Learning, v. 45, n. 1, p. 5–32, 2001.</w:t>
      </w:r>
    </w:p>
    <w:p w14:paraId="724BA2CC">
      <w:pPr>
        <w:pStyle w:val="3"/>
        <w:ind w:firstLine="0"/>
        <w:rPr>
          <w:color w:val="2E75B5"/>
        </w:rPr>
      </w:pPr>
      <w:r>
        <w:rPr>
          <w:rFonts w:ascii="Arial" w:hAnsi="Arial" w:eastAsia="Arial" w:cs="Arial"/>
          <w:b w:val="0"/>
        </w:rPr>
        <w:t>CHAPMAN, P. et al. CRISP-DM 1.0: step-by-step data mining guide. Copenhagen: SPSS, 2000.</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30CCE930">
      <w:pPr>
        <w:pStyle w:val="3"/>
        <w:ind w:firstLine="0"/>
        <w:rPr>
          <w:color w:val="2E75B5"/>
        </w:rPr>
      </w:pPr>
      <w:r>
        <w:rPr>
          <w:rFonts w:ascii="Arial" w:hAnsi="Arial" w:eastAsia="Arial" w:cs="Arial"/>
          <w:b w:val="0"/>
        </w:rPr>
        <w:t>CORTEZ, P.; SILVA, A. Using data mining to predict secondary school student performance. In: FUTURE BUSINESS TECHNOLOGY CONFERENCE, 5., 2008, Porto. Anais [...]. [S. l.]: EUROSIS, 2008. p. 5–12.</w:t>
      </w:r>
    </w:p>
    <w:p w14:paraId="17B44B3E">
      <w:pPr>
        <w:pStyle w:val="3"/>
        <w:ind w:firstLine="0"/>
        <w:rPr>
          <w:color w:val="2E75B5"/>
        </w:rPr>
      </w:pPr>
      <w:r>
        <w:rPr>
          <w:rFonts w:ascii="Arial" w:hAnsi="Arial" w:eastAsia="Arial" w:cs="Arial"/>
          <w:b w:val="0"/>
        </w:rPr>
        <w:t>FREIRE, P. Pedagogia do oprimido. 17. ed. Rio de Janeiro: Paz e Terra, 1987.</w:t>
      </w:r>
    </w:p>
    <w:p w14:paraId="646EE532">
      <w:pPr>
        <w:pStyle w:val="3"/>
        <w:ind w:firstLine="0"/>
        <w:rPr>
          <w:color w:val="2E75B5"/>
        </w:rPr>
      </w:pPr>
      <w:r>
        <w:rPr>
          <w:rFonts w:ascii="Arial" w:hAnsi="Arial" w:eastAsia="Arial" w:cs="Arial"/>
          <w:b w:val="0"/>
        </w:rPr>
        <w:t>GUYON, I.; ELISSEEFF, A. An introduction to variable and feature selection. Journal of Machine Learning Research, v. 3, p. 1157–1182, 2003.</w:t>
      </w:r>
    </w:p>
    <w:p w14:paraId="6667117A">
      <w:pPr>
        <w:pStyle w:val="3"/>
        <w:ind w:firstLine="0"/>
        <w:rPr>
          <w:color w:val="2E75B5"/>
        </w:rPr>
      </w:pPr>
      <w:r>
        <w:rPr>
          <w:rFonts w:ascii="Arial" w:hAnsi="Arial" w:eastAsia="Arial" w:cs="Arial"/>
          <w:b w:val="0"/>
        </w:rPr>
        <w:t>HARRIS, C. R. et al. Array programming with NumPy. Nature, v. 585, n. 7825, p. 357–362, 2020.</w:t>
      </w:r>
    </w:p>
    <w:p w14:paraId="5099EECC">
      <w:pPr>
        <w:pStyle w:val="3"/>
        <w:ind w:firstLine="0"/>
        <w:rPr>
          <w:color w:val="2E75B5"/>
        </w:rPr>
      </w:pPr>
      <w:r>
        <w:rPr>
          <w:rFonts w:ascii="Arial" w:hAnsi="Arial" w:eastAsia="Arial" w:cs="Arial"/>
          <w:b w:val="0"/>
        </w:rPr>
        <w:t>HASTIE, T.; TIBSHIRANI, R.; FRIEDMAN, J. The elements of statistical learning: data mining, inference, and prediction. 2. ed. New York: Springer, 2009.</w:t>
      </w:r>
    </w:p>
    <w:p w14:paraId="47525BEB">
      <w:pPr>
        <w:pStyle w:val="3"/>
        <w:ind w:firstLine="0"/>
        <w:rPr>
          <w:color w:val="2E75B5"/>
        </w:rPr>
      </w:pPr>
      <w:r>
        <w:rPr>
          <w:rFonts w:ascii="Arial" w:hAnsi="Arial" w:eastAsia="Arial" w:cs="Arial"/>
          <w:b w:val="0"/>
        </w:rPr>
        <w:t>JESUS, J. A. de; GUSMÃO, R. P. de. Investigação da evasão estudantil por meio da mineração de dados e aprendizagem de máquina: um mapeamento sistemático. Revista Brasileira de Informática na Educação, v. 32, p. 807–841, 2024.</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32F7DF0F">
      <w:pPr>
        <w:pStyle w:val="3"/>
        <w:ind w:firstLine="0"/>
        <w:rPr>
          <w:color w:val="2E75B5"/>
        </w:rPr>
      </w:pPr>
      <w:r>
        <w:rPr>
          <w:rFonts w:ascii="Arial" w:hAnsi="Arial" w:eastAsia="Arial" w:cs="Arial"/>
          <w:b w:val="0"/>
        </w:rPr>
        <w:t>McKINNEY, W. Data structures for statistical computing in Python. In: PYTHON IN SCIENCE CONFERENCE, 9., 2010, Austin. Proceedings [...]. [S. l.]: SciPy, 2010. p. 56–61.</w:t>
      </w:r>
    </w:p>
    <w:p w14:paraId="59E263A9">
      <w:pPr>
        <w:pStyle w:val="3"/>
        <w:ind w:firstLine="0"/>
        <w:rPr>
          <w:color w:val="2E75B5"/>
        </w:rPr>
      </w:pPr>
      <w:r>
        <w:rPr>
          <w:rFonts w:ascii="Arial" w:hAnsi="Arial" w:eastAsia="Arial" w:cs="Arial"/>
          <w:b w:val="0"/>
        </w:rPr>
        <w:t>NASCIMENTO, F. F. do; DANTAS, L. C. de O.; CASTRO, A. F. de; QUEIROZ, P. G. G. Técnicas de mineração de dados e aprendizado de máquina aplicados à evasão estudantil: um mapeamento sistemático da literatura. Revista Brasileira de Informática na Educação, v. 32, p. 270–294, 2024.</w:t>
      </w:r>
    </w:p>
    <w:p w14:paraId="3406965D">
      <w:pPr>
        <w:pStyle w:val="3"/>
        <w:ind w:firstLine="0"/>
        <w:rPr>
          <w:color w:val="2E75B5"/>
        </w:rPr>
      </w:pPr>
      <w:r>
        <w:rPr>
          <w:rFonts w:ascii="Arial" w:hAnsi="Arial" w:eastAsia="Arial" w:cs="Arial"/>
          <w:b w:val="0"/>
        </w:rPr>
        <w:t>PEDREGOSA, F. et al. Scikit-learn: machine learning in Python. Journal of Machine Learning Research, v. 12, p. 2825–2830, 2011.</w:t>
      </w:r>
    </w:p>
    <w:p w14:paraId="20E6973C">
      <w:pPr>
        <w:pStyle w:val="3"/>
        <w:ind w:firstLine="0"/>
        <w:rPr>
          <w:color w:val="2E75B5"/>
        </w:rPr>
      </w:pPr>
      <w:r>
        <w:rPr>
          <w:rFonts w:ascii="Arial" w:hAnsi="Arial" w:eastAsia="Arial" w:cs="Arial"/>
          <w:b w:val="0"/>
        </w:rPr>
        <w:t>RIBEIRO, M. T.; SINGH, S.; GUESTRIN, C. “Why should I trust you?”: explaining the predictions of any classifier. In: PROCEEDINGS OF THE 22ND ACM SIGKDD INTERNATIONAL CONFERENCE ON KNOWLEDGE DISCOVERY AND DATA MINING, 2016, São Francisco. Anais [...]. New York: ACM, 2016. p. 1135–1144.</w:t>
      </w:r>
    </w:p>
    <w:p w14:paraId="517B800F">
      <w:pPr>
        <w:pStyle w:val="3"/>
        <w:ind w:firstLine="0"/>
        <w:rPr>
          <w:color w:val="2E75B5"/>
        </w:rPr>
      </w:pPr>
      <w:r>
        <w:rPr>
          <w:rFonts w:ascii="Arial" w:hAnsi="Arial" w:eastAsia="Arial" w:cs="Arial"/>
          <w:b w:val="0"/>
        </w:rPr>
        <w:t>ROBERTS, D. R. et al. Cross-validation strategies for data with temporal, spatial, hierarchical, or phylogenetic structure. Ecography, v. 40, n. 8, p. 913–929, 2017.</w:t>
      </w:r>
    </w:p>
    <w:p w14:paraId="71108688">
      <w:pPr>
        <w:pStyle w:val="3"/>
        <w:ind w:firstLine="0"/>
        <w:rPr>
          <w:color w:val="2E75B5"/>
        </w:rPr>
      </w:pPr>
      <w:r>
        <w:rPr>
          <w:rFonts w:ascii="Arial" w:hAnsi="Arial" w:eastAsia="Arial" w:cs="Arial"/>
          <w:b w:val="0"/>
        </w:rPr>
        <w:t>ROSA, L. et al. The effects of public high school subsidies on student test scores: the case of a full-day high school in Pernambuco, Brazil. Economics of Education Review, v. 87, art. 102201, 2022.</w:t>
      </w:r>
    </w:p>
    <w:p w14:paraId="6A97F6EE">
      <w:pPr>
        <w:pStyle w:val="3"/>
        <w:ind w:firstLine="0"/>
        <w:rPr>
          <w:color w:val="2E75B5"/>
        </w:rPr>
      </w:pPr>
      <w:r>
        <w:rPr>
          <w:rFonts w:ascii="Arial" w:hAnsi="Arial" w:eastAsia="Arial" w:cs="Arial"/>
          <w:b w:val="0"/>
        </w:rPr>
        <w:t>SCULLEY, D. et al. Hidden technical debt in machine learning systems. In: ADVANCES IN NEURAL INFORMATION PROCESSING SYSTEMS, 28., 2015, Montreal. Anais [...]. Red Hook: Curran Associates, 2015. p. 2503–2511.</w:t>
      </w:r>
    </w:p>
    <w:p w14:paraId="3551BBB8">
      <w:pPr>
        <w:pStyle w:val="3"/>
        <w:ind w:firstLine="0"/>
        <w:rPr>
          <w:color w:val="2E75B5"/>
        </w:rPr>
      </w:pPr>
      <w:r>
        <w:rPr>
          <w:rFonts w:ascii="Arial" w:hAnsi="Arial" w:eastAsia="Arial" w:cs="Arial"/>
          <w:b w:val="0"/>
        </w:rPr>
        <w:t>TEODORO, L. de A.; KAPPEL, M. A. A. Aplicação de técnicas de aprendizado de máquina para predição de risco de evasão escolar em instituições públicas de ensino superior no Brasil. Revista Brasileira de Informática na Educação, v. 28, p. 838–863, 2020.</w:t>
      </w:r>
    </w:p>
    <w:p w14:paraId="6FD186B2">
      <w:pPr>
        <w:pStyle w:val="8"/>
        <w:rPr>
          <w:color w:val="000000"/>
        </w:rPr>
      </w:pPr>
      <w:bookmarkStart w:id="66" w:name="_Toc29284"/>
      <w:r>
        <w:rPr>
          <w:rFonts w:ascii="Arial" w:hAnsi="Arial" w:eastAsia="Arial" w:cs="Arial"/>
          <w:b w:val="0"/>
        </w:rPr>
        <w:t>Apêndice A – Relação das 39 características usadas pelo sistema</w:t>
      </w:r>
      <w:bookmarkEnd w:id="66"/>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6D2C892-0751-4D7D-A90F-FF761EE7F276}"/>
  </w:font>
  <w:font w:name="Arial">
    <w:panose1 w:val="020B0604020202020204"/>
    <w:charset w:val="00"/>
    <w:family w:val="swiss"/>
    <w:pitch w:val="default"/>
    <w:sig w:usb0="E0002EFF" w:usb1="C000785B" w:usb2="00000009" w:usb3="00000000" w:csb0="400001FF" w:csb1="FFFF0000"/>
    <w:embedRegular r:id="rId2" w:fontKey="{0C8D4B59-23C8-4EB5-9F51-787BD4FB7393}"/>
  </w:font>
  <w:font w:name="Courier New">
    <w:panose1 w:val="02070309020205020404"/>
    <w:charset w:val="00"/>
    <w:family w:val="modern"/>
    <w:pitch w:val="default"/>
    <w:sig w:usb0="E0002EFF" w:usb1="C0007843" w:usb2="00000009" w:usb3="00000000" w:csb0="400001FF" w:csb1="FFFF0000"/>
    <w:embedRegular r:id="rId3" w:fontKey="{A87C3243-1C6A-43B0-B8CA-69804371819A}"/>
  </w:font>
  <w:font w:name="Symbol">
    <w:panose1 w:val="05050102010706020507"/>
    <w:charset w:val="02"/>
    <w:family w:val="roman"/>
    <w:pitch w:val="default"/>
    <w:sig w:usb0="00000000" w:usb1="00000000" w:usb2="00000000" w:usb3="00000000" w:csb0="80000000" w:csb1="00000000"/>
    <w:embedRegular r:id="rId4" w:fontKey="{0E49A639-7BA3-4B5E-8E8A-FCEF2D1B9888}"/>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5" w:fontKey="{F0B01BD4-7BAE-405F-8E76-29C651C5C6F2}"/>
  </w:font>
  <w:font w:name="Georgia">
    <w:panose1 w:val="02040502050405020303"/>
    <w:charset w:val="00"/>
    <w:family w:val="roman"/>
    <w:pitch w:val="default"/>
    <w:sig w:usb0="00000287" w:usb1="00000000" w:usb2="00000000" w:usb3="00000000" w:csb0="2000009F" w:csb1="00000000"/>
    <w:embedRegular r:id="rId6" w:fontKey="{843598C2-BA39-4C00-A045-C11E3743B452}"/>
  </w:font>
  <w:font w:name="Liberation Sans">
    <w:panose1 w:val="020B0604020202020204"/>
    <w:charset w:val="00"/>
    <w:family w:val="swiss"/>
    <w:pitch w:val="default"/>
    <w:sig w:usb0="E0000AFF" w:usb1="500078FF" w:usb2="00000021" w:usb3="00000000" w:csb0="600001BF" w:csb1="DFF70000"/>
    <w:embedRegular r:id="rId7" w:fontKey="{BC269E65-FDFE-4274-8DDF-06009CB22CDD}"/>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E75FC9"/>
    <w:rsid w:val="05B845C4"/>
    <w:rsid w:val="0E3A73C0"/>
    <w:rsid w:val="154F2ABF"/>
    <w:rsid w:val="1B1E5FE7"/>
    <w:rsid w:val="200E54CB"/>
    <w:rsid w:val="22AB6FED"/>
    <w:rsid w:val="25754CB1"/>
    <w:rsid w:val="2C1B3E3D"/>
    <w:rsid w:val="311C20B6"/>
    <w:rsid w:val="341E170A"/>
    <w:rsid w:val="353476BB"/>
    <w:rsid w:val="361F7A70"/>
    <w:rsid w:val="37816D17"/>
    <w:rsid w:val="400E487F"/>
    <w:rsid w:val="46E010FE"/>
    <w:rsid w:val="4FB122AA"/>
    <w:rsid w:val="54BC7DEB"/>
    <w:rsid w:val="55540C4E"/>
    <w:rsid w:val="59E678F3"/>
    <w:rsid w:val="5B7708DE"/>
    <w:rsid w:val="5DFA0956"/>
    <w:rsid w:val="64D75322"/>
    <w:rsid w:val="654C03D3"/>
    <w:rsid w:val="7195085D"/>
    <w:rsid w:val="79F53997"/>
    <w:rsid w:val="7A046AD5"/>
    <w:rsid w:val="7BED7A4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character" w:styleId="11">
    <w:name w:val="Hyperlink"/>
    <w:qFormat/>
    <w:uiPriority w:val="0"/>
    <w:rPr>
      <w:color w:val="000080"/>
      <w:u w:val="single"/>
    </w:rPr>
  </w:style>
  <w:style w:type="paragraph" w:styleId="12">
    <w:name w:val="toc 2"/>
    <w:basedOn w:val="1"/>
    <w:next w:val="1"/>
    <w:qFormat/>
    <w:uiPriority w:val="0"/>
    <w:pPr>
      <w:ind w:left="420" w:leftChars="200"/>
    </w:pPr>
  </w:style>
  <w:style w:type="paragraph" w:styleId="13">
    <w:name w:val="List"/>
    <w:basedOn w:val="14"/>
    <w:qFormat/>
    <w:uiPriority w:val="0"/>
    <w:rPr>
      <w:rFonts w:cs="Arial"/>
    </w:rPr>
  </w:style>
  <w:style w:type="paragraph" w:styleId="14">
    <w:name w:val="Body Text"/>
    <w:basedOn w:val="1"/>
    <w:qFormat/>
    <w:uiPriority w:val="0"/>
    <w:pPr>
      <w:spacing w:before="0" w:after="140" w:line="276" w:lineRule="auto"/>
    </w:pPr>
  </w:style>
  <w:style w:type="paragraph" w:styleId="15">
    <w:name w:val="toc 6"/>
    <w:basedOn w:val="1"/>
    <w:next w:val="1"/>
    <w:qFormat/>
    <w:uiPriority w:val="0"/>
    <w:pPr>
      <w:ind w:left="2100" w:leftChars="1000"/>
    </w:pPr>
  </w:style>
  <w:style w:type="paragraph" w:styleId="16">
    <w:name w:val="Title"/>
    <w:basedOn w:val="3"/>
    <w:next w:val="3"/>
    <w:qFormat/>
    <w:uiPriority w:val="0"/>
    <w:pPr>
      <w:keepNext/>
      <w:keepLines/>
      <w:pageBreakBefore w:val="0"/>
      <w:spacing w:before="480" w:after="120" w:line="240" w:lineRule="auto"/>
    </w:pPr>
    <w:rPr>
      <w:b/>
      <w:bCs/>
      <w:sz w:val="72"/>
      <w:szCs w:val="72"/>
    </w:rPr>
  </w:style>
  <w:style w:type="paragraph" w:styleId="17">
    <w:name w:val="header"/>
    <w:basedOn w:val="18"/>
    <w:qFormat/>
    <w:uiPriority w:val="0"/>
  </w:style>
  <w:style w:type="paragraph" w:customStyle="1" w:styleId="18">
    <w:name w:val="Cabeçalho e rodapé"/>
    <w:basedOn w:val="1"/>
    <w:qFormat/>
    <w:uiPriority w:val="0"/>
  </w:style>
  <w:style w:type="paragraph" w:styleId="19">
    <w:name w:val="caption"/>
    <w:basedOn w:val="1"/>
    <w:qFormat/>
    <w:uiPriority w:val="0"/>
    <w:pPr>
      <w:suppressLineNumbers/>
      <w:spacing w:before="120" w:after="120"/>
    </w:pPr>
    <w:rPr>
      <w:rFonts w:cs="Arial"/>
      <w:i/>
      <w:iCs/>
      <w:sz w:val="24"/>
      <w:szCs w:val="24"/>
    </w:rPr>
  </w:style>
  <w:style w:type="paragraph" w:styleId="20">
    <w:name w:val="toc 3"/>
    <w:basedOn w:val="1"/>
    <w:next w:val="1"/>
    <w:qFormat/>
    <w:uiPriority w:val="0"/>
    <w:pPr>
      <w:ind w:left="840" w:leftChars="400"/>
    </w:pPr>
  </w:style>
  <w:style w:type="paragraph" w:styleId="21">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22">
    <w:name w:val="toc 1"/>
    <w:basedOn w:val="1"/>
    <w:next w:val="1"/>
    <w:qFormat/>
    <w:uiPriority w:val="0"/>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1"/>
    <w:basedOn w:val="1"/>
    <w:next w:val="14"/>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4"/>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65</Pages>
  <Words>9961</Words>
  <Characters>54488</Characters>
  <Paragraphs>463</Paragraphs>
  <TotalTime>5</TotalTime>
  <ScaleCrop>false</ScaleCrop>
  <LinksUpToDate>false</LinksUpToDate>
  <CharactersWithSpaces>64076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2026-08-01T00:39:14Z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1046-12.1.0.28032</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