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1C319AFF">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CFB392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_Toc14999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_Toc14999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B48AF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_Toc30512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_Toc30512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7735E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_Toc26586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_Toc26586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86563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_Toc32683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_Toc32683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A7590D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_Toc9018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_Toc9018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1017B6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_Toc15928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_Toc15928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5595F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_Toc18478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_Toc18478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21747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_Toc5545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_Toc5545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9551C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_Toc13971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_Toc13971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64DD1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_Toc5491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_Toc5491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F5A80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_Toc23274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_Toc23274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B1965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_Toc12139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_Toc12139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56504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_Toc8619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_Toc8619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B81D9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_Toc8277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_Toc8277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38864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_Toc30212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_Toc30212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5AEEB7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_Toc18978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_Toc18978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01AC7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_Toc12220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_Toc12220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445B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_Toc29892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_Toc29892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9CE44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_Toc12568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_Toc12568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BCA74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_Toc21253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_Toc21253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BA84B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_Toc15600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_Toc15600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7DB4A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_Toc21195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_Toc21195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8C174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_Toc3667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_Toc3667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0049C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_Toc15523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_Toc15523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54568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_Toc18028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_Toc18028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58E23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_Toc1170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_Toc1170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48425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_Toc10895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_Toc10895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1256D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_Toc32376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_Toc32376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927F7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_Toc15245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_Toc15245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6506A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_Toc31374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_Toc31374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95B68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_Toc14527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_Toc14527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E58B4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_Toc12991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_Toc12991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B3F35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_Toc29809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_Toc29809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1B6B6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_Toc30709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_Toc30709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E2C41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_Toc19598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_Toc19598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DD798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_Toc18056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_Toc18056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68DCC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_Toc29114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_Toc29114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A56FC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_Toc25461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_Toc25461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8936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_Toc14403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_Toc14403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4C25F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_Toc28682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_Toc28682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8D217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_Toc18830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_Toc18830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BA43E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_Toc4133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_Toc4133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341D2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_Toc488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15FF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_Toc24378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_Toc24378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F13D7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_Toc26082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_Toc26082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0A20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_Toc4796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_Toc4796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18B54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_Toc13227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_Toc13227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01F2B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_Toc23709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_Toc23709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7F4D6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_Toc30713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_Toc30713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07DDC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_Toc30465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_Toc30465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80A3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_Toc2948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_Toc2948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B6C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_Toc19034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_Toc19034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0CEBC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_Toc17703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_Toc17703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7FF39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_Toc27010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_Toc27010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77AC5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_Toc19992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_Toc19992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E65F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_Toc15251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_Toc15251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D5E4B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_Toc12507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_Toc12507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29235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_Toc10633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_Toc10633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CF9D9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_Toc16606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_Toc16606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EFE5B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_Toc5621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_Toc5621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B74D6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_Toc10205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_Toc10205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118CA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_Toc22348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_Toc22348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8DF86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_Toc3968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_Toc3968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353D9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_Toc29070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_Toc29070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A983C0">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_Toc20691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_Toc20691 \h </w:instrText>
          </w:r>
          <w:r>
            <w:fldChar w:fldCharType="separate"/>
          </w:r>
          <w:r>
            <w:t>61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DF7611">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_Toc29284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_Toc29284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4999"/>
      <w:r>
        <w:rPr>
          <w:rFonts w:ascii="Arial" w:hAnsi="Arial" w:eastAsia="Arial" w:cs="Arial"/>
          <w:b w:val="0"/>
        </w:rPr>
        <w:t>Introdução</w:t>
      </w:r>
      <w:bookmarkEnd w:id="1"/>
    </w:p>
    <w:p w14:paraId="71BF03DA">
      <w:pPr>
        <w:pStyle w:val="4"/>
        <w:numPr>
          <w:ilvl w:val="1"/>
          <w:numId w:val="1"/>
        </w:numPr>
      </w:pPr>
      <w:bookmarkStart w:id="2" w:name="_Toc30512"/>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6586"/>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2683"/>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9018"/>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5928"/>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847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5545"/>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3971"/>
      <w:r>
        <w:rPr>
          <w:rFonts w:ascii="Arial" w:hAnsi="Arial" w:eastAsia="Arial" w:cs="Arial"/>
          <w:b w:val="0"/>
        </w:rPr>
        <w:t>Fundamentação Teórica</w:t>
      </w:r>
      <w:bookmarkEnd w:id="9"/>
    </w:p>
    <w:p w14:paraId="0ED2592D">
      <w:pPr>
        <w:pStyle w:val="5"/>
        <w:numPr>
          <w:ilvl w:val="2"/>
          <w:numId w:val="1"/>
        </w:numPr>
      </w:pPr>
      <w:bookmarkStart w:id="10" w:name="_Toc5491"/>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3274"/>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2139"/>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8619"/>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8277"/>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30212"/>
      <w:r>
        <w:rPr>
          <w:rFonts w:ascii="Arial" w:hAnsi="Arial" w:eastAsia="Arial" w:cs="Arial"/>
          <w:b w:val="0"/>
        </w:rPr>
        <w:t>Método de Desenvolvimento</w:t>
      </w:r>
      <w:bookmarkEnd w:id="15"/>
    </w:p>
    <w:p w14:paraId="39EFBDEF">
      <w:pPr>
        <w:pStyle w:val="4"/>
        <w:numPr>
          <w:ilvl w:val="1"/>
          <w:numId w:val="1"/>
        </w:numPr>
      </w:pPr>
      <w:bookmarkStart w:id="16" w:name="_Toc18978"/>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12220"/>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29892"/>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2568"/>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2125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5600"/>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1195"/>
      <w:r>
        <w:rPr>
          <w:rFonts w:ascii="Arial" w:hAnsi="Arial" w:eastAsia="Arial" w:cs="Arial"/>
          <w:b w:val="0"/>
        </w:rPr>
        <w:t>Construção e Ajuste do Modelo de Previsão</w:t>
      </w:r>
      <w:bookmarkEnd w:id="22"/>
    </w:p>
    <w:p w14:paraId="234DC940">
      <w:pPr>
        <w:pStyle w:val="3"/>
        <w:ind w:firstLine="0"/>
        <w:rPr>
          <w:color w:val="2E75B5"/>
        </w:rPr>
      </w:pPr>
      <w:r>
        <w:t xml:space="preserve">A quarta fase construiu o modelo. Antes do modelo principal foram avaliados dois modelos de referência, um linear </w:t>
      </w:r>
      <w:r>
        <w:rPr>
          <w:color w:val="1F4E9B"/>
          <w:highlight w:val="yellow"/>
        </w:rPr>
        <w:t>(regressão Ridge)</w:t>
      </w:r>
      <w:r>
        <w:t xml:space="preserve"> e um baseado em árvores de decisão </w:t>
      </w:r>
      <w:r>
        <w:rPr>
          <w:color w:val="1F4E9B"/>
          <w:highlight w:val="yellow"/>
        </w:rPr>
        <w:t>(floresta aleatória)</w:t>
      </w:r>
      <w:r>
        <w:t>,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3667"/>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5523"/>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028"/>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170"/>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0895"/>
      <w:r>
        <w:rPr>
          <w:rFonts w:ascii="Arial" w:hAnsi="Arial" w:eastAsia="Arial" w:cs="Arial"/>
          <w:b w:val="0"/>
        </w:rPr>
        <w:t>Arquitetura do Software</w:t>
      </w:r>
      <w:bookmarkEnd w:id="27"/>
    </w:p>
    <w:p w14:paraId="527CA8A8">
      <w:pPr>
        <w:pStyle w:val="4"/>
        <w:numPr>
          <w:ilvl w:val="1"/>
          <w:numId w:val="1"/>
        </w:numPr>
      </w:pPr>
      <w:bookmarkStart w:id="28" w:name="_Toc3237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5245"/>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1374"/>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4527"/>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2991"/>
      <w:r>
        <w:rPr>
          <w:rFonts w:ascii="Arial" w:hAnsi="Arial" w:eastAsia="Arial" w:cs="Arial"/>
          <w:b w:val="0"/>
        </w:rPr>
        <w:t>Tecnologias e Aspectos de Implementação</w:t>
      </w:r>
      <w:bookmarkEnd w:id="32"/>
    </w:p>
    <w:p w14:paraId="6E080A24">
      <w:pPr>
        <w:pStyle w:val="4"/>
        <w:numPr>
          <w:ilvl w:val="1"/>
          <w:numId w:val="1"/>
        </w:numPr>
      </w:pPr>
      <w:bookmarkStart w:id="33" w:name="_Toc29809"/>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30709"/>
      <w:r>
        <w:rPr>
          <w:rFonts w:ascii="Arial" w:hAnsi="Arial" w:eastAsia="Arial" w:cs="Arial"/>
          <w:b w:val="0"/>
        </w:rPr>
        <w:t>Aspectos de Implementação</w:t>
      </w:r>
      <w:bookmarkEnd w:id="34"/>
    </w:p>
    <w:p w14:paraId="1D664FD8">
      <w:pPr>
        <w:pStyle w:val="5"/>
        <w:numPr>
          <w:ilvl w:val="2"/>
          <w:numId w:val="1"/>
        </w:numPr>
      </w:pPr>
      <w:bookmarkStart w:id="35" w:name="_Toc19598"/>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18056"/>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29114"/>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2546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4403"/>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28682"/>
      <w:r>
        <w:rPr>
          <w:rFonts w:ascii="Arial" w:hAnsi="Arial" w:eastAsia="Arial" w:cs="Arial"/>
          <w:b w:val="0"/>
        </w:rPr>
        <w:t>Testes e Análise dos Resultados</w:t>
      </w:r>
      <w:bookmarkEnd w:id="40"/>
    </w:p>
    <w:p w14:paraId="5264F51A">
      <w:pPr>
        <w:pStyle w:val="4"/>
        <w:numPr>
          <w:ilvl w:val="1"/>
          <w:numId w:val="1"/>
        </w:numPr>
      </w:pPr>
      <w:bookmarkStart w:id="41" w:name="_Toc18830"/>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413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488"/>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4378"/>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6082"/>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4796"/>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3227"/>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3709"/>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0713"/>
      <w:r>
        <w:rPr>
          <w:rFonts w:ascii="Arial" w:hAnsi="Arial" w:eastAsia="Arial" w:cs="Arial"/>
          <w:b w:val="0"/>
        </w:rPr>
        <w:t>Desempenho do Sistema</w:t>
      </w:r>
      <w:bookmarkEnd w:id="49"/>
    </w:p>
    <w:p w14:paraId="4805032B">
      <w:pPr>
        <w:pStyle w:val="5"/>
        <w:numPr>
          <w:ilvl w:val="2"/>
          <w:numId w:val="1"/>
        </w:numPr>
      </w:pPr>
      <w:bookmarkStart w:id="50" w:name="_Toc30465"/>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1804DADF">
      <w:pPr>
        <w:pStyle w:val="3"/>
        <w:ind w:firstLine="0"/>
        <w:rPr>
          <w:color w:val="2E75B5"/>
        </w:rPr>
      </w:pPr>
      <w:r>
        <w:rPr>
          <w:rFonts w:ascii="Arial" w:hAnsi="Arial"/>
          <w:color w:val="0000FF"/>
          <w:highlight w:val="yellow"/>
        </w:rPr>
        <w:t>Antes da comparação entre modelos, convém responder em termos diretos quanto o sistema erra e quanto acerta. No cenário que simula o uso real, ele erra o valor da taxa de abandono de cada escola em cerca de 2,9 pontos percentuais — o equivalente a cerca de 3 alunos por escola —, de modo que a taxa prevista não deve ser lida como um número exato. O acerto está em indicar quem precisa de atenção primeiro: de cada dez escolas que o sistema coloca no topo da lista de prioridade, cerca de quatro estavam de fato entre as de maior abandono, contra menos de uma se a lista fosse montada ao acaso. É essa capacidade de ordenar, e não o valor exato da taxa, que constitui a contribuição do sistema; os quadros seguintes detalham esses números.</w:t>
      </w:r>
    </w:p>
    <w:p w14:paraId="242E4030">
      <w:pPr>
        <w:pStyle w:val="5"/>
        <w:numPr>
          <w:ilvl w:val="2"/>
          <w:numId w:val="1"/>
        </w:numPr>
      </w:pPr>
      <w:bookmarkStart w:id="51" w:name="_Toc2948"/>
      <w:r>
        <w:rPr>
          <w:rFonts w:ascii="Arial" w:hAnsi="Arial" w:eastAsia="Arial" w:cs="Arial"/>
          <w:b w:val="0"/>
        </w:rPr>
        <w:t>Resultados em Validação Repetida</w:t>
      </w:r>
      <w:bookmarkEnd w:id="51"/>
    </w:p>
    <w:p w14:paraId="420AAE76">
      <w:pPr>
        <w:pStyle w:val="3"/>
        <w:ind w:firstLine="0"/>
        <w:rPr>
          <w:color w:val="auto"/>
          <w:highlight w:val="none"/>
        </w:rPr>
      </w:pPr>
      <w:r>
        <w:t xml:space="preserve">O Quadro 9 reúne o desempenho dos quatro modelos </w:t>
      </w:r>
      <w:r>
        <w:rPr>
          <w:color w:val="1F4E9B"/>
          <w:highlight w:val="yellow"/>
        </w:rPr>
        <w:t>— o piso trivial da média da rede, os dois modelos de referência e o modelo adotado (XGBoost) —</w:t>
      </w:r>
      <w:r>
        <w:t xml:space="preserve"> sob o primeiro protocolo, com a faixa de confiança obtida nas 20 repetições.</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color w:val="FFFFFF"/>
          <w:highlight w:val="red"/>
        </w:rPr>
        <w:t xml:space="preserve">Cada coluna do Quadro 9 conta uma história diferente. </w:t>
      </w:r>
      <w:r>
        <w:rPr>
          <w:rFonts w:ascii="Arial" w:hAnsi="Arial"/>
          <w:color w:val="0000FF"/>
          <w:highlight w:val="yellow"/>
        </w:rPr>
        <w:t xml:space="preserve">O Quadro 9 responde, na validação repetida, às duas perguntas que importam: quanto cada modelo erra e quanto acerta. </w:t>
      </w:r>
      <w:r>
        <w:rPr>
          <w:rFonts w:ascii="Arial" w:hAnsi="Arial"/>
        </w:rPr>
        <w:t>O erro médio melhora pouco</w:t>
      </w:r>
      <w:r>
        <w:rPr>
          <w:rFonts w:ascii="Arial" w:hAnsi="Arial"/>
          <w:color w:val="0000FF"/>
          <w:highlight w:val="yellow"/>
        </w:rPr>
        <w:t xml:space="preserve"> (2,6 pontos percentuais no modelo adotado, contra 3,2 do palpite pela média da rede)</w:t>
      </w:r>
      <w:r>
        <w:rPr>
          <w:rFonts w:ascii="Arial" w:hAnsi="Arial"/>
        </w:rPr>
        <w:t>: o sistema continua errando o valor exato da taxa. Já a ordenação e o acerto da lista prioritária melhoram muito em relação à média da rede. Na ordenação os três modelos ficam praticamente empatados, com intervalos de confiança que se sobrepõem e sem vencedor claro</w:t>
      </w:r>
      <w:r>
        <w:rPr>
          <w:rFonts w:ascii="Arial" w:hAnsi="Arial"/>
          <w:color w:val="FFFFFF"/>
          <w:highlight w:val="red"/>
        </w:rPr>
        <w:t xml:space="preserve">, e o modelo adotado acompanha os demais: </w:t>
      </w:r>
      <w:r>
        <w:rPr>
          <w:rFonts w:ascii="Arial" w:hAnsi="Arial"/>
          <w:color w:val="0000FF"/>
          <w:highlight w:val="yellow"/>
        </w:rPr>
        <w:t xml:space="preserve">. O modelo adotado acompanha os demais: </w:t>
      </w:r>
      <w:r>
        <w:rPr>
          <w:rFonts w:ascii="Arial" w:hAnsi="Arial"/>
        </w:rPr>
        <w:t>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9034"/>
      <w:r>
        <w:rPr>
          <w:rFonts w:ascii="Arial" w:hAnsi="Arial" w:eastAsia="Arial" w:cs="Arial"/>
          <w:b w:val="0"/>
        </w:rPr>
        <w:t>Resultados no Teste do Ano Nunca Visto</w:t>
      </w:r>
      <w:bookmarkEnd w:id="52"/>
    </w:p>
    <w:p w14:paraId="0226D584">
      <w:pPr>
        <w:pStyle w:val="3"/>
        <w:ind w:firstLine="0"/>
        <w:rPr>
          <w:color w:val="auto"/>
          <w:highlight w:val="none"/>
        </w:rPr>
      </w:pPr>
      <w:bookmarkStart w:id="67" w:name="_GoBack"/>
      <w:r>
        <w:rPr>
          <w:color w:val="auto"/>
          <w:highlight w:val="none"/>
        </w:rPr>
        <w:t>O Quadro 10 repete a comparação sob o segundo protocolo, em que o modelo aprende com os pares de 2022 e 2023 e é avaliado num ano que nunca viu.</w:t>
      </w:r>
    </w:p>
    <w:bookmarkEnd w:id="67"/>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Entre um ciclo e outro o abandono médio da rede caiu, e nenhum modelo superou o piso trivial no erro de magnitude: todos erram sistematicamente o nível da taxa.</w:t>
      </w:r>
      <w:r>
        <w:rPr>
          <w:rFonts w:ascii="Arial" w:hAnsi="Arial"/>
          <w:color w:val="0000FF"/>
          <w:highlight w:val="yellow"/>
        </w:rPr>
        <w:t xml:space="preserve"> Em números, o modelo adotado erra a taxa de cada escola em 2,9 pontos percentuais, em média, ante 2,5 de quem simplesmente repete a média da rede para todas as escolas.</w:t>
      </w:r>
      <w:r>
        <w:rPr>
          <w:rFonts w:ascii="Arial" w:hAnsi="Arial"/>
        </w:rPr>
        <w:t xml:space="preserve"> As medidas de ordenação, porém, permanecem muito acima do piso. O sistema continua identificando quais escolas terão abandono alto, mesmo errando o valor.</w:t>
      </w:r>
      <w:r>
        <w:rPr>
          <w:rFonts w:ascii="Arial" w:hAnsi="Arial"/>
          <w:color w:val="0000FF"/>
          <w:highlight w:val="yellow"/>
        </w:rPr>
        <w:t xml:space="preserve"> Das 79 escolas que ele coloca no topo da lista (10% da rede do ano de teste), 33 estavam de fato entre as de maior abandono; a escolha ao acaso acertaria 7 — um ganho de quase cinco vezes.</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t xml:space="preserve">Entre modelos tão próximos, o XGBoost foi mantido como </w:t>
      </w:r>
      <w:r>
        <w:rPr>
          <w:color w:val="1F4E9B"/>
          <w:highlight w:val="yellow"/>
        </w:rPr>
        <w:t>modelo adotado por duas razões</w:t>
      </w:r>
      <w:r>
        <w:t xml:space="preserve">,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w:t>
      </w:r>
      <w:r>
        <w:rPr>
          <w:color w:val="1F4E9B"/>
          <w:highlight w:val="yellow"/>
        </w:rPr>
        <w:t>O modelo de referência em árvores</w:t>
      </w:r>
      <w:r>
        <w:t xml:space="preserve">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17703"/>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27010"/>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9992"/>
      <w:r>
        <w:rPr>
          <w:rFonts w:ascii="Arial" w:hAnsi="Arial" w:eastAsia="Arial" w:cs="Arial"/>
          <w:b w:val="0"/>
        </w:rPr>
        <w:t>Explicação das Indicações</w:t>
      </w:r>
      <w:bookmarkEnd w:id="55"/>
    </w:p>
    <w:p w14:paraId="4564E80B">
      <w:pPr>
        <w:pStyle w:val="5"/>
        <w:numPr>
          <w:ilvl w:val="2"/>
          <w:numId w:val="1"/>
        </w:numPr>
      </w:pPr>
      <w:bookmarkStart w:id="56" w:name="_Toc15251"/>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12507"/>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0633"/>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16606"/>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5621"/>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10205"/>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2348"/>
      <w:r>
        <w:rPr>
          <w:rFonts w:ascii="Arial" w:hAnsi="Arial" w:eastAsia="Arial" w:cs="Arial"/>
          <w:b w:val="0"/>
        </w:rPr>
        <w:t>Conclusões e Trabalhos Futuros</w:t>
      </w:r>
      <w:bookmarkEnd w:id="62"/>
    </w:p>
    <w:p w14:paraId="2B49EC9B">
      <w:pPr>
        <w:pStyle w:val="4"/>
        <w:numPr>
          <w:ilvl w:val="1"/>
          <w:numId w:val="1"/>
        </w:numPr>
      </w:pPr>
      <w:bookmarkStart w:id="63" w:name="_Toc3968"/>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29070"/>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5" w:name="_Toc20691"/>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29284"/>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6D2C892-0751-4D7D-A90F-FF761EE7F276}"/>
  </w:font>
  <w:font w:name="Arial">
    <w:panose1 w:val="020B0604020202020204"/>
    <w:charset w:val="00"/>
    <w:family w:val="swiss"/>
    <w:pitch w:val="default"/>
    <w:sig w:usb0="E0002EFF" w:usb1="C000785B" w:usb2="00000009" w:usb3="00000000" w:csb0="400001FF" w:csb1="FFFF0000"/>
    <w:embedRegular r:id="rId2" w:fontKey="{0C8D4B59-23C8-4EB5-9F51-787BD4FB7393}"/>
  </w:font>
  <w:font w:name="Courier New">
    <w:panose1 w:val="02070309020205020404"/>
    <w:charset w:val="00"/>
    <w:family w:val="modern"/>
    <w:pitch w:val="default"/>
    <w:sig w:usb0="E0002EFF" w:usb1="C0007843" w:usb2="00000009" w:usb3="00000000" w:csb0="400001FF" w:csb1="FFFF0000"/>
    <w:embedRegular r:id="rId3" w:fontKey="{A87C3243-1C6A-43B0-B8CA-69804371819A}"/>
  </w:font>
  <w:font w:name="Symbol">
    <w:panose1 w:val="05050102010706020507"/>
    <w:charset w:val="02"/>
    <w:family w:val="roman"/>
    <w:pitch w:val="default"/>
    <w:sig w:usb0="00000000" w:usb1="00000000" w:usb2="00000000" w:usb3="00000000" w:csb0="80000000" w:csb1="00000000"/>
    <w:embedRegular r:id="rId4" w:fontKey="{0E49A639-7BA3-4B5E-8E8A-FCEF2D1B9888}"/>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F0B01BD4-7BAE-405F-8E76-29C651C5C6F2}"/>
  </w:font>
  <w:font w:name="Georgia">
    <w:panose1 w:val="02040502050405020303"/>
    <w:charset w:val="00"/>
    <w:family w:val="roman"/>
    <w:pitch w:val="default"/>
    <w:sig w:usb0="00000287" w:usb1="00000000" w:usb2="00000000" w:usb3="00000000" w:csb0="2000009F" w:csb1="00000000"/>
    <w:embedRegular r:id="rId6" w:fontKey="{843598C2-BA39-4C00-A045-C11E3743B452}"/>
  </w:font>
  <w:font w:name="Liberation Sans">
    <w:panose1 w:val="020B0604020202020204"/>
    <w:charset w:val="00"/>
    <w:family w:val="swiss"/>
    <w:pitch w:val="default"/>
    <w:sig w:usb0="E0000AFF" w:usb1="500078FF" w:usb2="00000021" w:usb3="00000000" w:csb0="600001BF" w:csb1="DFF70000"/>
    <w:embedRegular r:id="rId7" w:fontKey="{BC269E65-FDFE-4274-8DDF-06009CB22CD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54F2ABF"/>
    <w:rsid w:val="1B1E5FE7"/>
    <w:rsid w:val="200E54CB"/>
    <w:rsid w:val="22AB6FED"/>
    <w:rsid w:val="25754CB1"/>
    <w:rsid w:val="2C1B3E3D"/>
    <w:rsid w:val="311C20B6"/>
    <w:rsid w:val="341E170A"/>
    <w:rsid w:val="353476BB"/>
    <w:rsid w:val="361F7A70"/>
    <w:rsid w:val="37816D17"/>
    <w:rsid w:val="400E487F"/>
    <w:rsid w:val="46E010FE"/>
    <w:rsid w:val="4FB122AA"/>
    <w:rsid w:val="54BC7DEB"/>
    <w:rsid w:val="55540C4E"/>
    <w:rsid w:val="59E678F3"/>
    <w:rsid w:val="5B7708DE"/>
    <w:rsid w:val="5DFA0956"/>
    <w:rsid w:val="64D75322"/>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65</Pages>
  <Words>9961</Words>
  <Characters>54488</Characters>
  <Paragraphs>463</Paragraphs>
  <TotalTime>5</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2026-08-01T00:39:14Z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