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Guia de Apresentação — versão 2</w:t>
        <w:br/>
      </w:r>
      <w:r>
        <w:rPr>
          <w:sz w:val="28"/>
        </w:rPr>
        <w:t>Identificação precoce de risco de evasão escolar em escolas estaduais de Ensino Médio de Pernambuco</w:t>
        <w:br/>
      </w:r>
      <w:r>
        <w:rPr>
          <w:color w:val="595959"/>
          <w:sz w:val="22"/>
        </w:rPr>
        <w:t>Roteiro de defesa com demo do painel — julho de 2026</w:t>
      </w:r>
    </w:p>
    <w:p/>
    <w:p>
      <w:r>
        <w:t>Este guia substitui a versão de junho. Ele incorpora o que mudou desde então: a avaliação e a exclusão fundamentada dos indicadores IED e ICG, o painel de priorização em Streamlit (Fase 8), os números finais do modelo e o achado de equidade. O formato de cada bloco é o mesmo da versão anterior: o que mostrar, o que dizer e por quê. Os tempos somam cerca de 20 minutos de fala mais 3 de demo.</w:t>
      </w:r>
    </w:p>
    <w:p/>
    <w:p>
      <w:pPr>
        <w:pStyle w:val="Heading2"/>
      </w:pPr>
      <w:r>
        <w:t>Números que você precisa saber de cor</w:t>
      </w:r>
    </w:p>
    <w:p>
      <w:pPr>
        <w:pStyle w:val="ListBullet"/>
      </w:pPr>
      <w:r>
        <w:t>806 escolas, 2.392 observações no painel (2022–2024); 97,4% presentes nos três anos.</w:t>
      </w:r>
    </w:p>
    <w:p>
      <w:pPr>
        <w:pStyle w:val="ListBullet"/>
      </w:pPr>
      <w:r>
        <w:t>Dataset de modelagem: 1.586 observações × 39 características, sem dados ausentes.</w:t>
      </w:r>
    </w:p>
    <w:p>
      <w:pPr>
        <w:pStyle w:val="ListBullet"/>
      </w:pPr>
      <w:r>
        <w:t>114 testes automatizados; pipeline em camadas (src.data → features → models → recommend).</w:t>
      </w:r>
    </w:p>
    <w:p>
      <w:pPr>
        <w:pStyle w:val="ListBullet"/>
      </w:pPr>
      <w:r>
        <w:t>Modelo adotado (XGBoost): Spearman 0,416 (validação repetida) e 0,348 (temporal); ROC-AUC 0,798; RMSE 2,60 p.p. Os três modelos empatam na ordenação — o Random Forest fica à frente de raspão (0,431).</w:t>
      </w:r>
    </w:p>
    <w:p>
      <w:pPr>
        <w:pStyle w:val="ListBullet"/>
      </w:pPr>
      <w:r>
        <w:t>Principais sinais de risco (SHAP): o histórico de abandono e reprovação do ano anterior, a defasagem idade-série e o abandono na 2ª série; o nível socioeconômico (INSE) atua como proteção.</w:t>
      </w:r>
    </w:p>
    <w:p>
      <w:pPr>
        <w:pStyle w:val="ListBullet"/>
      </w:pPr>
      <w:r>
        <w:t>Achado de equidade: o sistema erra para mais nas escolas de localização diferenciada — resíduo médio de −4,09 p.p., contra +0,42 nas urbanas e −1,02 nas rurais.</w:t>
      </w:r>
    </w:p>
    <w:p>
      <w:pPr>
        <w:pStyle w:val="ListBullet"/>
      </w:pPr>
      <w:r>
        <w:t>Erro em número de alunos: o sistema erra, em média, cerca de 3 por escola; decomposto por transição, rende mais em 2022→2023 do que em 2023→2024 (SS13).</w:t>
      </w:r>
    </w:p>
    <w:p>
      <w:pPr>
        <w:pStyle w:val="ListBullet"/>
      </w:pPr>
      <w:r>
        <w:t>Infraestrutura rural 0,52 vs urbana 0,71 (p&lt;0,0001); tempo integral de 56,7% (2022) para 64,9% (2024).</w:t>
      </w:r>
    </w:p>
    <w:p>
      <w:r>
        <w:br w:type="page"/>
      </w:r>
    </w:p>
    <w:p>
      <w:pPr>
        <w:pStyle w:val="Heading1"/>
      </w:pPr>
      <w:r>
        <w:t>1. Abertura — o problema (2 min)</w:t>
      </w:r>
    </w:p>
    <w:p>
      <w:r>
        <w:rPr>
          <w:b/>
          <w:color w:val="1F4E79"/>
        </w:rPr>
        <w:t xml:space="preserve">O que mostrar: </w:t>
      </w:r>
      <w:r>
        <w:t>Nenhum slide técnico. Uma figura e o problema humano.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06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2_distribuicao_abandon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Distribuição da taxa de abandono nas escolas estaduais de EM</w:t>
      </w:r>
    </w:p>
    <w:p>
      <w:r>
        <w:rPr>
          <w:b/>
          <w:color w:val="1F4E79"/>
        </w:rPr>
        <w:t xml:space="preserve">O que dizer: </w:t>
      </w:r>
      <w:r>
        <w:t>A evasão no Ensino Médio é um dos principais entraves da educação brasileira. Em Pernambuco, a rede estadual tem cerca de 800 escolas de Ensino Médio em 185 municípios. A maioria tem abandono baixo — mas a cauda da distribuição concentra escolas onde um em cada cinco alunos abandona. Hoje o gestor só descobre isso depois, quando o índice já caiu. A pergunta deste trabalho: dá para descobrir antes?</w:t>
      </w:r>
    </w:p>
    <w:p>
      <w:r>
        <w:rPr>
          <w:b/>
          <w:color w:val="1F4E79"/>
        </w:rPr>
        <w:t xml:space="preserve">Por quê: </w:t>
      </w:r>
      <w:r>
        <w:t>Começar pelo problema, não pela técnica, dá à banca o critério para julgar todas as decisões seguintes: tudo existe para antecipar a intervenção do gestor.</w:t>
      </w:r>
    </w:p>
    <w:p>
      <w:r>
        <w:rPr>
          <w:i/>
          <w:color w:val="1F4E79"/>
        </w:rPr>
        <w:t>Frase-chave: “Hoje a gestão age depois que o abandono aparece nos índices. Este sistema inverte essa lógica.”</w:t>
      </w:r>
    </w:p>
    <w:p>
      <w:pPr>
        <w:pStyle w:val="Heading1"/>
      </w:pPr>
      <w:r>
        <w:t>2. A pergunta e as duas decisões-chave (2 min)</w:t>
      </w:r>
    </w:p>
    <w:p>
      <w:r>
        <w:rPr>
          <w:b/>
          <w:color w:val="1F4E79"/>
        </w:rPr>
        <w:t xml:space="preserve">O que mostrar: </w:t>
      </w:r>
      <w:r>
        <w:t>Slide de texto com a pergunta de pesquisa e duas decisões destacadas.</w:t>
      </w:r>
    </w:p>
    <w:p>
      <w:r>
        <w:rPr>
          <w:b/>
          <w:color w:val="1F4E79"/>
        </w:rPr>
        <w:t xml:space="preserve">O que dizer: </w:t>
      </w:r>
      <w:r>
        <w:t>Duas decisões definem o projeto. Primeira: a unidade de análise é a escola, não o aluno — os dados públicos do INEP existem nesse nível, não expõem nenhum estudante e é por unidade escolar que a Secretaria decide onde intervir. Segunda: o problema é genuinamente preditivo — os indicadores do ano t preveem a taxa de abandono do ano t+1. Não é explicar o passado; é antecipar o próximo ano letivo.</w:t>
      </w:r>
    </w:p>
    <w:p>
      <w:r>
        <w:rPr>
          <w:b/>
          <w:color w:val="1F4E79"/>
        </w:rPr>
        <w:t xml:space="preserve">Por quê: </w:t>
      </w:r>
      <w:r>
        <w:t>São as duas perguntas mais prováveis da banca; respondê-las antes de serem feitas demonstra domínio do desenho do estudo.</w:t>
      </w:r>
    </w:p>
    <w:p>
      <w:pPr>
        <w:pStyle w:val="Heading1"/>
      </w:pPr>
      <w:r>
        <w:t>3. Os dados (2 min)</w:t>
      </w:r>
    </w:p>
    <w:p>
      <w:r>
        <w:rPr>
          <w:b/>
          <w:color w:val="1F4E79"/>
        </w:rPr>
        <w:t xml:space="preserve">O que mostrar: </w:t>
      </w:r>
      <w:r>
        <w:t>A figura do universo geográfico e um slide com as seis fontes do INEP.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12596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istribuicao_geografic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125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Distribuição geográfica das escolas estaduais de EM</w:t>
      </w:r>
    </w:p>
    <w:p>
      <w:r>
        <w:rPr>
          <w:b/>
          <w:color w:val="1F4E79"/>
        </w:rPr>
        <w:t xml:space="preserve">O que dizer: </w:t>
      </w:r>
      <w:r>
        <w:t>Tudo é dado público do INEP: o Censo Escolar (2022–2024) mais indicadores complementares — nível socioeconômico (INSE), regularidade docente (IRD), distorção idade-série (TDI), adequação da formação docente (AFD) e as Taxas de Rendimento, de onde vem o alvo. O painel final tem 806 escolas e 2.392 observações; o dataset de modelagem, 1.586 observações e 39 características, sem ausentes após imputação. Cada fonte exigiu seu próprio ETL — cabeçalhos deslocados, sentinelas '--', códigos de mesorregião que mudam entre edições. É trabalho invisível, mas é onde nasce a confiança no resultado.</w:t>
      </w:r>
    </w:p>
    <w:p>
      <w:r>
        <w:rPr>
          <w:b/>
          <w:color w:val="1F4E79"/>
        </w:rPr>
        <w:t xml:space="preserve">Por quê: </w:t>
      </w:r>
      <w:r>
        <w:t>Mostra que o sistema não depende de dados privados nem de coleta própria: é replicável por qualquer secretaria estadual.</w:t>
      </w:r>
    </w:p>
    <w:p>
      <w:pPr>
        <w:pStyle w:val="Heading1"/>
      </w:pPr>
      <w:r>
        <w:t>4. O pipeline e a engenharia de software (2 min)</w:t>
      </w:r>
    </w:p>
    <w:p>
      <w:r>
        <w:rPr>
          <w:b/>
          <w:color w:val="1F4E79"/>
        </w:rPr>
        <w:t xml:space="preserve">O que mostrar: </w:t>
      </w:r>
      <w:r>
        <w:t>O diagrama de componentes da arquitetura.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286238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3_component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623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Componentes e fluxo de dados do sistema</w:t>
      </w:r>
    </w:p>
    <w:p>
      <w:r>
        <w:rPr>
          <w:b/>
          <w:color w:val="1F4E79"/>
        </w:rPr>
        <w:t xml:space="preserve">O que dizer: </w:t>
      </w:r>
      <w:r>
        <w:t>Este é um TCC de Engenharia de Software, e o produto é um sistema, não um notebook. O código de produção vive em camadas com dependência em sentido único: dados, features, modelos e recomendação; o painel consome a última camada. A convenção raw → interim → processed mantém os dados originais imutáveis. E 114 testes automatizados cobrem os riscos que produziriam, em silêncio, um modelo inválido — porque erro de engenharia de dados não lança exceção: gera número errado com cara de certo.</w:t>
      </w:r>
    </w:p>
    <w:p>
      <w:r>
        <w:rPr>
          <w:b/>
          <w:color w:val="1F4E79"/>
        </w:rPr>
        <w:t xml:space="preserve">Por quê: </w:t>
      </w:r>
      <w:r>
        <w:t>Ancora o trabalho na disciplina do curso. A banca de Engenharia de Software valoriza arquitetura e testes tanto quanto o modelo.</w:t>
      </w:r>
    </w:p>
    <w:p>
      <w:r>
        <w:rPr>
          <w:i/>
          <w:color w:val="1F4E79"/>
        </w:rPr>
        <w:t>Frase-chave: “Erro de engenharia de dados não lança exceção — produz um número errado com cara de certo. Por isso, 114 testes.”</w:t>
      </w:r>
    </w:p>
    <w:p>
      <w:pPr>
        <w:pStyle w:val="Heading1"/>
      </w:pPr>
      <w:r>
        <w:t>5. O que os dados mostraram (2 min)</w:t>
      </w:r>
    </w:p>
    <w:p>
      <w:r>
        <w:rPr>
          <w:b/>
          <w:color w:val="1F4E79"/>
        </w:rPr>
        <w:t xml:space="preserve">O que mostrar: </w:t>
      </w:r>
      <w:r>
        <w:t>Duas figuras: infraestrutura rural × urbana e expansão do tempo integral.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24921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b_infraestrutura_compar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492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Infraestrutura: rural × urbana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06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8_tempo_integra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Expansão do tempo integral (2022–2024)</w:t>
      </w:r>
    </w:p>
    <w:p>
      <w:r>
        <w:rPr>
          <w:b/>
          <w:color w:val="1F4E79"/>
        </w:rPr>
        <w:t xml:space="preserve">O que dizer: </w:t>
      </w:r>
      <w:r>
        <w:t>Três achados da análise exploratória. Primeiro: a rede é desigual — o índice de infraestrutura das escolas rurais é 0,52, contra 0,71 nas urbanas, diferença estatisticamente forte. Segundo: o tempo integral saltou de 56,7% para 64,9% das escolas em dois anos — a rede está em transformação. Terceiro: o risco se concentra geograficamente, na mesorregião do São Francisco Pernambucano. E a pista central para a modelagem: o abandono de um ano correlaciona 0,80 com o do ano seguinte.</w:t>
      </w:r>
    </w:p>
    <w:p>
      <w:r>
        <w:rPr>
          <w:b/>
          <w:color w:val="1F4E79"/>
        </w:rPr>
        <w:t xml:space="preserve">Por quê: </w:t>
      </w:r>
      <w:r>
        <w:t>Os achados descritivos justificam as features escolhidas e preparam a conclusão do SHAP — o histórico prediz o futuro.</w:t>
      </w:r>
    </w:p>
    <w:p>
      <w:pPr>
        <w:pStyle w:val="Heading1"/>
      </w:pPr>
      <w:r>
        <w:t>6. Rigor metodológico: o caso IED e ICG (1,5 min)</w:t>
      </w:r>
    </w:p>
    <w:p>
      <w:r>
        <w:rPr>
          <w:b/>
          <w:color w:val="1F4E79"/>
        </w:rPr>
        <w:t xml:space="preserve">O que mostrar: </w:t>
      </w:r>
      <w:r>
        <w:t>A figura da ablação, lado a lado com e sem os indicadores.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4168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ablacao_ied_ic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Ablação: XGBoost com e sem IED/ICG</w:t>
      </w:r>
    </w:p>
    <w:p>
      <w:r>
        <w:rPr>
          <w:b/>
          <w:color w:val="1F4E79"/>
        </w:rPr>
        <w:t xml:space="preserve">O que dizer: </w:t>
      </w:r>
      <w:r>
        <w:t>No meio do projeto, dois indicadores adicionais do INEP pareciam promissores: o Esforço Docente (IED) e a Complexidade de Gestão (ICG). Construímos os ETLs, integramos ao dataset e re-treinamos tudo. Resultado: nenhum ganho real — o sinal do ICG já era carregado pela distorção idade-série, com quem ele correlaciona 0,49. A decisão foi excluí-los do modelo por evidência, mantendo-os como caracterização descritiva da rede. Nem toda variável nova melhora um modelo; saber descartar também é resultado.</w:t>
      </w:r>
    </w:p>
    <w:p>
      <w:r>
        <w:rPr>
          <w:b/>
          <w:color w:val="1F4E79"/>
        </w:rPr>
        <w:t xml:space="preserve">Por quê: </w:t>
      </w:r>
      <w:r>
        <w:t>Uma exclusão fundamentada por experimento controlado vale mais, academicamente, do que dez inclusões sem critério. É o momento de mostrar maturidade metodológica.</w:t>
      </w:r>
    </w:p>
    <w:p>
      <w:r>
        <w:rPr>
          <w:i/>
          <w:color w:val="1F4E79"/>
        </w:rPr>
        <w:t>Frase-chave: “Nem toda variável nova melhora o modelo. Saber descartar com evidência também é resultado.”</w:t>
      </w:r>
    </w:p>
    <w:p>
      <w:pPr>
        <w:pStyle w:val="Heading1"/>
      </w:pPr>
      <w:r>
        <w:t>7. Modelagem e avaliação honesta (3 min)</w:t>
      </w:r>
    </w:p>
    <w:p>
      <w:r>
        <w:rPr>
          <w:b/>
          <w:color w:val="1F4E79"/>
        </w:rPr>
        <w:t xml:space="preserve">O que mostrar: </w:t>
      </w:r>
      <w:r>
        <w:t>A comparação de modelos em validação cruzada e a curva de Precision@K.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31079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X3_comparacao_cv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310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Comparação dos modelos em validação cruzada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0693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5_precision_por_k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06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Precision@K por tamanho da lista de priorização</w:t>
      </w:r>
    </w:p>
    <w:p>
      <w:r>
        <w:rPr>
          <w:b/>
          <w:color w:val="1F4E79"/>
        </w:rPr>
        <w:t xml:space="preserve">O que dizer: </w:t>
      </w:r>
      <w:r>
        <w:t>Três modelos: Ridge e Random Forest como referência, XGBoost como principal. Dois protocolos contra autoengano: validação cruzada agrupada por município — escolas vizinhas nunca ficam ao mesmo tempo no treino e no teste — e validação temporal, que simula o uso real: treina em 2022→2023, testa em 2023→2024. Os três modelos empatam na ordenação — na validação repetida o Random Forest fica à frente de raspão (Spearman 0,431 contra 0,416). O XGBoost foi mantido como principal porque, no teste do ano nunca visto — que simula o uso real —, lidera as duas medidas de ranking (ordenação 0,348 e acerto da lista) e é a base das explicações; o Random Forest só o supera no erro de magnitude e no ROC-AUC (0,798). A magnitude exata da taxa ainda generaliza mal entre ciclos — o R² temporal é negativo — e isso está dito com todas as letras no texto. A pedido do orientador, o desempenho foi ainda decomposto nas duas transições anuais em separado (Quadro 11) e o erro foi expresso em número de alunos (Figura 14) — cerca de 3 por escola. Para o uso pretendido, priorizar, é a ordem que importa; e a ordem o modelo acerta.</w:t>
      </w:r>
    </w:p>
    <w:p>
      <w:r>
        <w:rPr>
          <w:b/>
          <w:color w:val="1F4E79"/>
        </w:rPr>
        <w:t xml:space="preserve">Por quê: </w:t>
      </w:r>
      <w:r>
        <w:t>Assumir a limitação do R² antes que a banca a aponte transforma fraqueza em demonstração de honestidade metodológica. A analogia útil: o modelo é um caça-talentos que acerta o ranking dos candidatos sem cravar a nota exata de cada um.</w:t>
      </w:r>
    </w:p>
    <w:p>
      <w:r>
        <w:rPr>
          <w:i/>
          <w:color w:val="1F4E79"/>
        </w:rPr>
        <w:t>Frase-chave: “O modelo acerta a ordem das escolas — que é o que decide onde intervir — mais do que o nível exato da taxa.”</w:t>
      </w:r>
    </w:p>
    <w:p>
      <w:pPr>
        <w:pStyle w:val="Heading1"/>
      </w:pPr>
      <w:r>
        <w:t>8. Por que o modelo decide o que decide — SHAP (2,5 min)</w:t>
      </w:r>
    </w:p>
    <w:p>
      <w:r>
        <w:rPr>
          <w:b/>
          <w:color w:val="1F4E79"/>
        </w:rPr>
        <w:t xml:space="preserve">O que mostrar: </w:t>
      </w:r>
      <w:r>
        <w:t>O beeswarm global e um waterfall local de escola de alto risco.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44740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_shap_beeswar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447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Decomposição SHAP global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432723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3_waterfall_alto_risc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272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Explicação local: escola de maior risco previsto</w:t>
      </w:r>
    </w:p>
    <w:p>
      <w:r>
        <w:rPr>
          <w:b/>
          <w:color w:val="1F4E79"/>
        </w:rPr>
        <w:t xml:space="preserve">O que dizer: </w:t>
      </w:r>
      <w:r>
        <w:t>Modelo que só dá nota não convence gestor; é preciso dizer o porquê. O SHAP decompõe cada predição na contribuição de cada variável. Globalmente, o maior fator é o histórico de abandono, seguido do abandono na 2ª série e do nível socioeconômico — este como proteção: INSE alto empurra o risco para baixo. E a explicação é individual: para a escola de maior risco previsto, uma escola indígena em Jatobá, o waterfall mostra exatamente quais fatores construíram a predição de 23,9% — o observado foi 39,1%. É o laudo que acompanha o diagnóstico.</w:t>
      </w:r>
    </w:p>
    <w:p>
      <w:r>
        <w:rPr>
          <w:b/>
          <w:color w:val="1F4E79"/>
        </w:rPr>
        <w:t xml:space="preserve">Por quê: </w:t>
      </w:r>
      <w:r>
        <w:t>A interpretabilidade é o diferencial do trabalho frente à literatura, que prioriza acurácia. Se perguntarem sobre ganho × SHAP: a localização diferenciada lidera o ganho mas não o SHAP — é uma chave que abre uma única porta, porém a abre perfeitamente.</w:t>
      </w:r>
    </w:p>
    <w:p>
      <w:pPr>
        <w:pStyle w:val="Heading1"/>
      </w:pPr>
      <w:r>
        <w:t>9. O achado de equidade (1,5 min)</w:t>
      </w:r>
    </w:p>
    <w:p>
      <w:r>
        <w:rPr>
          <w:b/>
          <w:color w:val="1F4E79"/>
        </w:rPr>
        <w:t xml:space="preserve">O que mostrar: </w:t>
      </w:r>
      <w:r>
        <w:t>A figura de resíduos por grupo de localização.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179311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5_equidade_grupo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7931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Resíduo do modelo por grupo de localização (validação temporal)</w:t>
      </w:r>
    </w:p>
    <w:p>
      <w:r>
        <w:rPr>
          <w:b/>
          <w:color w:val="1F4E79"/>
        </w:rPr>
        <w:t xml:space="preserve">O que dizer: </w:t>
      </w:r>
      <w:r>
        <w:t>A análise de resíduos revelou o achado mais inesperado. Nas escolas urbanas e rurais, o erro médio é próximo de zero. Nas escolas de localização diferenciada — indígenas e quilombolas — o modelo superprevê o abandono em quase 4 pontos percentuais: o perfil contextual sugere risco alto, mas o abandono observado é quase zero. A leitura provável: fatores protetivos de vínculo comunitário que nenhuma variável do INEP captura. A consequência prática está no painel: o resíduo é exibido ao gestor como sinal de cautela, e a correção do viés é trabalho futuro.</w:t>
      </w:r>
    </w:p>
    <w:p>
      <w:r>
        <w:rPr>
          <w:b/>
          <w:color w:val="1F4E79"/>
        </w:rPr>
        <w:t xml:space="preserve">Por quê: </w:t>
      </w:r>
      <w:r>
        <w:t>Equidade algorítmica é tema atual e sensível. Mostrar que o próprio sistema diagnostica seu viés — em vez de escondê-lo — é um dos pontos altos da defesa.</w:t>
      </w:r>
    </w:p>
    <w:p>
      <w:r>
        <w:rPr>
          <w:i/>
          <w:color w:val="1F4E79"/>
        </w:rPr>
        <w:t>Frase-chave: “O dado mostra onde o modelo erra — e o erro aponta para o que os dados não enxergam: o vínculo da comunidade com a escola.”</w:t>
      </w:r>
    </w:p>
    <w:p>
      <w:pPr>
        <w:pStyle w:val="Heading1"/>
      </w:pPr>
      <w:r>
        <w:t>10. Demo do painel de priorização (3 min)</w:t>
      </w:r>
    </w:p>
    <w:p>
      <w:r>
        <w:rPr>
          <w:b/>
          <w:color w:val="1F4E79"/>
        </w:rPr>
        <w:t xml:space="preserve">O que mostrar: </w:t>
      </w:r>
      <w:r>
        <w:t>O painel ao vivo. Na raiz do projeto, com o ambiente virtual ativo: streamlit run app/dashboard.py. Deixe-o aberto ANTES da banca começar.</w:t>
      </w:r>
    </w:p>
    <w:p>
      <w:r>
        <w:rPr>
          <w:b/>
          <w:color w:val="1F4E79"/>
        </w:rPr>
        <w:t xml:space="preserve">O que dizer: </w:t>
      </w:r>
      <w:r>
        <w:t>Roteiro da demo, passo a passo:</w:t>
      </w:r>
    </w:p>
    <w:p>
      <w:pPr>
        <w:pStyle w:val="ListBullet"/>
      </w:pPr>
      <w:r>
        <w:rPr>
          <w:b/>
        </w:rPr>
        <w:t xml:space="preserve">Aba Ranking de risco: </w:t>
      </w:r>
      <w:r>
        <w:t>mostre o ranking geral de 789 escolas para o ano operacional e destaque as N mais críticas.</w:t>
      </w:r>
    </w:p>
    <w:p>
      <w:pPr>
        <w:pStyle w:val="ListBullet"/>
      </w:pPr>
      <w:r>
        <w:rPr>
          <w:b/>
        </w:rPr>
        <w:t xml:space="preserve">Filtro na barra lateral: </w:t>
      </w:r>
      <w:r>
        <w:t>filtre pela mesorregião do São Francisco Pernambucano — conecta a demo ao achado geográfico da análise exploratória.</w:t>
      </w:r>
    </w:p>
    <w:p>
      <w:pPr>
        <w:pStyle w:val="ListBullet"/>
      </w:pPr>
      <w:r>
        <w:rPr>
          <w:b/>
        </w:rPr>
        <w:t xml:space="preserve">Aba Detalhe da escola: </w:t>
      </w:r>
      <w:r>
        <w:t>busque a escola de maior risco (Escola Estadual Ororubá, em Jatobá) e mostre o laudo: risco previsto, posição no ranking, contribuições SHAP em linguagem de gestor e o diagnóstico de resíduo (alerta/resiliente).</w:t>
      </w:r>
    </w:p>
    <w:p>
      <w:pPr>
        <w:pStyle w:val="ListBullet"/>
      </w:pPr>
      <w:r>
        <w:rPr>
          <w:b/>
        </w:rPr>
        <w:t xml:space="preserve">Aba Panorama: </w:t>
      </w:r>
      <w:r>
        <w:t>mostre o risco médio por grupo de localização e aponte a ressalva no rodapé — as predições do painel são internas à amostra; a estimativa honesta de desempenho é a da validação temporal.</w:t>
      </w:r>
    </w:p>
    <w:p>
      <w:r>
        <w:rPr>
          <w:b/>
          <w:color w:val="1F4E79"/>
        </w:rPr>
        <w:t xml:space="preserve">Por quê: </w:t>
      </w:r>
      <w:r>
        <w:t>A demo materializa a tese do trabalho: o sistema responde, no mesmo lugar, onde intervir primeiro e por quê. Encerrar a apresentação com o software funcionando é o argumento mais forte de um TCC de Engenharia de Software.</w:t>
      </w:r>
    </w:p>
    <w:p>
      <w:r>
        <w:rPr>
          <w:b/>
          <w:color w:val="1F4E79"/>
        </w:rPr>
        <w:t xml:space="preserve">Contingência: </w:t>
      </w:r>
      <w:r>
        <w:t>Plano B: se o Streamlit falhar na hora, tenha capturas de tela das três abas em um slide reserva. Teste a demo na véspera e no dia, na mesma máquina e rede da apresentação.</w:t>
      </w:r>
    </w:p>
    <w:p>
      <w:pPr>
        <w:pStyle w:val="Heading1"/>
      </w:pPr>
      <w:r>
        <w:t>11. Fechamento — síntese, limitações e futuro (1,5 min)</w:t>
      </w:r>
    </w:p>
    <w:p>
      <w:r>
        <w:rPr>
          <w:b/>
          <w:color w:val="1F4E79"/>
        </w:rPr>
        <w:t xml:space="preserve">O que mostrar: </w:t>
      </w:r>
      <w:r>
        <w:t>Um slide com três colunas: entregas, limitações, próximos passos.</w:t>
      </w:r>
    </w:p>
    <w:p>
      <w:r>
        <w:rPr>
          <w:b/>
          <w:color w:val="1F4E79"/>
        </w:rPr>
        <w:t xml:space="preserve">O que dizer: </w:t>
      </w:r>
      <w:r>
        <w:t>Quatro entregas: o painel longitudinal integrado das escolas estaduais de EM de Pernambuco; um modelo preditivo avaliado com rigor contra vazamento espacial e temporal; a camada de explicabilidade que justifica cada indicação; e o painel que põe tudo nas mãos do gestor. Três limitações assumidas: janela curta de dois pares de anos, INSE estático de 2021 e o viés nas escolas de localização diferenciada. Três passos futuros: ampliar a série histórica, corrigir o viés por recalibração de estrato e empacotar em contêiner para validação junto à SEE-PE.</w:t>
      </w:r>
    </w:p>
    <w:p>
      <w:r>
        <w:rPr>
          <w:b/>
          <w:color w:val="1F4E79"/>
        </w:rPr>
        <w:t xml:space="preserve">Por quê: </w:t>
      </w:r>
      <w:r>
        <w:t>Fechar com limitações e futuro — em vez de só vitórias — deixa a última impressão de maturidade científica, e antecipa as perguntas da banca.</w:t>
      </w:r>
    </w:p>
    <w:p>
      <w:r>
        <w:br w:type="page"/>
      </w:r>
    </w:p>
    <w:p>
      <w:pPr>
        <w:pStyle w:val="Heading1"/>
      </w:pPr>
      <w:r>
        <w:t>12. Perguntas prováveis da banca — e respostas curtas</w:t>
      </w:r>
    </w:p>
    <w:p>
      <w:pPr>
        <w:pStyle w:val="Heading2"/>
      </w:pPr>
      <w:r>
        <w:t>Por que prever por escola e não por aluno?</w:t>
      </w:r>
    </w:p>
    <w:p>
      <w:r>
        <w:t>Os dados públicos do INEP existem em nível de escola; não há microdado individual exposto, o que evita questões de privacidade. E a decisão do gestor — onde intervir — é tomada por unidade escolar. O N resultante (~1.600 observações) é adequado a um modelo interpretável.</w:t>
      </w:r>
    </w:p>
    <w:p>
      <w:pPr>
        <w:pStyle w:val="Heading2"/>
      </w:pPr>
      <w:r>
        <w:t>Por que regressão, e não classificação como na literatura?</w:t>
      </w:r>
    </w:p>
    <w:p>
      <w:r>
        <w:t>O alvo contínuo preserva informação e permite ranking com corte flexível: o gestor escolhe K conforme o orçamento. Para comparar com a literatura, fizemos a leitura binarizada pós-hoc: ROC-AUC de 0,798.</w:t>
      </w:r>
    </w:p>
    <w:p>
      <w:pPr>
        <w:pStyle w:val="Heading2"/>
      </w:pPr>
      <w:r>
        <w:t>O modelo não está apenas repetindo o abandono do ano anterior?</w:t>
      </w:r>
    </w:p>
    <w:p>
      <w:r>
        <w:t>O histórico é de fato o preditor mais forte — como a literatura prevê. Mas o modelo agrega distorção idade-série, INSE, formação docente e infraestrutura, e supera os baselines lineares justamente na ordenação. O waterfall de qualquer escola mostra a predição composta por vários fatores.</w:t>
      </w:r>
    </w:p>
    <w:p>
      <w:pPr>
        <w:pStyle w:val="Heading2"/>
      </w:pPr>
      <w:r>
        <w:t>O R² negativo na validação temporal não invalida o modelo?</w:t>
      </w:r>
    </w:p>
    <w:p>
      <w:r>
        <w:t>Invalida o uso para prever a magnitude exata — e o texto assume isso. Houve mudança de nível entre os ciclos (o abandono médio caiu de 2023 para 2024) e a janela tem só dois pares de anos. Para o uso pretendido, priorização, valem Spearman, Precision@K e ROC-AUC — e nesses o modelo é útil.</w:t>
      </w:r>
    </w:p>
    <w:p>
      <w:pPr>
        <w:pStyle w:val="Heading2"/>
      </w:pPr>
      <w:r>
        <w:t>Por que XGBoost, se empatou com o Random Forest?</w:t>
      </w:r>
    </w:p>
    <w:p>
      <w:r>
        <w:t>Na validação repetida os três empatam e o Random Forest fica ligeiramente à frente na ordenação (0,431 contra 0,416). Mantivemos o XGBoost por três motivos: no teste do ano nunca visto — que simula o uso real — ele lidera as duas medidas de ranking, que são as que importam para priorizar; é a base sobre a qual o SHAP constrói as explicações; e as diferenças estão dentro da margem de incerteza. O Random Forest supera em erro de magnitude e em ROC-AUC, dimensões menos centrais para decidir onde intervir primeiro — e o texto assume isso.</w:t>
      </w:r>
    </w:p>
    <w:p>
      <w:pPr>
        <w:pStyle w:val="Heading2"/>
      </w:pPr>
      <w:r>
        <w:t>Por que IED e ICG ficaram fora do modelo?</w:t>
      </w:r>
    </w:p>
    <w:p>
      <w:r>
        <w:t>Ablação controlada: mesmos folds e hiperparâmetros, com e sem os indicadores — nenhum ganho real. O ICG correlaciona 0,49 com a TDI, que já está no modelo. Eles permanecem como análise descritiva.</w:t>
      </w:r>
    </w:p>
    <w:p>
      <w:pPr>
        <w:pStyle w:val="Heading2"/>
      </w:pPr>
      <w:r>
        <w:t>Como vocês evitaram vazamento de dados?</w:t>
      </w:r>
    </w:p>
    <w:p>
      <w:r>
        <w:t>Três salvaguardas: validação cruzada agrupada por município (contra vazamento espacial), validação temporal com anos futuros nunca vistos no treino, e exclusão da taxa de aprovação, que é identidade aritmética do alvo.</w:t>
      </w:r>
    </w:p>
    <w:p>
      <w:pPr>
        <w:pStyle w:val="Heading2"/>
      </w:pPr>
      <w:r>
        <w:t>E as escolas indígenas e quilombolas?</w:t>
      </w:r>
    </w:p>
    <w:p>
      <w:r>
        <w:t>O sistema superprevê o abandono nelas (resíduo −4,09 p.p.) — provável efeito de fatores protetivos comunitários fora dos dados. O painel exibe o resíduo como sinal de cautela e a correção por recalibração de estrato é trabalho futuro. O importante: o viés foi diagnosticado pelo próprio sistema.</w:t>
      </w:r>
    </w:p>
    <w:p>
      <w:pPr>
        <w:pStyle w:val="Heading2"/>
      </w:pPr>
      <w:r>
        <w:t>O sistema está pronto para produção na Secretaria?</w:t>
      </w:r>
    </w:p>
    <w:p>
      <w:r>
        <w:t>É um protótipo funcional validado tecnicamente (114 testes). Faltam o empacotamento em contêiner, a validação com gestores reais e re-treino a cada edição do Censo — mapeados como trabalhos futuros. As predições do painel são internas à amostra, com ressalva explícita na tela.</w:t>
      </w:r>
    </w:p>
    <w:p>
      <w:r>
        <w:br w:type="page"/>
      </w:r>
    </w:p>
    <w:p>
      <w:pPr>
        <w:pStyle w:val="Heading1"/>
      </w:pPr>
      <w:r>
        <w:t>Checklist da véspera</w:t>
      </w:r>
    </w:p>
    <w:p>
      <w:pPr>
        <w:pStyle w:val="ListBullet"/>
      </w:pPr>
      <w:r>
        <w:t>Rodar a suíte de testes (pytest) e o dashboard (streamlit run app/dashboard.py) na máquina da apresentação.</w:t>
      </w:r>
    </w:p>
    <w:p>
      <w:pPr>
        <w:pStyle w:val="ListBullet"/>
      </w:pPr>
      <w:r>
        <w:t>Capturar telas das três abas do painel como plano B da demo.</w:t>
      </w:r>
    </w:p>
    <w:p>
      <w:pPr>
        <w:pStyle w:val="ListBullet"/>
      </w:pPr>
      <w:r>
        <w:t>Decorar os números da página 1 deste guia.</w:t>
      </w:r>
    </w:p>
    <w:p>
      <w:pPr>
        <w:pStyle w:val="ListBullet"/>
      </w:pPr>
      <w:r>
        <w:t>Reler a Síntese dos Resultados e as Conclusões da monografia — as perguntas saem de lá.</w:t>
      </w:r>
    </w:p>
    <w:p>
      <w:pPr>
        <w:pStyle w:val="ListBullet"/>
      </w:pPr>
      <w:r>
        <w:t>Cronometrar uma passada completa: 20 minutos de fala + 3 de demo.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