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color w:val="1F4E9B"/>
          <w:sz w:val="22"/>
          <w:highlight w:val="yellow"/>
        </w:rPr>
        <w:t>Figura 13 – Desempenho do modelo adotado em cada transição anual (2022→2023 e 2023→2024)</w:t>
      </w:r>
    </w:p>
    <w:p w14:paraId="3199E1D8">
      <w:pPr>
        <w:pStyle w:val="3"/>
        <w:ind w:firstLine="0"/>
        <w:rPr>
          <w:color w:val="2E75B5"/>
        </w:rPr>
      </w:pPr>
      <w:r>
        <w:rPr>
          <w:rFonts w:ascii="Arial" w:hAnsi="Arial"/>
          <w:color w:val="1F4E9B"/>
          <w:sz w:val="22"/>
          <w:highlight w:val="yellow"/>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color w:val="1F4E9B"/>
          <w:sz w:val="22"/>
          <w:highlight w:val="yellow"/>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90CAEDE">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11370E5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_Toc13940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_Toc13940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C3A69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_Toc26261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_Toc26261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BB86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_Toc3380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_Toc3380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5697D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_Toc24453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_Toc24453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A9D6A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_Toc5243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_Toc5243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81FF5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_Toc13965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_Toc13965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A691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_Toc32619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_Toc32619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315E6B">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_Toc451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_Toc451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03C2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_Toc25943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_Toc25943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38B75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_Toc13945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_Toc13945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25AB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_Toc23654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_Toc23654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2EB1F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_Toc14288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_Toc14288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965FF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_Toc12908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_Toc12908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91E4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_Toc32446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_Toc32446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48384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_Toc32074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_Toc32074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4153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_Toc20309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_Toc20309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0EE4B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_Toc18326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_Toc18326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5E568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_Toc19801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_Toc19801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234BA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_Toc872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_Toc872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6883E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_Toc4707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_Toc4707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C3D80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_Toc31851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_Toc31851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14905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_Toc14873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_Toc14873 \h </w:instrText>
          </w:r>
          <w:r>
            <w:fldChar w:fldCharType="separate"/>
          </w:r>
          <w:r>
            <w:t>25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08B85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_Toc2988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D3A29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_Toc15695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_Toc15695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4CBCA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_Toc8897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_Toc8897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0D5F3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_Toc31499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_Toc31499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92A9E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_Toc12600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_Toc12600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EFCA52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_Toc1728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_Toc1728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01E6B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_Toc15985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_Toc15985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F06DE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_Toc19766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CCD21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_Toc9036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_Toc9036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038B5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_Toc28166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_Toc28166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87BE3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_Toc27226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_Toc27226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75D4D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_Toc21897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_Toc21897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C6BAF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_Toc21097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_Toc21097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3C779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_Toc17325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_Toc17325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B33C3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_Toc3752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_Toc3752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1959A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_Toc3602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_Toc3602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9E4F81">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_Toc30902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_Toc30902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17A5E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_Toc8274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_Toc8274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7CA1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_Toc19542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_Toc19542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7FA5E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_Toc4977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BCA42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_Toc418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31E75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_Toc15798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_Toc15798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C415A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_Toc16881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_Toc16881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8E7B1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_Toc26251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_Toc26251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36565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_Toc5323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_Toc5323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ABBE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_Toc26129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_Toc26129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8FE54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_Toc3487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_Toc3487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FF826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_Toc30339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_Toc30339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2EED4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_Toc18463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_Toc18463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DE204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_Toc28073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highlight w:val="yellow"/>
            </w:rPr>
            <w:t>Resultados em Cada Transição Anual</w:t>
          </w:r>
          <w:r>
            <w:tab/>
          </w:r>
          <w:r>
            <w:fldChar w:fldCharType="begin"/>
          </w:r>
          <w:r>
            <w:instrText xml:space="preserve"> PAGEREF _Toc28073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E217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_Toc12385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_Toc12385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2013A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_Toc1766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_Toc1766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4674E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_Toc15680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_Toc15680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08F2C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_Toc27298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_Toc27298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7B361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_Toc13973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_Toc13973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03A96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_Toc17957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_Toc17957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A957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_Toc11821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_Toc11821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B0E34F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_Toc7960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_Toc7960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AA569E">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_Toc18879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_Toc18879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84810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_Toc10313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_Toc10313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125D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_Toc11552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_Toc11552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5FFFF9">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_Toc18795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_Toc18795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A00C3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_Toc3976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_Toc3976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3940"/>
      <w:r>
        <w:rPr>
          <w:rFonts w:ascii="Arial" w:hAnsi="Arial" w:eastAsia="Arial" w:cs="Arial"/>
          <w:b w:val="0"/>
        </w:rPr>
        <w:t>Introdução</w:t>
      </w:r>
      <w:bookmarkEnd w:id="1"/>
    </w:p>
    <w:p w14:paraId="71BF03DA">
      <w:pPr>
        <w:pStyle w:val="4"/>
        <w:numPr>
          <w:ilvl w:val="1"/>
          <w:numId w:val="1"/>
        </w:numPr>
      </w:pPr>
      <w:bookmarkStart w:id="2" w:name="_Toc2626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w:t>
      </w:r>
      <w:bookmarkStart w:id="66" w:name="_GoBack"/>
      <w:bookmarkEnd w:id="66"/>
      <w:r>
        <w:rPr>
          <w:rFonts w:ascii="Arial" w:hAnsi="Arial" w:eastAsia="Arial" w:cs="Arial"/>
          <w:b w:val="0"/>
        </w:rPr>
        <w:t>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3380"/>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24453"/>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5243"/>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3965"/>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2619"/>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451"/>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5943"/>
      <w:r>
        <w:rPr>
          <w:rFonts w:ascii="Arial" w:hAnsi="Arial" w:eastAsia="Arial" w:cs="Arial"/>
          <w:b w:val="0"/>
        </w:rPr>
        <w:t>Fundamentação Teórica</w:t>
      </w:r>
      <w:bookmarkEnd w:id="9"/>
    </w:p>
    <w:p w14:paraId="0ED2592D">
      <w:pPr>
        <w:pStyle w:val="5"/>
        <w:numPr>
          <w:ilvl w:val="2"/>
          <w:numId w:val="1"/>
        </w:numPr>
      </w:pPr>
      <w:bookmarkStart w:id="10" w:name="_Toc1394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Tinto (1975), em um dos modelos teóricos mais influentes sobre o tema, descreve o abandono como resultado do baixo grau de integração acadêmica e social do estudante ao ambiente escolar, de modo que fatores individuais e institucionais se combinam ao longo do tempo até a decisão de sair. Rumberger (2011), ao revisar décadas de pesquisa sobre o ensino médio, reforça essa leitura processual e chama atenção para o caráter multinível do fenômeno: além das características do aluno — desempenho, defasagem idade-série e condição socioeconômica —, pesam atributos da própria escola e do território em que ela se insere.</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365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Romero e Ventura (2010) definem a área como o desenvolvimento de métodos para explorar os dados originados em contextos de ensino, com o objetivo de compreender melhor os estudantes e os ambientes de aprendizagem. Baker e Yacef (2009), ao revisarem o estado do campo, apontam a predição como uma de suas tarefas centrais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1428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12908"/>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boosting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Molnar (2022) sistematiza esse conjunto de métodos e argumenta que a interpretabilidade é condição para a confiança e a auditabilidade de sistemas preditivos. Este trabalho adota o SHAP para explicar o risco previsto de cada escola.</w:t>
      </w:r>
    </w:p>
    <w:p w14:paraId="23F01F44">
      <w:pPr>
        <w:pStyle w:val="4"/>
        <w:numPr>
          <w:ilvl w:val="1"/>
          <w:numId w:val="1"/>
        </w:numPr>
      </w:pPr>
      <w:bookmarkStart w:id="14" w:name="_Toc32446"/>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analisaram 336 estudos,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 critério adotado neste trabalho. Cabe registrar, por fim, uma lacuna: a maior parte da literatura opera no nível do estudante e no ensino superior, ao passo que esta monografia toma a escola como unidade de análise na educação básica, combinando dados públicos, um modelo de boosting e explicações por SHAP para apoiar a priorização de intervenções pela gestão estadual.</w:t>
      </w:r>
    </w:p>
    <w:p w14:paraId="1319101A">
      <w:pPr>
        <w:pStyle w:val="2"/>
        <w:numPr>
          <w:ilvl w:val="0"/>
          <w:numId w:val="1"/>
        </w:numPr>
        <w:rPr>
          <w:color w:val="000000"/>
        </w:rPr>
      </w:pPr>
      <w:bookmarkStart w:id="15" w:name="_Toc32074"/>
      <w:r>
        <w:rPr>
          <w:rFonts w:ascii="Arial" w:hAnsi="Arial" w:eastAsia="Arial" w:cs="Arial"/>
          <w:b w:val="0"/>
        </w:rPr>
        <w:t>Método de Desenvolvimento</w:t>
      </w:r>
      <w:bookmarkEnd w:id="15"/>
    </w:p>
    <w:p w14:paraId="39EFBDEF">
      <w:pPr>
        <w:pStyle w:val="4"/>
        <w:numPr>
          <w:ilvl w:val="1"/>
          <w:numId w:val="1"/>
        </w:numPr>
      </w:pPr>
      <w:bookmarkStart w:id="16" w:name="_Toc20309"/>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7" w:name="_Toc18326"/>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801"/>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872"/>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20" w:name="_Toc470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31851"/>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14873"/>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23" w:name="_Toc2988"/>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24" w:name="_Toc15695"/>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5" w:name="_Toc8897"/>
      <w:r>
        <w:rPr>
          <w:rFonts w:ascii="Arial" w:hAnsi="Arial" w:eastAsia="Arial" w:cs="Arial"/>
          <w:b w:val="0"/>
        </w:rPr>
        <w:t>Práticas de Engenharia de Software</w:t>
      </w:r>
      <w:bookmarkEnd w:id="25"/>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114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6" w:name="_Toc31499"/>
      <w:r>
        <w:rPr>
          <w:rFonts w:ascii="Arial" w:hAnsi="Arial" w:eastAsia="Arial" w:cs="Arial"/>
          <w:b w:val="0"/>
        </w:rPr>
        <w:t>Arquitetura do Software</w:t>
      </w:r>
      <w:bookmarkEnd w:id="26"/>
    </w:p>
    <w:p w14:paraId="527CA8A8">
      <w:pPr>
        <w:pStyle w:val="4"/>
        <w:numPr>
          <w:ilvl w:val="1"/>
          <w:numId w:val="1"/>
        </w:numPr>
      </w:pPr>
      <w:bookmarkStart w:id="27" w:name="_Toc12600"/>
      <w:r>
        <w:rPr>
          <w:rFonts w:ascii="Arial" w:hAnsi="Arial" w:eastAsia="Arial" w:cs="Arial"/>
          <w:b w:val="0"/>
        </w:rPr>
        <w:t>Aspectos Funcionais e Não-Funcionais</w:t>
      </w:r>
      <w:bookmarkEnd w:id="27"/>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8" w:name="_Toc1728"/>
      <w:r>
        <w:rPr>
          <w:rFonts w:ascii="Arial" w:hAnsi="Arial" w:eastAsia="Arial" w:cs="Arial"/>
          <w:b w:val="0"/>
        </w:rPr>
        <w:t>Visão Estrutural</w:t>
      </w:r>
      <w:bookmarkEnd w:id="28"/>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9" w:name="_Toc15985"/>
      <w:r>
        <w:rPr>
          <w:rFonts w:ascii="Arial" w:hAnsi="Arial" w:eastAsia="Arial" w:cs="Arial"/>
          <w:b w:val="0"/>
        </w:rPr>
        <w:t>Visão Comportamental</w:t>
      </w:r>
      <w:bookmarkEnd w:id="29"/>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0" w:name="_Toc19766"/>
      <w:r>
        <w:rPr>
          <w:rFonts w:ascii="Arial" w:hAnsi="Arial" w:eastAsia="Arial" w:cs="Arial"/>
          <w:b w:val="0"/>
        </w:rPr>
        <w:t>Visão de Implementação e Implantação</w:t>
      </w:r>
      <w:bookmarkEnd w:id="30"/>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1" w:name="_Toc9036"/>
      <w:r>
        <w:rPr>
          <w:rFonts w:ascii="Arial" w:hAnsi="Arial" w:eastAsia="Arial" w:cs="Arial"/>
          <w:b w:val="0"/>
        </w:rPr>
        <w:t>Tecnologias e Aspectos de Implementação</w:t>
      </w:r>
      <w:bookmarkEnd w:id="31"/>
    </w:p>
    <w:p w14:paraId="6E080A24">
      <w:pPr>
        <w:pStyle w:val="4"/>
        <w:numPr>
          <w:ilvl w:val="1"/>
          <w:numId w:val="1"/>
        </w:numPr>
      </w:pPr>
      <w:bookmarkStart w:id="32" w:name="_Toc28166"/>
      <w:r>
        <w:rPr>
          <w:rFonts w:ascii="Arial" w:hAnsi="Arial" w:eastAsia="Arial" w:cs="Arial"/>
          <w:b w:val="0"/>
        </w:rPr>
        <w:t>Soluções de Tecnologia</w:t>
      </w:r>
      <w:bookmarkEnd w:id="32"/>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3" w:name="_Toc27226"/>
      <w:r>
        <w:rPr>
          <w:rFonts w:ascii="Arial" w:hAnsi="Arial" w:eastAsia="Arial" w:cs="Arial"/>
          <w:b w:val="0"/>
        </w:rPr>
        <w:t>Aspectos de Implementação</w:t>
      </w:r>
      <w:bookmarkEnd w:id="33"/>
    </w:p>
    <w:p w14:paraId="1D664FD8">
      <w:pPr>
        <w:pStyle w:val="5"/>
        <w:numPr>
          <w:ilvl w:val="2"/>
          <w:numId w:val="1"/>
        </w:numPr>
      </w:pPr>
      <w:bookmarkStart w:id="34" w:name="_Toc21897"/>
      <w:r>
        <w:rPr>
          <w:rFonts w:ascii="Arial" w:hAnsi="Arial" w:eastAsia="Arial" w:cs="Arial"/>
          <w:b w:val="0"/>
        </w:rPr>
        <w:t>Estrutura do Código</w:t>
      </w:r>
      <w:bookmarkEnd w:id="34"/>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5" w:name="_Toc21097"/>
      <w:r>
        <w:rPr>
          <w:rFonts w:ascii="Arial" w:hAnsi="Arial" w:eastAsia="Arial" w:cs="Arial"/>
          <w:b w:val="0"/>
        </w:rPr>
        <w:t>Fluxo dos Dados</w:t>
      </w:r>
      <w:bookmarkEnd w:id="35"/>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6" w:name="_Toc17325"/>
      <w:r>
        <w:rPr>
          <w:rFonts w:ascii="Arial" w:hAnsi="Arial" w:eastAsia="Arial" w:cs="Arial"/>
          <w:b w:val="0"/>
        </w:rPr>
        <w:t>Painel Interativo</w:t>
      </w:r>
      <w:bookmarkEnd w:id="36"/>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7" w:name="_Toc3752"/>
      <w:r>
        <w:rPr>
          <w:rFonts w:ascii="Arial" w:hAnsi="Arial" w:eastAsia="Arial" w:cs="Arial"/>
          <w:b w:val="0"/>
        </w:rPr>
        <w:t>Testes Automatizados</w:t>
      </w:r>
      <w:bookmarkEnd w:id="37"/>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8" w:name="_Toc3602"/>
      <w:r>
        <w:rPr>
          <w:rFonts w:ascii="Arial" w:hAnsi="Arial" w:eastAsia="Arial" w:cs="Arial"/>
          <w:b w:val="0"/>
        </w:rPr>
        <w:t>Gerenciamento de Dependências</w:t>
      </w:r>
      <w:bookmarkEnd w:id="38"/>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9" w:name="_Toc30902"/>
      <w:r>
        <w:rPr>
          <w:rFonts w:ascii="Arial" w:hAnsi="Arial" w:eastAsia="Arial" w:cs="Arial"/>
          <w:b w:val="0"/>
        </w:rPr>
        <w:t>Testes e Análise dos Resultados</w:t>
      </w:r>
      <w:bookmarkEnd w:id="39"/>
    </w:p>
    <w:p w14:paraId="5264F51A">
      <w:pPr>
        <w:pStyle w:val="4"/>
        <w:numPr>
          <w:ilvl w:val="1"/>
          <w:numId w:val="1"/>
        </w:numPr>
      </w:pPr>
      <w:bookmarkStart w:id="40" w:name="_Toc8274"/>
      <w:r>
        <w:rPr>
          <w:rFonts w:ascii="Arial" w:hAnsi="Arial" w:eastAsia="Arial" w:cs="Arial"/>
          <w:b w:val="0"/>
        </w:rPr>
        <w:t>Testes de Software</w:t>
      </w:r>
      <w:bookmarkEnd w:id="40"/>
    </w:p>
    <w:p w14:paraId="6D115D9C">
      <w:pPr>
        <w:pStyle w:val="3"/>
        <w:ind w:firstLine="0"/>
        <w:rPr>
          <w:color w:val="2E75B5"/>
        </w:rPr>
      </w:pPr>
      <w:r>
        <w:rPr>
          <w:rFonts w:ascii="Arial" w:hAnsi="Arial" w:eastAsia="Arial" w:cs="Arial"/>
          <w:b w:val="0"/>
        </w:rPr>
        <w:t>A corretude do sistema é garantida por uma suíte de 114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1" w:name="_Toc19542"/>
      <w:r>
        <w:rPr>
          <w:rFonts w:ascii="Arial" w:hAnsi="Arial" w:eastAsia="Arial" w:cs="Arial"/>
          <w:b w:val="0"/>
        </w:rPr>
        <w:t>Caracterização dos Dados e Análise das Características Usadas</w:t>
      </w:r>
      <w:bookmarkEnd w:id="41"/>
    </w:p>
    <w:p w14:paraId="4D464269">
      <w:pPr>
        <w:pStyle w:val="5"/>
        <w:numPr>
          <w:ilvl w:val="2"/>
          <w:numId w:val="1"/>
        </w:numPr>
      </w:pPr>
      <w:bookmarkStart w:id="42" w:name="_Toc4977"/>
      <w:r>
        <w:rPr>
          <w:rFonts w:ascii="Arial" w:hAnsi="Arial" w:eastAsia="Arial" w:cs="Arial"/>
          <w:b w:val="0"/>
        </w:rPr>
        <w:t>Base Construída</w:t>
      </w:r>
      <w:bookmarkEnd w:id="42"/>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3" w:name="_Toc418"/>
      <w:r>
        <w:rPr>
          <w:rFonts w:ascii="Arial" w:hAnsi="Arial" w:eastAsia="Arial" w:cs="Arial"/>
          <w:b w:val="0"/>
        </w:rPr>
        <w:t>O Que o Sistema Prevê</w:t>
      </w:r>
      <w:bookmarkEnd w:id="43"/>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(desvio-padrão de 1,8 ponto), 0,9% nas 70 rurais (desvio-padrão de 1,8) e 6,6% nas 40 escolas indígenas e quilombolas (desvio-padrão de 9,0).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 de baixo a crítico —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4" w:name="_Toc15798"/>
      <w:r>
        <w:rPr>
          <w:rFonts w:ascii="Arial" w:hAnsi="Arial" w:eastAsia="Arial" w:cs="Arial"/>
          <w:b w:val="0"/>
        </w:rPr>
        <w:t>Análise Estatística das Características Contínuas</w:t>
      </w:r>
      <w:bookmarkEnd w:id="44"/>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5" w:name="_Toc16881"/>
      <w:r>
        <w:rPr>
          <w:rFonts w:ascii="Arial" w:hAnsi="Arial" w:eastAsia="Arial" w:cs="Arial"/>
          <w:b w:val="0"/>
        </w:rPr>
        <w:t>Análise Estatística das Características de Sim ou Não</w:t>
      </w:r>
      <w:bookmarkEnd w:id="45"/>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6" w:name="_Toc26251"/>
      <w:r>
        <w:rPr>
          <w:rFonts w:ascii="Arial" w:hAnsi="Arial" w:eastAsia="Arial" w:cs="Arial"/>
          <w:b w:val="0"/>
        </w:rPr>
        <w:t>A Região do Estado</w:t>
      </w:r>
      <w:bookmarkEnd w:id="46"/>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7" w:name="_Toc5323"/>
      <w:r>
        <w:rPr>
          <w:rFonts w:ascii="Arial" w:hAnsi="Arial" w:eastAsia="Arial" w:cs="Arial"/>
          <w:b w:val="0"/>
        </w:rPr>
        <w:t>Quais Características Têm Valor para a Previsão</w:t>
      </w:r>
      <w:bookmarkEnd w:id="47"/>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Concluída a caracterização das escolas e de suas características, o critério que orienta o restante do capítulo já se delineia. Como o que se exige do sistema é colocar no topo da lista as escolas que de fato terão abandono alto, a avaliação a seguir julga sobretudo a ordem prevista, e não o valor exato da taxa — é essa ordem que a próxima seção mede.</w:t>
      </w:r>
    </w:p>
    <w:p w14:paraId="3F71063F">
      <w:pPr>
        <w:pStyle w:val="4"/>
        <w:numPr>
          <w:ilvl w:val="1"/>
          <w:numId w:val="1"/>
        </w:numPr>
      </w:pPr>
      <w:bookmarkStart w:id="48" w:name="_Toc26129"/>
      <w:r>
        <w:rPr>
          <w:rFonts w:ascii="Arial" w:hAnsi="Arial" w:eastAsia="Arial" w:cs="Arial"/>
          <w:b w:val="0"/>
        </w:rPr>
        <w:t>Desempenho do Sistema</w:t>
      </w:r>
      <w:bookmarkEnd w:id="48"/>
    </w:p>
    <w:p w14:paraId="4805032B">
      <w:pPr>
        <w:pStyle w:val="5"/>
        <w:numPr>
          <w:ilvl w:val="2"/>
          <w:numId w:val="1"/>
        </w:numPr>
      </w:pPr>
      <w:bookmarkStart w:id="49" w:name="_Toc3487"/>
      <w:r>
        <w:rPr>
          <w:rFonts w:ascii="Arial" w:hAnsi="Arial" w:eastAsia="Arial" w:cs="Arial"/>
          <w:b w:val="0"/>
        </w:rPr>
        <w:t>Como o Desempenho Foi Medido</w:t>
      </w:r>
      <w:bookmarkEnd w:id="49"/>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0" w:name="_Toc30339"/>
      <w:r>
        <w:rPr>
          <w:rFonts w:ascii="Arial" w:hAnsi="Arial" w:eastAsia="Arial" w:cs="Arial"/>
          <w:b w:val="0"/>
        </w:rPr>
        <w:t>Resultados em Validação Repetida</w:t>
      </w:r>
      <w:bookmarkEnd w:id="50"/>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em relação à média da rede. Os três modelos ficam praticamente empatados na ordenação — seus intervalos de confiança se sobrepõem, sem vencedor claro —, e o modelo adotado acompanha os demais: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1" w:name="_Toc18463"/>
      <w:r>
        <w:rPr>
          <w:rFonts w:ascii="Arial" w:hAnsi="Arial" w:eastAsia="Arial" w:cs="Arial"/>
          <w:b w:val="0"/>
        </w:rPr>
        <w:t>Resultados no Teste do Ano Nunca Visto</w:t>
      </w:r>
      <w:bookmarkEnd w:id="51"/>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diz respeito ao propósito do sistema: como o objetivo é priorizar — ordenar as escolas por risco —, as medidas que mais importam são a ordenação e o acerto da lista prioritária, e é nelas que o modelo adotado se sai melhor no teste do ano nunca visto, o cenário que reproduz o uso real, treinar com o passado e prever um ano ainda não observado; o modelo em árvores de referência leva vantagem no erro de magnitude e na separação binária entre escolas críticas e não críticas, dimensões menos centrais para a decisão de onde intervir primeiro. A segunda razão é que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2" w:name="_Toc28073"/>
      <w:r>
        <w:rPr>
          <w:rFonts w:ascii="Arial" w:hAnsi="Arial" w:eastAsia="Arial" w:cs="Arial"/>
          <w:b w:val="0"/>
          <w:color w:val="1F4E9B"/>
          <w:highlight w:val="yellow"/>
        </w:rPr>
        <w:t>Resultados em Cada Transição Anual</w:t>
      </w:r>
      <w:bookmarkEnd w:id="52"/>
    </w:p>
    <w:p w14:paraId="68971E2A">
      <w:pPr>
        <w:pStyle w:val="3"/>
        <w:ind w:firstLine="0"/>
        <w:rPr>
          <w:color w:val="2E75B5"/>
        </w:rPr>
      </w:pPr>
      <w:r>
        <w:rPr>
          <w:rFonts w:ascii="Arial" w:hAnsi="Arial" w:eastAsia="Arial" w:cs="Arial"/>
          <w:b w:val="0"/>
          <w:color w:val="1F4E9B"/>
          <w:highlight w:val="yellow"/>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w:t>
      </w:r>
    </w:p>
    <w:p w14:paraId="07971620">
      <w:pPr>
        <w:pStyle w:val="3"/>
        <w:ind w:firstLine="0"/>
        <w:rPr>
          <w:color w:val="2E75B5"/>
        </w:rPr>
      </w:pPr>
      <w:r>
        <w:rPr>
          <w:rFonts w:ascii="Arial" w:hAnsi="Arial"/>
          <w:color w:val="1F4E9B"/>
          <w:sz w:val="22"/>
          <w:highlight w:val="yellow"/>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color w:val="1F4E9B"/>
                <w:sz w:val="18"/>
                <w:highlight w:val="yellow"/>
              </w:rPr>
              <w:t>Indicador de desempenho</w:t>
            </w:r>
          </w:p>
        </w:tc>
        <w:tc>
          <w:tcPr>
            <w:tcW w:w="2484" w:type="dxa"/>
          </w:tcPr>
          <w:p w14:paraId="434758FF">
            <w:r>
              <w:rPr>
                <w:rFonts w:ascii="Arial" w:hAnsi="Arial" w:eastAsia="Arial" w:cs="Arial"/>
                <w:b/>
                <w:color w:val="1F4E9B"/>
                <w:sz w:val="18"/>
                <w:highlight w:val="yellow"/>
              </w:rPr>
              <w:t>Cenário 2022 → 2023</w:t>
            </w:r>
          </w:p>
        </w:tc>
        <w:tc>
          <w:tcPr>
            <w:tcW w:w="2484" w:type="dxa"/>
          </w:tcPr>
          <w:p w14:paraId="7D368DAD">
            <w:r>
              <w:rPr>
                <w:rFonts w:ascii="Arial" w:hAnsi="Arial" w:eastAsia="Arial" w:cs="Arial"/>
                <w:b/>
                <w:color w:val="1F4E9B"/>
                <w:sz w:val="18"/>
                <w:highlight w:val="yellow"/>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color w:val="1F4E9B"/>
                <w:sz w:val="18"/>
                <w:highlight w:val="yellow"/>
              </w:rPr>
              <w:t>Erro médio da taxa, p.p. (RMSE) — menor é melhor</w:t>
            </w:r>
          </w:p>
        </w:tc>
        <w:tc>
          <w:tcPr>
            <w:tcW w:w="2484" w:type="dxa"/>
          </w:tcPr>
          <w:p w14:paraId="290B08DD">
            <w:r>
              <w:rPr>
                <w:rFonts w:ascii="Arial" w:hAnsi="Arial" w:eastAsia="Arial" w:cs="Arial"/>
                <w:b w:val="0"/>
                <w:color w:val="1F4E9B"/>
                <w:sz w:val="18"/>
                <w:highlight w:val="yellow"/>
              </w:rPr>
              <w:t>2,82 ± 0,34</w:t>
            </w:r>
          </w:p>
        </w:tc>
        <w:tc>
          <w:tcPr>
            <w:tcW w:w="2484" w:type="dxa"/>
          </w:tcPr>
          <w:p w14:paraId="4AFD25CB">
            <w:r>
              <w:rPr>
                <w:rFonts w:ascii="Arial" w:hAnsi="Arial" w:eastAsia="Arial" w:cs="Arial"/>
                <w:b w:val="0"/>
                <w:color w:val="1F4E9B"/>
                <w:sz w:val="18"/>
                <w:highlight w:val="yellow"/>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color w:val="1F4E9B"/>
                <w:sz w:val="18"/>
                <w:highlight w:val="yellow"/>
              </w:rPr>
              <w:t>Acerto da ordenação, de 0 a 1 (Spearman)</w:t>
            </w:r>
          </w:p>
        </w:tc>
        <w:tc>
          <w:tcPr>
            <w:tcW w:w="2484" w:type="dxa"/>
          </w:tcPr>
          <w:p w14:paraId="44C44AAA">
            <w:r>
              <w:rPr>
                <w:rFonts w:ascii="Arial" w:hAnsi="Arial" w:eastAsia="Arial" w:cs="Arial"/>
                <w:b w:val="0"/>
                <w:color w:val="1F4E9B"/>
                <w:sz w:val="18"/>
                <w:highlight w:val="yellow"/>
              </w:rPr>
              <w:t>0,469 ± 0,039</w:t>
            </w:r>
          </w:p>
        </w:tc>
        <w:tc>
          <w:tcPr>
            <w:tcW w:w="2484" w:type="dxa"/>
          </w:tcPr>
          <w:p w14:paraId="3904D936">
            <w:r>
              <w:rPr>
                <w:rFonts w:ascii="Arial" w:hAnsi="Arial" w:eastAsia="Arial" w:cs="Arial"/>
                <w:b w:val="0"/>
                <w:color w:val="1F4E9B"/>
                <w:sz w:val="18"/>
                <w:highlight w:val="yellow"/>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color w:val="1F4E9B"/>
                <w:sz w:val="18"/>
                <w:highlight w:val="yellow"/>
              </w:rPr>
              <w:t>Acerto na lista prioritária, top 10% (Precision@K)</w:t>
            </w:r>
          </w:p>
        </w:tc>
        <w:tc>
          <w:tcPr>
            <w:tcW w:w="2484" w:type="dxa"/>
          </w:tcPr>
          <w:p w14:paraId="05EBC5C6">
            <w:r>
              <w:rPr>
                <w:rFonts w:ascii="Arial" w:hAnsi="Arial" w:eastAsia="Arial" w:cs="Arial"/>
                <w:b w:val="0"/>
                <w:color w:val="1F4E9B"/>
                <w:sz w:val="18"/>
                <w:highlight w:val="yellow"/>
              </w:rPr>
              <w:t>0,627 ± 0,060</w:t>
            </w:r>
          </w:p>
        </w:tc>
        <w:tc>
          <w:tcPr>
            <w:tcW w:w="2484" w:type="dxa"/>
          </w:tcPr>
          <w:p w14:paraId="5ADDB3E1">
            <w:r>
              <w:rPr>
                <w:rFonts w:ascii="Arial" w:hAnsi="Arial" w:eastAsia="Arial" w:cs="Arial"/>
                <w:b w:val="0"/>
                <w:color w:val="1F4E9B"/>
                <w:sz w:val="18"/>
                <w:highlight w:val="yellow"/>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color w:val="1F4E9B"/>
                <w:sz w:val="18"/>
                <w:highlight w:val="yellow"/>
              </w:rPr>
              <w:t>Separação alto/baixo risco (ROC-AUC)</w:t>
            </w:r>
          </w:p>
        </w:tc>
        <w:tc>
          <w:tcPr>
            <w:tcW w:w="2484" w:type="dxa"/>
          </w:tcPr>
          <w:p w14:paraId="240799C6">
            <w:r>
              <w:rPr>
                <w:rFonts w:ascii="Arial" w:hAnsi="Arial" w:eastAsia="Arial" w:cs="Arial"/>
                <w:b w:val="0"/>
                <w:color w:val="1F4E9B"/>
                <w:sz w:val="18"/>
                <w:highlight w:val="yellow"/>
              </w:rPr>
              <w:t>0,901 ± 0,035</w:t>
            </w:r>
          </w:p>
        </w:tc>
        <w:tc>
          <w:tcPr>
            <w:tcW w:w="2484" w:type="dxa"/>
          </w:tcPr>
          <w:p w14:paraId="1B1D9CD6">
            <w:r>
              <w:rPr>
                <w:rFonts w:ascii="Arial" w:hAnsi="Arial" w:eastAsia="Arial" w:cs="Arial"/>
                <w:b w:val="0"/>
                <w:color w:val="1F4E9B"/>
                <w:sz w:val="18"/>
                <w:highlight w:val="yellow"/>
              </w:rPr>
              <w:t>0,813 ± 0,019</w:t>
            </w:r>
          </w:p>
        </w:tc>
      </w:tr>
    </w:tbl>
    <w:p w14:paraId="1C5D7AC1">
      <w:pPr>
        <w:pStyle w:val="3"/>
        <w:ind w:firstLine="0"/>
        <w:rPr>
          <w:color w:val="2E75B5"/>
        </w:rPr>
      </w:pPr>
      <w:r>
        <w:rPr>
          <w:rFonts w:ascii="Arial" w:hAnsi="Arial"/>
          <w:color w:val="1F4E9B"/>
          <w:sz w:val="22"/>
          <w:highlight w:val="yellow"/>
        </w:rPr>
        <w:t>Fonte: elaborado pelo autor.</w:t>
      </w:r>
    </w:p>
    <w:p w14:paraId="326796B6">
      <w:pPr>
        <w:pStyle w:val="3"/>
        <w:ind w:firstLine="0"/>
        <w:rPr>
          <w:color w:val="2E75B5"/>
        </w:rPr>
      </w:pPr>
      <w:r>
        <w:rPr>
          <w:rFonts w:ascii="Arial" w:hAnsi="Arial" w:eastAsia="Arial" w:cs="Arial"/>
          <w:b w:val="0"/>
          <w:color w:val="1F4E9B"/>
          <w:highlight w:val="yellow"/>
        </w:rPr>
        <w:t>O modelo mantém utilidade nas duas transições, mas rende mais na primeira. Na transição de 2022 para 2023, entre as escolas que ele coloca no topo da lista de prioridade, 63% estão de fato entre as de maior abandono; na de 2023 para 2024, esse acerto cai para 38% —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 sinal de que a decomposição é coerente com o desempenho global, e não efeito de um ano específico.</w:t>
      </w:r>
    </w:p>
    <w:p w14:paraId="06ABB063">
      <w:pPr>
        <w:pStyle w:val="3"/>
        <w:ind w:firstLine="0"/>
        <w:rPr>
          <w:color w:val="2E75B5"/>
        </w:rPr>
      </w:pPr>
      <w:r>
        <w:rPr>
          <w:rFonts w:ascii="Arial" w:hAnsi="Arial"/>
          <w:color w:val="1F4E9B"/>
          <w:sz w:val="22"/>
          <w:highlight w:val="yellow"/>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color w:val="1F4E9B"/>
          <w:sz w:val="22"/>
          <w:highlight w:val="yellow"/>
        </w:rPr>
        <w:t>Fonte: elaborado pelo autor.</w:t>
      </w:r>
    </w:p>
    <w:p w14:paraId="433FF695">
      <w:pPr>
        <w:pStyle w:val="3"/>
        <w:ind w:firstLine="0"/>
        <w:rPr>
          <w:color w:val="2E75B5"/>
        </w:rPr>
      </w:pPr>
      <w:r>
        <w:rPr>
          <w:rFonts w:ascii="Arial" w:hAnsi="Arial" w:eastAsia="Arial" w:cs="Arial"/>
          <w:b w:val="0"/>
          <w:color w:val="1F4E9B"/>
          <w:highlight w:val="yellow"/>
        </w:rPr>
        <w:t>A mesma comparação entre os dois anos pode ser lida em número de alunos, e não em taxa. Convertendo a taxa de abandono de cada escola em quantidade de estudantes — multiplicando-a pela matrícula do ensino médio no ano em que o abandono é medido —, o resíduo passa a exprimir quantos alunos o sistema errou, para mais ou para menos, em cada escola. A figura a seguir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color w:val="1F4E9B"/>
          <w:sz w:val="22"/>
          <w:highlight w:val="yellow"/>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color w:val="1F4E9B"/>
          <w:sz w:val="22"/>
          <w:highlight w:val="yellow"/>
        </w:rPr>
        <w:t>Fonte: elaborado pelo autor.</w:t>
      </w:r>
    </w:p>
    <w:p w14:paraId="2277BBB5">
      <w:pPr>
        <w:pStyle w:val="4"/>
        <w:numPr>
          <w:ilvl w:val="1"/>
          <w:numId w:val="1"/>
        </w:numPr>
      </w:pPr>
      <w:bookmarkStart w:id="53" w:name="_Toc12385"/>
      <w:r>
        <w:rPr>
          <w:rFonts w:ascii="Arial" w:hAnsi="Arial" w:eastAsia="Arial" w:cs="Arial"/>
          <w:b w:val="0"/>
        </w:rPr>
        <w:t>Capacidade de Priorização</w:t>
      </w:r>
      <w:bookmarkEnd w:id="53"/>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4" w:name="_Toc1766"/>
      <w:r>
        <w:rPr>
          <w:rFonts w:ascii="Arial" w:hAnsi="Arial" w:eastAsia="Arial" w:cs="Arial"/>
          <w:b w:val="0"/>
        </w:rPr>
        <w:t>Explicação das Indicações</w:t>
      </w:r>
      <w:bookmarkEnd w:id="54"/>
    </w:p>
    <w:p w14:paraId="4564E80B">
      <w:pPr>
        <w:pStyle w:val="5"/>
        <w:numPr>
          <w:ilvl w:val="2"/>
          <w:numId w:val="1"/>
        </w:numPr>
      </w:pPr>
      <w:bookmarkStart w:id="55" w:name="_Toc15680"/>
      <w:r>
        <w:rPr>
          <w:rFonts w:ascii="Arial" w:hAnsi="Arial" w:eastAsia="Arial" w:cs="Arial"/>
          <w:b w:val="0"/>
        </w:rPr>
        <w:t>Visão Geral</w:t>
      </w:r>
      <w:bookmarkEnd w:id="55"/>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6" w:name="_Toc27298"/>
      <w:r>
        <w:rPr>
          <w:rFonts w:ascii="Arial" w:hAnsi="Arial" w:eastAsia="Arial" w:cs="Arial"/>
          <w:b w:val="0"/>
        </w:rPr>
        <w:t>Direção dos Efeitos</w:t>
      </w:r>
      <w:bookmarkEnd w:id="56"/>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7" w:name="_Toc13973"/>
      <w:r>
        <w:rPr>
          <w:rFonts w:ascii="Arial" w:hAnsi="Arial" w:eastAsia="Arial" w:cs="Arial"/>
          <w:b w:val="0"/>
        </w:rPr>
        <w:t>Explicação de Uma Escola</w:t>
      </w:r>
      <w:bookmarkEnd w:id="57"/>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8" w:name="_Toc17957"/>
      <w:r>
        <w:rPr>
          <w:rFonts w:ascii="Arial" w:hAnsi="Arial" w:eastAsia="Arial" w:cs="Arial"/>
          <w:b w:val="0"/>
        </w:rPr>
        <w:t>Erros do Modelo e Equidade</w:t>
      </w:r>
      <w:bookmarkEnd w:id="58"/>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9" w:name="_Toc11821"/>
      <w:r>
        <w:rPr>
          <w:rFonts w:ascii="Arial" w:hAnsi="Arial" w:eastAsia="Arial" w:cs="Arial"/>
          <w:b w:val="0"/>
        </w:rPr>
        <w:t>O Painel de Priorização ao Gestor</w:t>
      </w:r>
      <w:bookmarkEnd w:id="59"/>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0" w:name="_Toc7960"/>
      <w:r>
        <w:rPr>
          <w:rFonts w:ascii="Arial" w:hAnsi="Arial" w:eastAsia="Arial" w:cs="Arial"/>
          <w:b w:val="0"/>
        </w:rPr>
        <w:t>Síntese dos Resultados</w:t>
      </w:r>
      <w:bookmarkEnd w:id="60"/>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114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61" w:name="_Toc18879"/>
      <w:r>
        <w:rPr>
          <w:rFonts w:ascii="Arial" w:hAnsi="Arial" w:eastAsia="Arial" w:cs="Arial"/>
          <w:b w:val="0"/>
        </w:rPr>
        <w:t>Conclusões e Trabalhos Futuros</w:t>
      </w:r>
      <w:bookmarkEnd w:id="61"/>
    </w:p>
    <w:p w14:paraId="2B49EC9B">
      <w:pPr>
        <w:pStyle w:val="4"/>
        <w:numPr>
          <w:ilvl w:val="1"/>
          <w:numId w:val="1"/>
        </w:numPr>
      </w:pPr>
      <w:bookmarkStart w:id="62" w:name="_Toc10313"/>
      <w:r>
        <w:rPr>
          <w:rFonts w:ascii="Arial" w:hAnsi="Arial" w:eastAsia="Arial" w:cs="Arial"/>
          <w:b w:val="0"/>
        </w:rPr>
        <w:t>Conclusões</w:t>
      </w:r>
      <w:bookmarkEnd w:id="62"/>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Resposta à pergunta de previsão (P2). 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114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3" w:name="_Toc11552"/>
      <w:r>
        <w:rPr>
          <w:rFonts w:ascii="Arial" w:hAnsi="Arial" w:eastAsia="Arial" w:cs="Arial"/>
          <w:b w:val="0"/>
        </w:rPr>
        <w:t>Trabalhos Futuros</w:t>
      </w:r>
      <w:bookmarkEnd w:id="63"/>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64" w:name="_Toc18795"/>
      <w:r>
        <w:rPr>
          <w:rFonts w:ascii="Arial" w:hAnsi="Arial" w:eastAsia="Arial" w:cs="Arial"/>
          <w:b w:val="0"/>
        </w:rPr>
        <w:t>Referências</w:t>
      </w:r>
      <w:bookmarkEnd w:id="64"/>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2FB4A314">
      <w:pPr>
        <w:pStyle w:val="3"/>
        <w:ind w:firstLine="0"/>
        <w:rPr>
          <w:color w:val="2E75B5"/>
        </w:rPr>
      </w:pPr>
      <w:r>
        <w:rPr>
          <w:rFonts w:ascii="Arial" w:hAnsi="Arial" w:eastAsia="Arial" w:cs="Arial"/>
          <w:b w:val="0"/>
        </w:rPr>
        <w:t>BREIMAN, L. Random forests. Machine Learning, v. 45, n. 1, p. 5–32, 2001.</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DE2185E">
      <w:pPr>
        <w:pStyle w:val="3"/>
        <w:ind w:firstLine="0"/>
        <w:rPr>
          <w:color w:val="2E75B5"/>
        </w:rPr>
      </w:pPr>
      <w:r>
        <w:rPr>
          <w:rFonts w:ascii="Arial" w:hAnsi="Arial" w:eastAsia="Arial" w:cs="Arial"/>
          <w:b w:val="0"/>
        </w:rPr>
        <w:t>MOLNAR, C. Interpretable machine learning: a guide for making black box models explainable. 2. ed. [S. l.: s. n.], 2022.</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1C353865">
      <w:pPr>
        <w:pStyle w:val="3"/>
        <w:ind w:firstLine="0"/>
        <w:rPr>
          <w:color w:val="2E75B5"/>
        </w:rPr>
      </w:pPr>
      <w:r>
        <w:rPr>
          <w:rFonts w:ascii="Arial" w:hAnsi="Arial" w:eastAsia="Arial" w:cs="Arial"/>
          <w:b w:val="0"/>
        </w:rPr>
        <w:t>ROMERO, C.; VENTURA, S. Educational data mining: a review of the state of the art. IEEE Transactions on Systems, Man, and Cybernetics, Part C: Applications and Reviews, v. 40, n. 6, p. 601–618, 2010.</w:t>
      </w:r>
    </w:p>
    <w:p w14:paraId="7162C159">
      <w:pPr>
        <w:pStyle w:val="3"/>
        <w:ind w:firstLine="0"/>
        <w:rPr>
          <w:color w:val="2E75B5"/>
        </w:rPr>
      </w:pPr>
      <w:r>
        <w:rPr>
          <w:rFonts w:ascii="Arial" w:hAnsi="Arial" w:eastAsia="Arial" w:cs="Arial"/>
          <w:b w:val="0"/>
        </w:rPr>
        <w:t>RUMBERGER, R. W. Dropping out: why students drop out of high school and what can be done about it. Cambridge: Harvard University Press, 2011.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2A8FD802">
      <w:pPr>
        <w:pStyle w:val="3"/>
        <w:ind w:firstLine="0"/>
        <w:rPr>
          <w:color w:val="2E75B5"/>
        </w:rPr>
      </w:pPr>
      <w:r>
        <w:rPr>
          <w:rFonts w:ascii="Arial" w:hAnsi="Arial" w:eastAsia="Arial" w:cs="Arial"/>
          <w:b w:val="0"/>
        </w:rPr>
        <w:t>TINTO, V. Dropout from higher education: a theoretical synthesis of recent research. Review of Educational Research, v. 45, n. 1, p. 89–125, 1975.</w:t>
      </w:r>
    </w:p>
    <w:p w14:paraId="6FD186B2">
      <w:pPr>
        <w:pStyle w:val="8"/>
        <w:rPr>
          <w:color w:val="000000"/>
        </w:rPr>
      </w:pPr>
      <w:bookmarkStart w:id="65" w:name="_Toc3976"/>
      <w:r>
        <w:rPr>
          <w:rFonts w:ascii="Arial" w:hAnsi="Arial" w:eastAsia="Arial" w:cs="Arial"/>
          <w:b w:val="0"/>
        </w:rPr>
        <w:t>Apêndice A – Relação das 39 características usadas pelo sistema</w:t>
      </w:r>
      <w:bookmarkEnd w:id="65"/>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7C14744-E8A4-4D1F-9022-B8FABA32C8EC}"/>
  </w:font>
  <w:font w:name="Arial">
    <w:panose1 w:val="020B0604020202020204"/>
    <w:charset w:val="00"/>
    <w:family w:val="swiss"/>
    <w:pitch w:val="default"/>
    <w:sig w:usb0="E0002EFF" w:usb1="C000785B" w:usb2="00000009" w:usb3="00000000" w:csb0="400001FF" w:csb1="FFFF0000"/>
    <w:embedRegular r:id="rId2" w:fontKey="{8A1B6B14-FE7F-4068-ABF7-FC1B3849F31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FA4304A-7C50-40F3-891E-8A09FCC244D4}"/>
  </w:font>
  <w:font w:name="Wingdings">
    <w:panose1 w:val="05000000000000000000"/>
    <w:charset w:val="02"/>
    <w:family w:val="auto"/>
    <w:pitch w:val="default"/>
    <w:sig w:usb0="00000000" w:usb1="00000000" w:usb2="00000000" w:usb3="00000000" w:csb0="80000000" w:csb1="00000000"/>
    <w:embedRegular r:id="rId4" w:fontKey="{5C0B8B80-38D4-43A7-831B-2A5AA929E511}"/>
  </w:font>
  <w:font w:name="Calibri">
    <w:panose1 w:val="020F0502020204030204"/>
    <w:charset w:val="00"/>
    <w:family w:val="swiss"/>
    <w:pitch w:val="default"/>
    <w:sig w:usb0="E4002EFF" w:usb1="C200247B" w:usb2="00000009" w:usb3="00000000" w:csb0="200001FF" w:csb1="00000000"/>
    <w:embedRegular r:id="rId5" w:fontKey="{99CE21C8-2904-4954-995E-A9DD6A10055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7BF625DC-8086-41E1-85E9-D8B9331DEC48}"/>
  </w:font>
  <w:font w:name="Liberation Sans">
    <w:panose1 w:val="020B0604020202020204"/>
    <w:charset w:val="00"/>
    <w:family w:val="swiss"/>
    <w:pitch w:val="default"/>
    <w:sig w:usb0="E0000AFF" w:usb1="500078FF" w:usb2="00000021" w:usb3="00000000" w:csb0="600001BF" w:csb1="DFF70000"/>
    <w:embedRegular r:id="rId7" w:fontKey="{5106DC85-E508-4D04-A68E-E6529CC33A6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7816D17"/>
    <w:rsid w:val="46E010FE"/>
    <w:rsid w:val="54BC7DEB"/>
    <w:rsid w:val="55540C4E"/>
    <w:rsid w:val="59E678F3"/>
    <w:rsid w:val="5DFA0956"/>
    <w:rsid w:val="654C03D3"/>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66</Pages>
  <Words>9961</Words>
  <Characters>54488</Characters>
  <Paragraphs>463</Paragraphs>
  <TotalTime>71</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2026-07-25T17:37:01Z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