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F5F87">
      <w:pPr>
        <w:pStyle w:val="3"/>
        <w:ind w:firstLine="0"/>
        <w:jc w:val="center"/>
        <w:rPr>
          <w:color w:val="000000"/>
        </w:rPr>
      </w:pPr>
      <w:r>
        <w:rPr>
          <w:color w:val="000000"/>
        </w:rPr>
        <w:drawing>
          <wp:anchor distT="0" distB="0" distL="0" distR="0" simplePos="0" relativeHeight="251659264"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9"/>
                    <a:stretch>
                      <a:fillRect/>
                    </a:stretch>
                  </pic:blipFill>
                  <pic:spPr>
                    <a:xfrm>
                      <a:off x="0" y="0"/>
                      <a:ext cx="613410" cy="979170"/>
                    </a:xfrm>
                    <a:prstGeom prst="rect">
                      <a:avLst/>
                    </a:prstGeom>
                    <a:noFill/>
                  </pic:spPr>
                </pic:pic>
              </a:graphicData>
            </a:graphic>
          </wp:anchor>
        </w:drawing>
      </w:r>
      <w:bookmarkStart w:id="0" w:name="_heading=h.tubtnf8361hv"/>
      <w:bookmarkEnd w:id="0"/>
    </w:p>
    <w:p w14:paraId="6FD5542B">
      <w:pPr>
        <w:pStyle w:val="3"/>
        <w:ind w:firstLine="0"/>
        <w:jc w:val="center"/>
        <w:rPr>
          <w:color w:val="000000"/>
        </w:rPr>
      </w:pPr>
    </w:p>
    <w:p w14:paraId="5496EBF7">
      <w:pPr>
        <w:pStyle w:val="3"/>
        <w:ind w:firstLine="0"/>
        <w:jc w:val="center"/>
        <w:rPr>
          <w:b/>
          <w:bCs/>
          <w:color w:val="000000"/>
          <w:sz w:val="32"/>
          <w:szCs w:val="32"/>
        </w:rPr>
      </w:pPr>
      <w:r>
        <w:rPr>
          <w:b/>
          <w:bCs/>
          <w:color w:val="000000"/>
          <w:sz w:val="32"/>
          <w:szCs w:val="32"/>
        </w:rPr>
        <w:t xml:space="preserve">Pontifícia Universidade Católica de São Paulo </w:t>
      </w:r>
    </w:p>
    <w:p w14:paraId="0F5F547F">
      <w:pPr>
        <w:pStyle w:val="3"/>
        <w:ind w:firstLine="0"/>
        <w:jc w:val="center"/>
        <w:rPr>
          <w:b/>
          <w:bCs/>
          <w:color w:val="000000"/>
          <w:sz w:val="28"/>
          <w:szCs w:val="28"/>
        </w:rPr>
      </w:pPr>
      <w:r>
        <w:rPr>
          <w:b/>
          <w:bCs/>
          <w:color w:val="000000"/>
          <w:sz w:val="28"/>
          <w:szCs w:val="28"/>
        </w:rPr>
        <w:t>Especialização em Engenharia de Software</w:t>
      </w:r>
    </w:p>
    <w:p w14:paraId="238E9BBE">
      <w:pPr>
        <w:pStyle w:val="3"/>
        <w:ind w:firstLine="0"/>
        <w:jc w:val="center"/>
        <w:rPr>
          <w:b/>
          <w:bCs/>
          <w:color w:val="000000"/>
        </w:rPr>
      </w:pPr>
    </w:p>
    <w:p w14:paraId="381A8F42">
      <w:pPr>
        <w:pStyle w:val="3"/>
        <w:ind w:firstLine="0"/>
        <w:jc w:val="center"/>
        <w:rPr>
          <w:b/>
          <w:bCs/>
          <w:color w:val="000000"/>
        </w:rPr>
      </w:pPr>
    </w:p>
    <w:p w14:paraId="5BCAEC88">
      <w:pPr>
        <w:pStyle w:val="3"/>
        <w:ind w:firstLine="0"/>
        <w:jc w:val="center"/>
        <w:rPr>
          <w:b/>
          <w:bCs/>
          <w:color w:val="000000"/>
        </w:rPr>
      </w:pPr>
    </w:p>
    <w:p w14:paraId="00B4457F">
      <w:pPr>
        <w:pStyle w:val="3"/>
        <w:ind w:firstLine="0"/>
        <w:jc w:val="center"/>
        <w:rPr>
          <w:b/>
          <w:bCs/>
          <w:color w:val="000000"/>
        </w:rPr>
      </w:pPr>
    </w:p>
    <w:p w14:paraId="416BFA48">
      <w:pPr>
        <w:pStyle w:val="3"/>
        <w:ind w:firstLine="0"/>
        <w:jc w:val="center"/>
        <w:rPr>
          <w:color w:val="000000"/>
        </w:rPr>
      </w:pPr>
    </w:p>
    <w:p w14:paraId="432095FD">
      <w:pPr>
        <w:pStyle w:val="3"/>
        <w:ind w:firstLine="0"/>
        <w:jc w:val="center"/>
        <w:rPr>
          <w:color w:val="000000"/>
        </w:rPr>
      </w:pPr>
    </w:p>
    <w:p w14:paraId="22176962">
      <w:pPr>
        <w:pStyle w:val="3"/>
        <w:ind w:firstLine="0"/>
        <w:jc w:val="center"/>
        <w:rPr>
          <w:color w:val="000000"/>
        </w:rPr>
      </w:pPr>
      <w:r>
        <w:rPr>
          <w:color w:val="000000"/>
        </w:rPr>
        <w:t>Artur Oliveira Santiago</w:t>
      </w:r>
    </w:p>
    <w:p w14:paraId="68040972">
      <w:pPr>
        <w:pStyle w:val="3"/>
        <w:ind w:firstLine="0"/>
        <w:jc w:val="center"/>
        <w:rPr>
          <w:color w:val="000000"/>
        </w:rPr>
      </w:pPr>
    </w:p>
    <w:p w14:paraId="47D07537">
      <w:pPr>
        <w:pStyle w:val="3"/>
        <w:ind w:firstLine="0"/>
        <w:jc w:val="center"/>
        <w:rPr>
          <w:color w:val="000000"/>
        </w:rPr>
      </w:pPr>
    </w:p>
    <w:p w14:paraId="3F3F8312">
      <w:pPr>
        <w:pStyle w:val="3"/>
        <w:ind w:firstLine="0"/>
        <w:jc w:val="center"/>
        <w:rPr>
          <w:color w:val="000000"/>
        </w:rPr>
      </w:pPr>
    </w:p>
    <w:p w14:paraId="45351990">
      <w:pPr>
        <w:pStyle w:val="3"/>
        <w:ind w:firstLine="0"/>
        <w:jc w:val="center"/>
        <w:rPr>
          <w:color w:val="000000"/>
        </w:rPr>
      </w:pPr>
    </w:p>
    <w:p w14:paraId="67CA2EFA">
      <w:pPr>
        <w:pStyle w:val="3"/>
        <w:ind w:firstLine="0"/>
        <w:jc w:val="center"/>
        <w:rPr>
          <w:color w:val="000000"/>
        </w:rPr>
      </w:pPr>
    </w:p>
    <w:p w14:paraId="611836A7">
      <w:pPr>
        <w:pStyle w:val="3"/>
        <w:ind w:firstLine="0"/>
        <w:jc w:val="center"/>
        <w:rPr>
          <w:color w:val="000000"/>
        </w:rPr>
      </w:pPr>
    </w:p>
    <w:p w14:paraId="66F65EE1">
      <w:pPr>
        <w:pStyle w:val="3"/>
        <w:ind w:firstLine="0"/>
        <w:jc w:val="center"/>
        <w:rPr>
          <w:color w:val="000000"/>
        </w:rPr>
      </w:pPr>
    </w:p>
    <w:p w14:paraId="2B2EC7C3">
      <w:pPr>
        <w:pStyle w:val="3"/>
        <w:ind w:firstLine="0"/>
        <w:jc w:val="center"/>
        <w:rPr>
          <w:color w:val="000000"/>
        </w:rPr>
      </w:pPr>
      <w:r>
        <w:rPr>
          <w:color w:val="000000"/>
        </w:rPr>
        <w:t>Sistema de Priorização de Escolas em Risco de Evasão: uma ferramenta preditiva para a gestão da educação estadual de Pernambuco</w:t>
      </w:r>
    </w:p>
    <w:p w14:paraId="0077403B">
      <w:pPr>
        <w:pStyle w:val="3"/>
        <w:ind w:firstLine="0"/>
        <w:jc w:val="center"/>
        <w:rPr>
          <w:b/>
          <w:bCs/>
          <w:color w:val="000000"/>
        </w:rPr>
      </w:pPr>
    </w:p>
    <w:p w14:paraId="3FC8264B">
      <w:pPr>
        <w:pStyle w:val="3"/>
        <w:ind w:firstLine="0"/>
        <w:jc w:val="center"/>
        <w:rPr>
          <w:b/>
          <w:bCs/>
          <w:color w:val="000000"/>
        </w:rPr>
      </w:pPr>
    </w:p>
    <w:p w14:paraId="488FE88F">
      <w:pPr>
        <w:pStyle w:val="3"/>
        <w:ind w:firstLine="0"/>
        <w:jc w:val="center"/>
        <w:rPr>
          <w:b/>
          <w:bCs/>
          <w:color w:val="000000"/>
        </w:rPr>
      </w:pPr>
    </w:p>
    <w:p w14:paraId="0CB31852">
      <w:pPr>
        <w:pStyle w:val="3"/>
        <w:ind w:firstLine="0"/>
        <w:jc w:val="center"/>
        <w:rPr>
          <w:color w:val="000000"/>
        </w:rPr>
      </w:pPr>
    </w:p>
    <w:p w14:paraId="32F8D846">
      <w:pPr>
        <w:pStyle w:val="3"/>
        <w:ind w:firstLine="0"/>
        <w:jc w:val="center"/>
        <w:rPr>
          <w:b/>
          <w:bCs/>
          <w:color w:val="000000"/>
          <w:sz w:val="32"/>
          <w:szCs w:val="32"/>
        </w:rPr>
      </w:pPr>
    </w:p>
    <w:p w14:paraId="68279310">
      <w:pPr>
        <w:pStyle w:val="3"/>
        <w:ind w:firstLine="0"/>
        <w:jc w:val="center"/>
        <w:rPr>
          <w:color w:val="000000"/>
        </w:rPr>
      </w:pPr>
    </w:p>
    <w:p w14:paraId="06ACE38A">
      <w:pPr>
        <w:pStyle w:val="3"/>
        <w:ind w:firstLine="0"/>
        <w:jc w:val="center"/>
        <w:rPr>
          <w:color w:val="000000"/>
        </w:rPr>
      </w:pPr>
    </w:p>
    <w:p w14:paraId="12FEA1EA">
      <w:pPr>
        <w:pStyle w:val="3"/>
        <w:ind w:firstLine="0"/>
        <w:jc w:val="center"/>
        <w:rPr>
          <w:color w:val="000000"/>
        </w:rPr>
      </w:pPr>
    </w:p>
    <w:p w14:paraId="129F3A1B">
      <w:pPr>
        <w:pStyle w:val="3"/>
        <w:ind w:firstLine="0"/>
        <w:jc w:val="center"/>
        <w:rPr>
          <w:color w:val="000000"/>
        </w:rPr>
      </w:pPr>
    </w:p>
    <w:p w14:paraId="07B2272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p>
    <w:p w14:paraId="7196F6D5">
      <w:pPr>
        <w:pStyle w:val="3"/>
        <w:ind w:firstLine="0"/>
        <w:jc w:val="center"/>
        <w:rPr>
          <w:color w:val="000000"/>
        </w:rPr>
      </w:pPr>
    </w:p>
    <w:p w14:paraId="560A5141">
      <w:pPr>
        <w:pStyle w:val="3"/>
        <w:ind w:firstLine="0"/>
        <w:jc w:val="center"/>
        <w:rPr>
          <w:color w:val="000000"/>
        </w:rPr>
      </w:pPr>
    </w:p>
    <w:p w14:paraId="6AE5F0DC">
      <w:pPr>
        <w:pStyle w:val="3"/>
        <w:ind w:firstLine="0"/>
        <w:jc w:val="center"/>
        <w:rPr>
          <w:color w:val="000000"/>
        </w:rPr>
      </w:pPr>
      <w:r>
        <w:rPr>
          <w:color w:val="000000"/>
        </w:rPr>
        <w:t>São Paulo</w:t>
      </w:r>
    </w:p>
    <w:p w14:paraId="03B62720">
      <w:pPr>
        <w:pStyle w:val="3"/>
        <w:ind w:firstLine="0"/>
        <w:jc w:val="center"/>
        <w:rPr>
          <w:b/>
          <w:bCs/>
          <w:color w:val="000000"/>
        </w:rPr>
      </w:pPr>
      <w:r>
        <w:rPr>
          <w:color w:val="000000"/>
        </w:rPr>
        <w:t>2026</w:t>
      </w:r>
    </w:p>
    <w:p w14:paraId="259BC556">
      <w:pPr>
        <w:pStyle w:val="3"/>
        <w:keepNext w:val="0"/>
        <w:keepLines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Artur Oliveira Santiago</w:t>
      </w:r>
    </w:p>
    <w:p w14:paraId="3D1629E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18FE8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C72AE0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59954D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A95A86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D3404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0FC2D7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7B0DC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0C9EFB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327A2B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2BCE7C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2018F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F6E23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91BD96D">
      <w:pPr>
        <w:pStyle w:val="3"/>
        <w:ind w:firstLine="0"/>
        <w:jc w:val="center"/>
        <w:rPr>
          <w:color w:val="000000"/>
        </w:rPr>
      </w:pPr>
      <w:r>
        <w:rPr>
          <w:color w:val="000000"/>
        </w:rPr>
        <w:t>Sistema de Priorização de Escolas em Risco de Evasão: uma ferramenta preditiva para a gestão da educação estadual de Pernambuco</w:t>
      </w:r>
    </w:p>
    <w:p w14:paraId="2D3BCF4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C49DA1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3FC272">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721C629">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Trabalho de Conclusão de Curso apresentado à banca examinadora da Pontifícia Universidade Católica de São Paulo, como exigência parcial para obtenção do título de Especialista em Engenharia de Software, sob a orientação do(a) prof.(a), dr.(a) - (</w:t>
      </w:r>
      <w:r>
        <w:rPr>
          <w:rFonts w:eastAsia="Arial" w:cs="Arial"/>
          <w:b/>
          <w:bCs/>
          <w:i w:val="0"/>
          <w:iCs w:val="0"/>
          <w:caps w:val="0"/>
          <w:smallCaps w:val="0"/>
          <w:strike w:val="0"/>
          <w:dstrike w:val="0"/>
          <w:color w:val="000000"/>
          <w:position w:val="0"/>
          <w:sz w:val="24"/>
          <w:szCs w:val="24"/>
          <w:u w:val="none"/>
          <w:shd w:val="clear" w:fill="auto"/>
          <w:vertAlign w:val="baseline"/>
        </w:rPr>
        <w:t>nome do completo do(a) orientador(a)</w:t>
      </w:r>
      <w:r>
        <w:rPr>
          <w:rFonts w:eastAsia="Arial" w:cs="Arial"/>
          <w:b w:val="0"/>
          <w:bCs w:val="0"/>
          <w:i w:val="0"/>
          <w:iCs w:val="0"/>
          <w:caps w:val="0"/>
          <w:smallCaps w:val="0"/>
          <w:strike w:val="0"/>
          <w:dstrike w:val="0"/>
          <w:color w:val="000000"/>
          <w:position w:val="0"/>
          <w:sz w:val="24"/>
          <w:szCs w:val="24"/>
          <w:u w:val="none"/>
          <w:shd w:val="clear" w:fill="auto"/>
          <w:vertAlign w:val="baseline"/>
        </w:rPr>
        <w:t>).</w:t>
      </w:r>
    </w:p>
    <w:p w14:paraId="64CE458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F9F7E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205C22E">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062C3D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A2BCCC7">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FA6266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EEDDFA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0A224A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B092B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São Paulo</w:t>
      </w:r>
    </w:p>
    <w:p w14:paraId="7833F3A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2026</w:t>
      </w:r>
    </w:p>
    <w:p w14:paraId="49B57538">
      <w:pPr>
        <w:pStyle w:val="3"/>
        <w:spacing w:before="0" w:after="0" w:line="259" w:lineRule="auto"/>
        <w:jc w:val="left"/>
        <w:rPr>
          <w:color w:val="000000"/>
        </w:rPr>
      </w:pPr>
      <w:r>
        <mc:AlternateContent>
          <mc:Choice Requires="wps">
            <w:drawing>
              <wp:anchor distT="6350" distB="6350" distL="6350" distR="6350" simplePos="0" relativeHeight="251659264" behindDoc="0" locked="0" layoutInCell="1" allowOverlap="1">
                <wp:simplePos x="0" y="0"/>
                <wp:positionH relativeFrom="column">
                  <wp:posOffset>18415</wp:posOffset>
                </wp:positionH>
                <wp:positionV relativeFrom="paragraph">
                  <wp:posOffset>-219710</wp:posOffset>
                </wp:positionV>
                <wp:extent cx="5746750" cy="1612900"/>
                <wp:effectExtent l="6350" t="6350" r="6350" b="6350"/>
                <wp:wrapNone/>
                <wp:docPr id="2" name="Shape 2"/>
                <wp:cNvGraphicFramePr/>
                <a:graphic xmlns:a="http://schemas.openxmlformats.org/drawingml/2006/main">
                  <a:graphicData uri="http://schemas.microsoft.com/office/word/2010/wordprocessingShape">
                    <wps:wsp>
                      <wps:cNvSpPr/>
                      <wps:spPr>
                        <a:xfrm>
                          <a:off x="0" y="0"/>
                          <a:ext cx="5746680" cy="1612800"/>
                        </a:xfrm>
                        <a:prstGeom prst="rect">
                          <a:avLst/>
                        </a:prstGeom>
                        <a:noFill/>
                        <a:ln w="12700">
                          <a:solidFill>
                            <a:srgbClr val="000000"/>
                          </a:solidFill>
                          <a:miter/>
                        </a:ln>
                      </wps:spPr>
                      <wps:style>
                        <a:lnRef idx="0">
                          <a:srgbClr val="FFFFFF"/>
                        </a:lnRef>
                        <a:fillRef idx="0">
                          <a:srgbClr val="FFFFFF"/>
                        </a:fillRef>
                        <a:effectRef idx="0">
                          <a:srgbClr val="FFFFFF"/>
                        </a:effectRef>
                        <a:fontRef idx="minor"/>
                      </wps:style>
                      <wps:txbx>
                        <w:txbxContent>
                          <w:p w14:paraId="5039EB54">
                            <w:pPr>
                              <w:pStyle w:val="29"/>
                              <w:spacing w:before="0" w:after="0" w:line="240" w:lineRule="auto"/>
                              <w:ind w:left="0" w:right="0" w:firstLine="0"/>
                              <w:jc w:val="left"/>
                              <w:rPr>
                                <w:color w:val="000000"/>
                              </w:rPr>
                            </w:pPr>
                          </w:p>
                        </w:txbxContent>
                      </wps:txbx>
                      <wps:bodyPr lIns="91440" tIns="91440" rIns="91440" bIns="91440" anchor="ctr">
                        <a:noAutofit/>
                      </wps:bodyPr>
                    </wps:wsp>
                  </a:graphicData>
                </a:graphic>
              </wp:anchor>
            </w:drawing>
          </mc:Choice>
          <mc:Fallback>
            <w:pict>
              <v:rect id="Shape 2" o:spid="_x0000_s1026" o:spt="1" style="position:absolute;left:0pt;margin-left:1.45pt;margin-top:-17.3pt;height:127pt;width:452.5pt;z-index:251659264;v-text-anchor:middle;mso-width-relative:page;mso-height-relative:page;" filled="f" stroked="t" coordsize="21600,21600" o:gfxdata="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KBVoqLXAAAACQEAAA8AAAAAAAAAAQAgAAAA&#10;IgAAAGRycy9kb3ducmV2LnhtbFBLAQIUABQAAAAIAIdO4kCKZixS0wEAAM0DAAAOAAAAAAAAAAEA&#10;IAAAACYBAABkcnMvZTJvRG9jLnhtbFBLBQYAAAAABgAGAFkBAABrBQAAAAA=&#10;">
                <v:fill on="f" focussize="0,0"/>
                <v:stroke weight="1pt" color="#000000" joinstyle="miter"/>
                <v:imagedata o:title=""/>
                <o:lock v:ext="edit" aspectratio="f"/>
                <v:textbox inset="2.54mm,2.54mm,2.54mm,2.54mm">
                  <w:txbxContent>
                    <w:p w14:paraId="5039EB54">
                      <w:pPr>
                        <w:pStyle w:val="29"/>
                        <w:spacing w:before="0" w:after="0" w:line="240" w:lineRule="auto"/>
                        <w:ind w:left="0" w:right="0" w:firstLine="0"/>
                        <w:jc w:val="left"/>
                        <w:rPr>
                          <w:color w:val="000000"/>
                        </w:rPr>
                      </w:pPr>
                    </w:p>
                  </w:txbxContent>
                </v:textbox>
              </v:rect>
            </w:pict>
          </mc:Fallback>
        </mc:AlternateContent>
      </w:r>
      <w:r>
        <w:rPr>
          <w:color w:val="000000"/>
        </w:rPr>
        <w:t xml:space="preserve">Gerenciador de ficha catalográfica: </w:t>
      </w:r>
    </w:p>
    <w:p w14:paraId="69158EA1">
      <w:pPr>
        <w:pStyle w:val="3"/>
        <w:spacing w:line="259" w:lineRule="auto"/>
        <w:ind w:left="284" w:firstLine="0"/>
        <w:jc w:val="left"/>
      </w:pPr>
    </w:p>
    <w:p w14:paraId="7CDAAA43">
      <w:pPr>
        <w:pStyle w:val="3"/>
        <w:spacing w:line="259" w:lineRule="auto"/>
        <w:ind w:left="284" w:firstLine="0"/>
        <w:jc w:val="left"/>
        <w:rPr>
          <w:color w:val="000000"/>
        </w:rPr>
      </w:pPr>
      <w:r>
        <w:fldChar w:fldCharType="begin"/>
      </w:r>
      <w:r>
        <w:instrText xml:space="preserve"> HYPERLINK "http://biblio2.pucsp.br/ficha/?_ga=2.154384056.1415767632.1628681585-1429258994.1628681585" \h </w:instrText>
      </w:r>
      <w:r>
        <w:fldChar w:fldCharType="separate"/>
      </w:r>
      <w:r>
        <w:rPr>
          <w:color w:val="0563C1"/>
          <w:u w:val="single"/>
        </w:rPr>
        <w:t>http://biblio2.pucsp.br/ficha/?_ga=2.154384056.1415767632.1628681585-1429258994.1628681585</w:t>
      </w:r>
      <w:r>
        <w:rPr>
          <w:color w:val="0563C1"/>
          <w:u w:val="single"/>
        </w:rPr>
        <w:fldChar w:fldCharType="end"/>
      </w:r>
    </w:p>
    <w:p w14:paraId="5EEF71C6">
      <w:pPr>
        <w:pStyle w:val="3"/>
        <w:spacing w:line="259" w:lineRule="auto"/>
        <w:jc w:val="left"/>
        <w:rPr>
          <w:color w:val="000000"/>
        </w:rPr>
      </w:pPr>
    </w:p>
    <w:p w14:paraId="4F9E2F33">
      <w:pPr>
        <w:pStyle w:val="3"/>
        <w:spacing w:line="259" w:lineRule="auto"/>
        <w:jc w:val="left"/>
        <w:rPr>
          <w:b/>
          <w:bCs/>
          <w:color w:val="000000"/>
        </w:rPr>
      </w:pPr>
      <w:r>
        <w:rPr>
          <w:b/>
          <w:bCs/>
          <w:color w:val="000000"/>
        </w:rPr>
        <w:t>Obs. Após inserir a ficha deletar este texto</w:t>
      </w:r>
    </w:p>
    <w:p w14:paraId="6E098FFF">
      <w:pPr>
        <w:pStyle w:val="3"/>
        <w:spacing w:line="259" w:lineRule="auto"/>
        <w:jc w:val="left"/>
        <w:rPr>
          <w:b/>
          <w:bCs/>
          <w:color w:val="000000"/>
        </w:rPr>
      </w:pPr>
    </w:p>
    <w:p w14:paraId="34C1F001">
      <w:pPr>
        <w:pStyle w:val="3"/>
        <w:spacing w:line="259" w:lineRule="auto"/>
        <w:jc w:val="left"/>
        <w:rPr>
          <w:b/>
          <w:bCs/>
          <w:color w:val="000000"/>
        </w:rPr>
      </w:pPr>
    </w:p>
    <w:p w14:paraId="5F189B53">
      <w:pPr>
        <w:pStyle w:val="3"/>
        <w:spacing w:line="259" w:lineRule="auto"/>
        <w:jc w:val="left"/>
        <w:rPr>
          <w:b/>
          <w:bCs/>
          <w:color w:val="000000"/>
        </w:rPr>
      </w:pPr>
    </w:p>
    <w:p w14:paraId="58953B98">
      <w:pPr>
        <w:pStyle w:val="3"/>
        <w:spacing w:line="259" w:lineRule="auto"/>
        <w:jc w:val="left"/>
        <w:rPr>
          <w:b/>
          <w:bCs/>
          <w:color w:val="000000"/>
        </w:rPr>
      </w:pPr>
    </w:p>
    <w:p w14:paraId="795AE9EC">
      <w:pPr>
        <w:pStyle w:val="3"/>
        <w:spacing w:line="259" w:lineRule="auto"/>
        <w:jc w:val="left"/>
        <w:rPr>
          <w:b/>
          <w:bCs/>
          <w:color w:val="000000"/>
        </w:rPr>
      </w:pPr>
    </w:p>
    <w:p w14:paraId="623EB1F4">
      <w:pPr>
        <w:pStyle w:val="3"/>
        <w:spacing w:line="259" w:lineRule="auto"/>
        <w:jc w:val="left"/>
        <w:rPr>
          <w:b/>
          <w:bCs/>
          <w:color w:val="000000"/>
        </w:rPr>
      </w:pPr>
    </w:p>
    <w:p w14:paraId="13F3941B">
      <w:pPr>
        <w:pStyle w:val="3"/>
        <w:spacing w:line="259" w:lineRule="auto"/>
        <w:jc w:val="left"/>
        <w:rPr>
          <w:b/>
          <w:bCs/>
          <w:color w:val="000000"/>
        </w:rPr>
      </w:pPr>
    </w:p>
    <w:p w14:paraId="4FA1C217">
      <w:pPr>
        <w:pStyle w:val="3"/>
        <w:spacing w:line="259" w:lineRule="auto"/>
        <w:jc w:val="left"/>
        <w:rPr>
          <w:b/>
          <w:bCs/>
          <w:color w:val="000000"/>
        </w:rPr>
      </w:pPr>
      <w:r>
        <w:br w:type="page"/>
      </w:r>
    </w:p>
    <w:p w14:paraId="1E1FD561">
      <w:pPr>
        <w:pStyle w:val="3"/>
        <w:keepNext w:val="0"/>
        <w:keepLines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5DABC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3F846E2">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D0D9E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CAAC4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DB182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AD404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A8AD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A4ED25">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6DC6AA">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505CF51">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12CE18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AABF28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24CD3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8D4C53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818DEB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930060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B197A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E2AC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2097E7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9120F0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B494399">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Banca Examinadora</w:t>
      </w:r>
    </w:p>
    <w:p w14:paraId="0EFB61F0">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DDEC3B8">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4D23AE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D23DD2D">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0761EF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CA55D11">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7E974A9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8D43A94">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3B3F755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CDC0A3">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2DE3CD9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06B42AE">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243D5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39A60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B69AA6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33C500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6715C7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4B40D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C5C26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4D05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913887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C5EFA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51C9F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3409E9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08E018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02AE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835718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A1ED8C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7F81DA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6770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087F8E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21DE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E85BF6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822BFB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253597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44F318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E71344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444FE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BFFA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8BEAD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B558C8F">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À comunidade da Pontifícia Universidade Católica de São Paulo pelo apoio permanente.</w:t>
      </w:r>
    </w:p>
    <w:p w14:paraId="2482639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13091D1">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br w:type="page"/>
      </w:r>
    </w:p>
    <w:p w14:paraId="0AD0DA4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AGRADECIMENTOS</w:t>
      </w:r>
    </w:p>
    <w:p w14:paraId="1DF9DB61">
      <w:pPr>
        <w:pStyle w:val="3"/>
        <w:rPr>
          <w:color w:val="000000"/>
        </w:rPr>
      </w:pPr>
    </w:p>
    <w:p w14:paraId="3C8CBD80">
      <w:pPr>
        <w:pStyle w:val="3"/>
        <w:rPr>
          <w:color w:val="000000"/>
        </w:rPr>
      </w:pPr>
      <w:r>
        <w:rPr>
          <w:color w:val="000000"/>
        </w:rPr>
        <w:t>Agradeço ao meu orientador............................................................................... .......................................................................................................................................................................................................................</w:t>
      </w:r>
    </w:p>
    <w:p w14:paraId="5A487436">
      <w:pPr>
        <w:pStyle w:val="3"/>
        <w:rPr>
          <w:color w:val="000000"/>
        </w:rPr>
      </w:pPr>
      <w:r>
        <w:rPr>
          <w:color w:val="000000"/>
        </w:rPr>
        <w:t>A todos os meus professores............................................................................. ........................................................................................................................................................................................................................</w:t>
      </w:r>
    </w:p>
    <w:p w14:paraId="6B1FAAB8">
      <w:pPr>
        <w:pStyle w:val="3"/>
        <w:rPr>
          <w:color w:val="000000"/>
        </w:rPr>
      </w:pPr>
      <w:r>
        <w:rPr>
          <w:color w:val="000000"/>
        </w:rPr>
        <w:t>Aos meus pais.................................................................................................... ........................................................................................................................................................................................................................</w:t>
      </w:r>
    </w:p>
    <w:p w14:paraId="12A1E6D9">
      <w:pPr>
        <w:pStyle w:val="3"/>
        <w:rPr>
          <w:color w:val="000000"/>
        </w:rPr>
      </w:pPr>
      <w:r>
        <w:rPr>
          <w:color w:val="000000"/>
        </w:rPr>
        <w:t>........................................................................................................................................................................................................................</w:t>
      </w:r>
    </w:p>
    <w:p w14:paraId="2BE616FC">
      <w:pPr>
        <w:pStyle w:val="3"/>
        <w:rPr>
          <w:b/>
          <w:bCs/>
          <w:color w:val="000000"/>
        </w:rPr>
      </w:pPr>
      <w:r>
        <w:br w:type="page"/>
      </w:r>
    </w:p>
    <w:p w14:paraId="4000E0A2">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1F41A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859EB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E260D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8B4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0FF9FB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AA949B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F20D5F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D4ACF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73A91C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9A400C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161432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BE1746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39DBBE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604F48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966DB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59F3D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D205A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DA0B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BDF905">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05310A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807D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D3D58C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C4150D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6AE61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92A75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16743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55DFB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DF50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756F85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Ninguém ignora tudo. Ninguém sabe tudo. Todos nós sabemos alguma coisa. Todos nós ignoramos alguma coisa. Por isso aprendemos sempre. (FREIRE, 1987, p. 45).</w:t>
      </w:r>
    </w:p>
    <w:p w14:paraId="630DE0B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FBFF063">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Resumo</w:t>
      </w:r>
    </w:p>
    <w:p w14:paraId="44F349FB">
      <w:pPr>
        <w:pStyle w:val="3"/>
        <w:ind w:firstLine="0"/>
        <w:rPr>
          <w:color w:val="2E75B5"/>
        </w:rPr>
      </w:pPr>
      <w:r>
        <w:rPr>
          <w:rFonts w:ascii="Arial" w:hAnsi="Arial" w:eastAsia="Arial" w:cs="Arial"/>
          <w:b w:val="0"/>
        </w:rPr>
        <w:t>A evasão escolar no Ensino Médio público compromete o desenvolvimento dos jovens e o do país. Em Pernambuco, a taxa média de abandono da rede estadual vem caindo — de 2,05% em 2022 para 0,96% em 2024 —, mas a média esconde o problema real: em 2024, dois terços das escolas não registraram nenhum abandono, enquanto 10% delas concentraram 76% dos 2.043 alunos que deixaram a escola. Este trabalho desenvolve um sistema que identifica antecipadamente as escolas com maior risco de abandono. O sistema reúne dados públicos do INEP — Censo Escolar de 2022 a 2024, taxas de rendimento e quatro indicadores complementares —, usa 39 características por escola e prevê a taxa de abandono do ano seguinte. O resultado é entregue ao gestor em um painel interativo que ordena as escolas por risco e explica cada indicação. O sistema acerta a ordem das escolas muito melhor do que o valor exato da taxa: das escolas que ele aponta como prioritárias, cerca de metade está de fato entre as mais críticas, contra 7 em cada 100 na escolha ao acaso. No teste mais exigente — prever um ano que o sistema não viu —, uma lista de 150 escolas alcança mais da metade das escolas críticas da rede. O histórico recente de abandono, a reprovação e a defasagem entre idade e série são os principais sinais de risco.</w:t>
      </w:r>
    </w:p>
    <w:p w14:paraId="31B565F5">
      <w:pPr>
        <w:pStyle w:val="3"/>
        <w:ind w:firstLine="0"/>
        <w:rPr>
          <w:color w:val="2E75B5"/>
        </w:rPr>
      </w:pPr>
      <w:r>
        <w:rPr>
          <w:rFonts w:ascii="Arial" w:hAnsi="Arial" w:eastAsia="Arial" w:cs="Arial"/>
          <w:b w:val="0"/>
        </w:rPr>
        <w:t>Palavras-chave: Evasão escolar. Priorização de escolas. Sistema de apoio à decisão. Engenharia de software. Educação pública.</w:t>
      </w:r>
    </w:p>
    <w:p w14:paraId="7DC3C51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8F52D42">
      <w:pPr>
        <w:pStyle w:val="3"/>
        <w:spacing w:before="0" w:after="160" w:line="259" w:lineRule="auto"/>
        <w:ind w:firstLine="0"/>
        <w:jc w:val="left"/>
        <w:rPr>
          <w:color w:val="000000"/>
        </w:rPr>
      </w:pPr>
      <w:r>
        <w:br w:type="page"/>
      </w:r>
    </w:p>
    <w:p w14:paraId="5D66341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ABSTRACT</w:t>
      </w:r>
    </w:p>
    <w:p w14:paraId="7543924C">
      <w:pPr>
        <w:pStyle w:val="3"/>
        <w:ind w:firstLine="0"/>
        <w:rPr>
          <w:color w:val="2E75B5"/>
        </w:rPr>
      </w:pPr>
      <w:r>
        <w:rPr>
          <w:rFonts w:ascii="Arial" w:hAnsi="Arial" w:eastAsia="Arial" w:cs="Arial"/>
          <w:b w:val="0"/>
        </w:rPr>
        <w:t>School dropout in Brazilian public high schools compromises both individual and national development. In Pernambuco, the average dropout rate of the state network has been falling — from 2.05% in 2022 to 0.96% in 2024 — but the average hides the real problem: in 2024, two thirds of the schools recorded no dropout at all, while 10% of them concentrated 76% of the 2,043 students who left school. This work develops a system that identifies in advance the schools at highest risk of dropout. The system gathers public data from INEP — the School Census from 2022 to 2024, performance rates and four complementary indicators —, uses 38 pieces of information per school and predicts the dropout rate of the following year. The result is delivered to the manager through an interactive dashboard that ranks schools by risk and explains each indication. The system is far better at getting the order of the schools right than the exact value of the rate: of the schools it flags as priorities, about half are in fact among the most critical ones, against 7 out of 100 under random choice. In the most demanding test — predicting a year the system has never seen — a list of 150 schools reaches almost two thirds of the critical schools in the network. Recent dropout history, grade retention and the gap between age and grade are the main risk signals.</w:t>
      </w:r>
    </w:p>
    <w:p w14:paraId="3D8D40F5">
      <w:pPr>
        <w:pStyle w:val="3"/>
        <w:ind w:firstLine="0"/>
        <w:rPr>
          <w:color w:val="2E75B5"/>
        </w:rPr>
      </w:pPr>
      <w:r>
        <w:rPr>
          <w:rFonts w:ascii="Arial" w:hAnsi="Arial" w:eastAsia="Arial" w:cs="Arial"/>
          <w:b w:val="0"/>
        </w:rPr>
        <w:t>Keywords: School dropout. School prioritization. Decision support system. Software engineering. Public education.</w:t>
      </w:r>
    </w:p>
    <w:p w14:paraId="3CE7437E">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B7F7EB">
      <w:pPr>
        <w:pStyle w:val="3"/>
        <w:spacing w:before="0" w:after="160" w:line="259" w:lineRule="auto"/>
        <w:ind w:firstLine="0"/>
        <w:jc w:val="left"/>
        <w:rPr>
          <w:color w:val="000000"/>
        </w:rPr>
      </w:pPr>
      <w:r>
        <w:br w:type="page"/>
      </w:r>
    </w:p>
    <w:p w14:paraId="7288F8A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ILUSTRAÇÕES</w:t>
      </w:r>
    </w:p>
    <w:p w14:paraId="07CEE585">
      <w:pPr>
        <w:pStyle w:val="3"/>
        <w:ind w:firstLine="0"/>
        <w:rPr>
          <w:color w:val="2E75B5"/>
        </w:rPr>
      </w:pPr>
      <w:r>
        <w:rPr>
          <w:rFonts w:ascii="Arial" w:hAnsi="Arial"/>
          <w:sz w:val="22"/>
        </w:rPr>
        <w:t>Figura 1 – Queda da taxa média da rede e concentração do abandono em 10% das escolas</w:t>
      </w:r>
    </w:p>
    <w:p w14:paraId="5DE5E8EB">
      <w:pPr>
        <w:pStyle w:val="3"/>
        <w:ind w:firstLine="0"/>
        <w:rPr>
          <w:color w:val="2E75B5"/>
        </w:rPr>
      </w:pPr>
      <w:r>
        <w:rPr>
          <w:rFonts w:ascii="Arial" w:hAnsi="Arial"/>
          <w:sz w:val="22"/>
        </w:rPr>
        <w:t>Figura 2 – Diagrama de casos de uso do sistema</w:t>
      </w:r>
    </w:p>
    <w:p w14:paraId="6A069DFA">
      <w:pPr>
        <w:pStyle w:val="3"/>
        <w:ind w:firstLine="0"/>
        <w:rPr>
          <w:color w:val="2E75B5"/>
        </w:rPr>
      </w:pPr>
      <w:r>
        <w:rPr>
          <w:rFonts w:ascii="Arial" w:hAnsi="Arial"/>
          <w:sz w:val="22"/>
        </w:rPr>
        <w:t>Figura 3 – Diagrama de pacotes</w:t>
      </w:r>
    </w:p>
    <w:p w14:paraId="15B67E66">
      <w:pPr>
        <w:pStyle w:val="3"/>
        <w:ind w:firstLine="0"/>
        <w:rPr>
          <w:color w:val="2E75B5"/>
        </w:rPr>
      </w:pPr>
      <w:r>
        <w:rPr>
          <w:rFonts w:ascii="Arial" w:hAnsi="Arial"/>
          <w:sz w:val="22"/>
        </w:rPr>
        <w:t>Figura 4 – Diagrama de componentes e fluxo de dados</w:t>
      </w:r>
    </w:p>
    <w:p w14:paraId="559BE535">
      <w:pPr>
        <w:pStyle w:val="3"/>
        <w:ind w:firstLine="0"/>
        <w:rPr>
          <w:color w:val="2E75B5"/>
        </w:rPr>
      </w:pPr>
      <w:r>
        <w:rPr>
          <w:rFonts w:ascii="Arial" w:hAnsi="Arial"/>
          <w:sz w:val="22"/>
        </w:rPr>
        <w:t>Figura 5 – Diagrama de atividades do fluxo de execução</w:t>
      </w:r>
    </w:p>
    <w:p w14:paraId="09E9A34E">
      <w:pPr>
        <w:pStyle w:val="3"/>
        <w:ind w:firstLine="0"/>
        <w:rPr>
          <w:color w:val="2E75B5"/>
        </w:rPr>
      </w:pPr>
      <w:r>
        <w:rPr>
          <w:rFonts w:ascii="Arial" w:hAnsi="Arial"/>
          <w:sz w:val="22"/>
        </w:rPr>
        <w:t>Figura 6 – Diagrama de implantação</w:t>
      </w:r>
    </w:p>
    <w:p w14:paraId="434ABDB3">
      <w:pPr>
        <w:pStyle w:val="3"/>
        <w:ind w:firstLine="0"/>
        <w:rPr>
          <w:color w:val="2E75B5"/>
        </w:rPr>
      </w:pPr>
      <w:r>
        <w:rPr>
          <w:rFonts w:ascii="Arial" w:hAnsi="Arial"/>
          <w:sz w:val="22"/>
        </w:rPr>
        <w:t>Figura 7 – Distribuição da taxa de abandono prevista e diferença de risco entre grupos de escolas</w:t>
      </w:r>
    </w:p>
    <w:p w14:paraId="7670B9EB">
      <w:pPr>
        <w:pStyle w:val="3"/>
        <w:ind w:firstLine="0"/>
        <w:rPr>
          <w:color w:val="2E75B5"/>
        </w:rPr>
      </w:pPr>
      <w:r>
        <w:rPr>
          <w:rFonts w:ascii="Arial" w:hAnsi="Arial"/>
          <w:sz w:val="22"/>
        </w:rPr>
        <w:t>Figura 8 – Distribuição das 23 características contínuas na rede estadual</w:t>
      </w:r>
    </w:p>
    <w:p w14:paraId="1D62E1CA">
      <w:pPr>
        <w:pStyle w:val="3"/>
        <w:ind w:firstLine="0"/>
        <w:rPr>
          <w:color w:val="2E75B5"/>
        </w:rPr>
      </w:pPr>
      <w:r>
        <w:rPr>
          <w:rFonts w:ascii="Arial" w:hAnsi="Arial"/>
          <w:sz w:val="22"/>
        </w:rPr>
        <w:t>Figura 9 – Repartição das escolas por atributo de sim ou não e taxa média de abandono de cada grupo</w:t>
      </w:r>
    </w:p>
    <w:p w14:paraId="25572C24">
      <w:pPr>
        <w:pStyle w:val="3"/>
        <w:ind w:firstLine="0"/>
        <w:rPr>
          <w:color w:val="2E75B5"/>
        </w:rPr>
      </w:pPr>
      <w:r>
        <w:rPr>
          <w:rFonts w:ascii="Arial" w:hAnsi="Arial"/>
          <w:sz w:val="22"/>
        </w:rPr>
        <w:t>Figura 10 – Abandono médio e peso de cada região do estado no conjunto de dados</w:t>
      </w:r>
    </w:p>
    <w:p w14:paraId="00552AF9">
      <w:pPr>
        <w:pStyle w:val="3"/>
        <w:ind w:firstLine="0"/>
        <w:rPr>
          <w:color w:val="2E75B5"/>
        </w:rPr>
      </w:pPr>
      <w:r>
        <w:rPr>
          <w:rFonts w:ascii="Arial" w:hAnsi="Arial"/>
          <w:sz w:val="22"/>
        </w:rPr>
        <w:t>Figura 11 – As 38 características numéricas ordenadas pela relação com o abandono do ano seguinte</w:t>
      </w:r>
    </w:p>
    <w:p w14:paraId="4C704656">
      <w:pPr>
        <w:pStyle w:val="3"/>
        <w:ind w:firstLine="0"/>
        <w:rPr>
          <w:color w:val="2E75B5"/>
        </w:rPr>
      </w:pPr>
      <w:r>
        <w:rPr>
          <w:rFonts w:ascii="Arial" w:hAnsi="Arial"/>
          <w:sz w:val="22"/>
        </w:rPr>
        <w:t>Figura 12 – Distribuição das medidas de desempenho nas 20 repetições</w:t>
      </w:r>
    </w:p>
    <w:p w14:paraId="12CBFCCB">
      <w:pPr>
        <w:pStyle w:val="3"/>
        <w:ind w:firstLine="0"/>
        <w:rPr>
          <w:color w:val="2E75B5"/>
        </w:rPr>
      </w:pPr>
      <w:r>
        <w:rPr>
          <w:rFonts w:ascii="Arial" w:hAnsi="Arial"/>
          <w:color w:val="1F4E9B"/>
          <w:sz w:val="22"/>
          <w:highlight w:val="yellow"/>
        </w:rPr>
        <w:t>Figura 13 – Desempenho do modelo adotado em cada transição anual (2022→2023 e 2023→2024)</w:t>
      </w:r>
    </w:p>
    <w:p w14:paraId="3199E1D8">
      <w:pPr>
        <w:pStyle w:val="3"/>
        <w:ind w:firstLine="0"/>
        <w:rPr>
          <w:color w:val="2E75B5"/>
        </w:rPr>
      </w:pPr>
      <w:r>
        <w:rPr>
          <w:rFonts w:ascii="Arial" w:hAnsi="Arial"/>
          <w:color w:val="1F4E9B"/>
          <w:sz w:val="22"/>
          <w:highlight w:val="yellow"/>
        </w:rPr>
        <w:t>Figura 14 – Resíduo do modelo por escola, em número de alunos que abandonaram o ensino médio, nas transições 2022–2023 e 2023–2024</w:t>
      </w:r>
    </w:p>
    <w:p w14:paraId="0BCC53AB">
      <w:pPr>
        <w:pStyle w:val="3"/>
        <w:ind w:firstLine="0"/>
        <w:rPr>
          <w:color w:val="2E75B5"/>
        </w:rPr>
      </w:pPr>
      <w:r>
        <w:rPr>
          <w:rFonts w:ascii="Arial" w:hAnsi="Arial"/>
          <w:sz w:val="22"/>
        </w:rPr>
        <w:t>Figura 15 – Ganho prático da lista de prioridade em relação à escolha ao acaso</w:t>
      </w:r>
    </w:p>
    <w:p w14:paraId="243493A6">
      <w:pPr>
        <w:pStyle w:val="3"/>
        <w:ind w:firstLine="0"/>
        <w:rPr>
          <w:color w:val="2E75B5"/>
        </w:rPr>
      </w:pPr>
      <w:r>
        <w:rPr>
          <w:rFonts w:ascii="Arial" w:hAnsi="Arial"/>
          <w:sz w:val="22"/>
        </w:rPr>
        <w:t>Figura 16 – Acerto e alcance da lista para diferentes tamanhos de lista</w:t>
      </w:r>
    </w:p>
    <w:p w14:paraId="145FB100">
      <w:pPr>
        <w:pStyle w:val="3"/>
        <w:ind w:firstLine="0"/>
        <w:rPr>
          <w:color w:val="2E75B5"/>
        </w:rPr>
      </w:pPr>
      <w:r>
        <w:rPr>
          <w:rFonts w:ascii="Arial" w:hAnsi="Arial"/>
          <w:sz w:val="22"/>
        </w:rPr>
        <w:t>Figura 17 – Contribuição de cada característica para as previsões do sistema</w:t>
      </w:r>
    </w:p>
    <w:p w14:paraId="44E8BD78">
      <w:pPr>
        <w:pStyle w:val="3"/>
        <w:ind w:firstLine="0"/>
        <w:rPr>
          <w:color w:val="2E75B5"/>
        </w:rPr>
      </w:pPr>
      <w:r>
        <w:rPr>
          <w:rFonts w:ascii="Arial" w:hAnsi="Arial"/>
          <w:sz w:val="22"/>
        </w:rPr>
        <w:t>Figura 18 – Peso e direção de cada característica nas previsões do sistema</w:t>
      </w:r>
    </w:p>
    <w:p w14:paraId="4F99997E">
      <w:pPr>
        <w:pStyle w:val="3"/>
        <w:ind w:firstLine="0"/>
        <w:rPr>
          <w:color w:val="2E75B5"/>
        </w:rPr>
      </w:pPr>
      <w:r>
        <w:rPr>
          <w:rFonts w:ascii="Arial" w:hAnsi="Arial"/>
          <w:sz w:val="22"/>
        </w:rPr>
        <w:t>Figura 19 – Explicação individual da escola de maior risco previsto</w:t>
      </w:r>
    </w:p>
    <w:p w14:paraId="1A68FE01">
      <w:pPr>
        <w:pStyle w:val="3"/>
        <w:ind w:firstLine="0"/>
        <w:rPr>
          <w:color w:val="2E75B5"/>
        </w:rPr>
      </w:pPr>
      <w:r>
        <w:rPr>
          <w:rFonts w:ascii="Arial" w:hAnsi="Arial"/>
          <w:sz w:val="22"/>
        </w:rPr>
        <w:t>Figura 20 – Erro do sistema por grupo de localização no teste do ano nunca visto</w:t>
      </w:r>
    </w:p>
    <w:p w14:paraId="66821D4E">
      <w:pPr>
        <w:pStyle w:val="3"/>
        <w:rPr>
          <w:b/>
          <w:bCs/>
          <w:color w:val="000000"/>
        </w:rPr>
      </w:pPr>
    </w:p>
    <w:sdt>
      <w:sdtPr>
        <w:id w:val="147471518"/>
        <w:docPartObj>
          <w:docPartGallery w:val="Table of Contents"/>
          <w:docPartUnique/>
        </w:docPartObj>
      </w:sdtPr>
      <w:sdtContent>
        <w:p w14:paraId="40E3983C">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"_heading=h.jhc5tl22jlhp"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Figura 1 - Estrutura de trabalhos acadêmicos. (ABNT NBR 14724)</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E470546">
      <w:pPr>
        <w:pStyle w:val="3"/>
        <w:rPr>
          <w:b/>
          <w:bCs/>
          <w:color w:val="000000"/>
        </w:rPr>
      </w:pPr>
      <w:r>
        <w:br w:type="page"/>
      </w:r>
    </w:p>
    <w:p w14:paraId="6981B3D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sdt>
      <w:sdtPr>
        <w:id w:val="147479382"/>
        <w:docPartObj>
          <w:docPartGallery w:val="Table of Contents"/>
          <w:docPartUnique/>
        </w:docPartObj>
      </w:sdtPr>
      <w:sdtContent>
        <w:p w14:paraId="3660C5F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"_heading=h.62ykwif5gkal"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Gráfico 1 – Grupos etários</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7EBA55B7">
      <w:pPr>
        <w:pStyle w:val="3"/>
        <w:keepNext w:val="0"/>
        <w:keepLines w:val="0"/>
        <w:pageBreakBefore w:val="0"/>
        <w:widowControl/>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7BFC91A">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QUADROS</w:t>
      </w:r>
    </w:p>
    <w:p w14:paraId="33D2E9E5">
      <w:pPr>
        <w:pStyle w:val="3"/>
        <w:ind w:firstLine="0"/>
        <w:rPr>
          <w:color w:val="2E75B5"/>
        </w:rPr>
      </w:pPr>
      <w:r>
        <w:rPr>
          <w:rFonts w:ascii="Arial" w:hAnsi="Arial"/>
          <w:sz w:val="22"/>
        </w:rPr>
        <w:t>Quadro 1 – Fases do método de desenvolvimento e artefatos produzidos</w:t>
      </w:r>
    </w:p>
    <w:p w14:paraId="3916BCBD">
      <w:pPr>
        <w:pStyle w:val="3"/>
        <w:ind w:firstLine="0"/>
        <w:rPr>
          <w:color w:val="2E75B5"/>
        </w:rPr>
      </w:pPr>
      <w:r>
        <w:rPr>
          <w:rFonts w:ascii="Arial" w:hAnsi="Arial"/>
          <w:sz w:val="22"/>
        </w:rPr>
        <w:t>Quadro 2 – Casamento no tempo entre as características da escola e o abandono previsto</w:t>
      </w:r>
    </w:p>
    <w:p w14:paraId="46589F6A">
      <w:pPr>
        <w:pStyle w:val="3"/>
        <w:ind w:firstLine="0"/>
        <w:rPr>
          <w:color w:val="2E75B5"/>
        </w:rPr>
      </w:pPr>
      <w:r>
        <w:rPr>
          <w:rFonts w:ascii="Arial" w:hAnsi="Arial"/>
          <w:sz w:val="22"/>
        </w:rPr>
        <w:t>Quadro 3 – Grupos de características usadas pelo sistema</w:t>
      </w:r>
    </w:p>
    <w:p w14:paraId="3D9F20FB">
      <w:pPr>
        <w:pStyle w:val="3"/>
        <w:ind w:firstLine="0"/>
        <w:rPr>
          <w:color w:val="2E75B5"/>
        </w:rPr>
      </w:pPr>
      <w:r>
        <w:rPr>
          <w:rFonts w:ascii="Arial" w:hAnsi="Arial"/>
          <w:sz w:val="22"/>
        </w:rPr>
        <w:t>Quadro 4 – Módulos de teste e riscos cobertos</w:t>
      </w:r>
    </w:p>
    <w:p w14:paraId="45A45D9D">
      <w:pPr>
        <w:pStyle w:val="3"/>
        <w:ind w:firstLine="0"/>
        <w:rPr>
          <w:color w:val="2E75B5"/>
        </w:rPr>
      </w:pPr>
      <w:r>
        <w:rPr>
          <w:rFonts w:ascii="Arial" w:hAnsi="Arial"/>
          <w:sz w:val="22"/>
        </w:rPr>
        <w:t>Quadro 5 – Do painel histórico ao conjunto usado na previsão</w:t>
      </w:r>
    </w:p>
    <w:p w14:paraId="4B16FE56">
      <w:pPr>
        <w:pStyle w:val="3"/>
        <w:ind w:firstLine="0"/>
        <w:rPr>
          <w:color w:val="2E75B5"/>
        </w:rPr>
      </w:pPr>
      <w:r>
        <w:rPr>
          <w:rFonts w:ascii="Arial" w:hAnsi="Arial"/>
          <w:sz w:val="22"/>
        </w:rPr>
        <w:t>Quadro 6 – Estatísticas descritivas das 23 características contínuas e relação de cada uma com o abandono do ano seguinte</w:t>
      </w:r>
    </w:p>
    <w:p w14:paraId="500A0F4C">
      <w:pPr>
        <w:pStyle w:val="3"/>
        <w:ind w:firstLine="0"/>
        <w:rPr>
          <w:color w:val="2E75B5"/>
        </w:rPr>
      </w:pPr>
      <w:r>
        <w:rPr>
          <w:rFonts w:ascii="Arial" w:hAnsi="Arial"/>
          <w:sz w:val="22"/>
        </w:rPr>
        <w:t>Quadro 7 – Repartição das escolas por atributo de sim ou não e abandono médio de cada grupo</w:t>
      </w:r>
    </w:p>
    <w:p w14:paraId="6807440B">
      <w:pPr>
        <w:pStyle w:val="3"/>
        <w:ind w:firstLine="0"/>
        <w:rPr>
          <w:color w:val="2E75B5"/>
        </w:rPr>
      </w:pPr>
      <w:r>
        <w:rPr>
          <w:rFonts w:ascii="Arial" w:hAnsi="Arial"/>
          <w:sz w:val="22"/>
        </w:rPr>
        <w:t>Quadro 8 – Distribuição das observações e abandono médio por região do estado</w:t>
      </w:r>
    </w:p>
    <w:p w14:paraId="0633F55F">
      <w:pPr>
        <w:pStyle w:val="3"/>
        <w:ind w:firstLine="0"/>
        <w:rPr>
          <w:color w:val="2E75B5"/>
        </w:rPr>
      </w:pPr>
      <w:r>
        <w:rPr>
          <w:rFonts w:ascii="Arial" w:hAnsi="Arial"/>
          <w:sz w:val="22"/>
        </w:rPr>
        <w:t>Quadro 9 – Desempenho em validação repetida (20 repetições, com faixa de confiança de 95%)</w:t>
      </w:r>
    </w:p>
    <w:p w14:paraId="13F1BADB">
      <w:pPr>
        <w:pStyle w:val="3"/>
        <w:ind w:firstLine="0"/>
        <w:rPr>
          <w:color w:val="2E75B5"/>
        </w:rPr>
      </w:pPr>
      <w:r>
        <w:rPr>
          <w:rFonts w:ascii="Arial" w:hAnsi="Arial"/>
          <w:sz w:val="22"/>
        </w:rPr>
        <w:t>Quadro 10 – Desempenho no teste do ano nunca visto (treino em 2022–2023, teste em 2023–2024)</w:t>
      </w:r>
    </w:p>
    <w:p w14:paraId="77DF2541">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p w14:paraId="2CB820C1">
      <w:pPr>
        <w:pStyle w:val="3"/>
        <w:rPr>
          <w:b/>
          <w:bCs/>
          <w:color w:val="000000"/>
        </w:rPr>
      </w:pPr>
    </w:p>
    <w:sdt>
      <w:sdtPr>
        <w:id w:val="147477223"/>
        <w:docPartObj>
          <w:docPartGallery w:val="Table of Contents"/>
          <w:docPartUnique/>
        </w:docPartObj>
      </w:sdtPr>
      <w:sdtContent>
        <w:p w14:paraId="74955F1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"_heading=h.hdx1pjdrbrax"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Quadro 1 – Formato de apresentação</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39E9F8A">
      <w:pPr>
        <w:pStyle w:val="3"/>
        <w:rPr>
          <w:b/>
          <w:bCs/>
          <w:color w:val="000000"/>
        </w:rPr>
      </w:pPr>
      <w:r>
        <w:br w:type="page"/>
      </w:r>
    </w:p>
    <w:p w14:paraId="6C9B4BFE">
      <w:pPr>
        <w:pStyle w:val="3"/>
        <w:rPr>
          <w:color w:val="000000"/>
        </w:rPr>
      </w:pPr>
    </w:p>
    <w:sdt>
      <w:sdtPr>
        <w:id w:val="147482777"/>
        <w:docPartObj>
          <w:docPartGallery w:val="Table of Contents"/>
          <w:docPartUnique/>
        </w:docPartObj>
      </w:sdtPr>
      <w:sdtContent>
        <w:p w14:paraId="234E00CA">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"_heading=h.fi64up6kunop"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Tabela 1 - Modelo de tabela</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25F05DD3">
      <w:pPr>
        <w:pStyle w:val="3"/>
        <w:rPr>
          <w:color w:val="000000"/>
        </w:rPr>
      </w:pPr>
      <w:r>
        <w:br w:type="page"/>
      </w:r>
    </w:p>
    <w:p w14:paraId="49BEE6AC">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ABREVIATURAS E SIGLAS</w:t>
      </w:r>
    </w:p>
    <w:p w14:paraId="51520A6C">
      <w:pPr>
        <w:pStyle w:val="3"/>
        <w:jc w:val="left"/>
        <w:rPr>
          <w:color w:val="000000"/>
        </w:rPr>
      </w:pPr>
    </w:p>
    <w:tbl>
      <w:tblPr>
        <w:tblStyle w:val="10"/>
        <w:tblW w:w="8879" w:type="dxa"/>
        <w:tblInd w:w="0" w:type="dxa"/>
        <w:tblLayout w:type="fixed"/>
        <w:tblCellMar>
          <w:top w:w="0" w:type="dxa"/>
          <w:left w:w="108" w:type="dxa"/>
          <w:bottom w:w="0" w:type="dxa"/>
          <w:right w:w="108" w:type="dxa"/>
        </w:tblCellMar>
      </w:tblPr>
      <w:tblGrid>
        <w:gridCol w:w="1275"/>
        <w:gridCol w:w="7604"/>
      </w:tblGrid>
      <w:tr w14:paraId="25C74A6D">
        <w:tblPrEx>
          <w:tblCellMar>
            <w:top w:w="0" w:type="dxa"/>
            <w:left w:w="108" w:type="dxa"/>
            <w:bottom w:w="0" w:type="dxa"/>
            <w:right w:w="108" w:type="dxa"/>
          </w:tblCellMar>
        </w:tblPrEx>
        <w:tc>
          <w:tcPr>
            <w:tcW w:w="1275" w:type="dxa"/>
          </w:tcPr>
          <w:p w14:paraId="67082F3A">
            <w:pPr>
              <w:pStyle w:val="3"/>
              <w:ind w:firstLine="0"/>
              <w:jc w:val="left"/>
              <w:rPr>
                <w:color w:val="000000"/>
              </w:rPr>
            </w:pPr>
            <w:r>
              <w:rPr>
                <w:color w:val="000000"/>
              </w:rPr>
              <w:t>ABNT</w:t>
            </w:r>
          </w:p>
        </w:tc>
        <w:tc>
          <w:tcPr>
            <w:tcW w:w="7604" w:type="dxa"/>
          </w:tcPr>
          <w:p w14:paraId="031A16CB">
            <w:pPr>
              <w:pStyle w:val="3"/>
              <w:ind w:firstLine="0"/>
              <w:jc w:val="left"/>
              <w:rPr>
                <w:color w:val="000000"/>
              </w:rPr>
            </w:pPr>
            <w:r>
              <w:rPr>
                <w:color w:val="000000"/>
              </w:rPr>
              <w:t>Associação Brasileira de Normas Técnicas</w:t>
            </w:r>
          </w:p>
        </w:tc>
      </w:tr>
      <w:tr w14:paraId="355CB197">
        <w:tblPrEx>
          <w:tblCellMar>
            <w:top w:w="0" w:type="dxa"/>
            <w:left w:w="108" w:type="dxa"/>
            <w:bottom w:w="0" w:type="dxa"/>
            <w:right w:w="108" w:type="dxa"/>
          </w:tblCellMar>
        </w:tblPrEx>
        <w:tc>
          <w:tcPr>
            <w:tcW w:w="1275" w:type="dxa"/>
          </w:tcPr>
          <w:p w14:paraId="7BE31135">
            <w:pPr>
              <w:pStyle w:val="3"/>
              <w:ind w:firstLine="0"/>
              <w:jc w:val="left"/>
              <w:rPr>
                <w:color w:val="000000"/>
              </w:rPr>
            </w:pPr>
            <w:r>
              <w:rPr>
                <w:color w:val="000000"/>
              </w:rPr>
              <w:t>BU</w:t>
            </w:r>
          </w:p>
        </w:tc>
        <w:tc>
          <w:tcPr>
            <w:tcW w:w="7604" w:type="dxa"/>
          </w:tcPr>
          <w:p w14:paraId="10CBB3A7">
            <w:pPr>
              <w:pStyle w:val="3"/>
              <w:ind w:firstLine="0"/>
              <w:jc w:val="left"/>
              <w:rPr>
                <w:color w:val="000000"/>
              </w:rPr>
            </w:pPr>
            <w:r>
              <w:rPr>
                <w:color w:val="000000"/>
              </w:rPr>
              <w:t>Biblioteca Universitária</w:t>
            </w:r>
          </w:p>
        </w:tc>
      </w:tr>
      <w:tr w14:paraId="72F0D8B3">
        <w:tblPrEx>
          <w:tblCellMar>
            <w:top w:w="0" w:type="dxa"/>
            <w:left w:w="108" w:type="dxa"/>
            <w:bottom w:w="0" w:type="dxa"/>
            <w:right w:w="108" w:type="dxa"/>
          </w:tblCellMar>
        </w:tblPrEx>
        <w:tc>
          <w:tcPr>
            <w:tcW w:w="1275" w:type="dxa"/>
          </w:tcPr>
          <w:p w14:paraId="608F69E1">
            <w:pPr>
              <w:pStyle w:val="3"/>
              <w:ind w:firstLine="0"/>
              <w:jc w:val="left"/>
              <w:rPr>
                <w:color w:val="000000"/>
              </w:rPr>
            </w:pPr>
            <w:r>
              <w:rPr>
                <w:color w:val="000000"/>
              </w:rPr>
              <w:t>NBR</w:t>
            </w:r>
          </w:p>
        </w:tc>
        <w:tc>
          <w:tcPr>
            <w:tcW w:w="7604" w:type="dxa"/>
          </w:tcPr>
          <w:p w14:paraId="77D1C937">
            <w:pPr>
              <w:pStyle w:val="3"/>
              <w:ind w:firstLine="0"/>
              <w:jc w:val="left"/>
              <w:rPr>
                <w:color w:val="000000"/>
              </w:rPr>
            </w:pPr>
            <w:r>
              <w:rPr>
                <w:color w:val="000000"/>
              </w:rPr>
              <w:t>Normas Técnicas Brasileiras</w:t>
            </w:r>
          </w:p>
        </w:tc>
      </w:tr>
      <w:tr w14:paraId="2D082CA7">
        <w:tblPrEx>
          <w:tblCellMar>
            <w:top w:w="0" w:type="dxa"/>
            <w:left w:w="108" w:type="dxa"/>
            <w:bottom w:w="0" w:type="dxa"/>
            <w:right w:w="108" w:type="dxa"/>
          </w:tblCellMar>
        </w:tblPrEx>
        <w:tc>
          <w:tcPr>
            <w:tcW w:w="1275" w:type="dxa"/>
          </w:tcPr>
          <w:p w14:paraId="3C805721">
            <w:pPr>
              <w:pStyle w:val="3"/>
              <w:ind w:firstLine="0"/>
              <w:jc w:val="left"/>
              <w:rPr>
                <w:color w:val="000000"/>
              </w:rPr>
            </w:pPr>
            <w:r>
              <w:rPr>
                <w:color w:val="000000"/>
              </w:rPr>
              <w:t>TCC</w:t>
            </w:r>
          </w:p>
        </w:tc>
        <w:tc>
          <w:tcPr>
            <w:tcW w:w="7604" w:type="dxa"/>
          </w:tcPr>
          <w:p w14:paraId="3C950431">
            <w:pPr>
              <w:pStyle w:val="3"/>
              <w:ind w:firstLine="0"/>
              <w:jc w:val="left"/>
              <w:rPr>
                <w:color w:val="000000"/>
              </w:rPr>
            </w:pPr>
            <w:r>
              <w:rPr>
                <w:color w:val="000000"/>
              </w:rPr>
              <w:t>Trabalho de Conclusão de Curso</w:t>
            </w:r>
          </w:p>
        </w:tc>
      </w:tr>
      <w:tr w14:paraId="1C15BFE9">
        <w:tblPrEx>
          <w:tblCellMar>
            <w:top w:w="0" w:type="dxa"/>
            <w:left w:w="108" w:type="dxa"/>
            <w:bottom w:w="0" w:type="dxa"/>
            <w:right w:w="108" w:type="dxa"/>
          </w:tblCellMar>
        </w:tblPrEx>
        <w:tc>
          <w:tcPr>
            <w:tcW w:w="1275" w:type="dxa"/>
          </w:tcPr>
          <w:p w14:paraId="6E079B63">
            <w:pPr>
              <w:pStyle w:val="3"/>
              <w:ind w:firstLine="0"/>
              <w:jc w:val="left"/>
              <w:rPr>
                <w:color w:val="000000"/>
              </w:rPr>
            </w:pPr>
          </w:p>
        </w:tc>
        <w:tc>
          <w:tcPr>
            <w:tcW w:w="7604" w:type="dxa"/>
          </w:tcPr>
          <w:p w14:paraId="5FE4DE85">
            <w:pPr>
              <w:pStyle w:val="3"/>
              <w:ind w:firstLine="0"/>
              <w:jc w:val="left"/>
              <w:rPr>
                <w:color w:val="000000"/>
              </w:rPr>
            </w:pPr>
          </w:p>
        </w:tc>
      </w:tr>
    </w:tbl>
    <w:p w14:paraId="50D6D481">
      <w:pPr>
        <w:pStyle w:val="3"/>
        <w:spacing w:line="259" w:lineRule="auto"/>
        <w:jc w:val="left"/>
        <w:rPr>
          <w:color w:val="000000"/>
        </w:rPr>
      </w:pPr>
    </w:p>
    <w:p w14:paraId="700A35A8">
      <w:pPr>
        <w:pStyle w:val="3"/>
        <w:spacing w:line="259" w:lineRule="auto"/>
        <w:jc w:val="left"/>
        <w:rPr>
          <w:color w:val="000000"/>
        </w:rPr>
      </w:pPr>
      <w:r>
        <w:br w:type="page"/>
      </w:r>
    </w:p>
    <w:p w14:paraId="0E380D92">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CDA6E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266E8AC">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9E11A45">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Sumário</w:t>
      </w:r>
    </w:p>
    <w:p w14:paraId="323C684F">
      <w:pPr>
        <w:pStyle w:val="3"/>
        <w:keepNext/>
        <w:keepLines/>
        <w:pageBreakBefore w:val="0"/>
        <w:widowControl/>
        <w:shd w:val="clear" w:fill="auto"/>
        <w:spacing w:before="240" w:after="0" w:line="259" w:lineRule="auto"/>
        <w:ind w:left="284" w:right="0" w:hanging="284"/>
        <w:jc w:val="left"/>
        <w:rPr>
          <w:rFonts w:ascii="Calibri" w:hAnsi="Calibri" w:eastAsia="Calibri" w:cs="Calibri"/>
          <w:b w:val="0"/>
          <w:bCs w:val="0"/>
          <w:i w:val="0"/>
          <w:iCs w:val="0"/>
          <w:caps w:val="0"/>
          <w:smallCaps w:val="0"/>
          <w:strike w:val="0"/>
          <w:dstrike w:val="0"/>
          <w:color w:val="000000"/>
          <w:position w:val="0"/>
          <w:sz w:val="32"/>
          <w:szCs w:val="32"/>
          <w:u w:val="none"/>
          <w:shd w:val="clear" w:fill="auto"/>
          <w:vertAlign w:val="baseline"/>
        </w:rPr>
      </w:pPr>
    </w:p>
    <w:sdt>
      <w:sdtPr>
        <w:id w:val="147458979"/>
        <w:docPartObj>
          <w:docPartGallery w:val="Table of Contents"/>
          <w:docPartUnique/>
        </w:docPartObj>
      </w:sdtPr>
      <w:sdtContent>
        <w:p w14:paraId="42AC5154">
          <w:pPr>
            <w:pStyle w:val="3"/>
            <w:keepNext w:val="0"/>
            <w:keepLines w:val="0"/>
            <w:pageBreakBefore w:val="0"/>
            <w:widowControl/>
            <w:shd w:val="clear" w:fill="auto"/>
            <w:tabs>
              <w:tab w:val="right" w:pos="8494"/>
            </w:tabs>
            <w:spacing w:before="0" w:after="0" w:line="360" w:lineRule="auto"/>
            <w:ind w:left="0" w:right="0" w:firstLine="0"/>
            <w:jc w:val="both"/>
            <w:rPr>
              <w:rFonts w:ascii="Arial" w:hAnsi="Arial" w:eastAsia="Arial" w:cs="Arial"/>
              <w:b/>
              <w:bCs/>
              <w:i w:val="0"/>
              <w:iCs w:val="0"/>
              <w:smallCaps/>
              <w:strike w:val="0"/>
              <w:dstrike w:val="0"/>
              <w:vanish w:val="0"/>
              <w:color w:val="000000"/>
              <w:kern w:val="0"/>
              <w:position w:val="0"/>
              <w:sz w:val="24"/>
              <w:szCs w:val="24"/>
              <w:u w:val="none"/>
              <w:shd w:val="clear" w:fill="auto"/>
              <w:vertAlign w:val="baseline"/>
              <w:lang w:val="en-US" w:eastAsia="zh-CN" w:bidi="hi-IN"/>
            </w:rPr>
          </w:pPr>
          <w:r>
            <w:fldChar w:fldCharType="begin"/>
          </w:r>
          <w:r>
            <w:rPr>
              <w:rStyle w:val="23"/>
              <w:rFonts w:eastAsia="Arial" w:cs="Arial"/>
              <w:b/>
              <w:bCs/>
              <w:i w:val="0"/>
              <w:iCs w:val="0"/>
              <w:smallCaps/>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separate"/>
          </w:r>
        </w:p>
        <w:p w14:paraId="15D65AC5">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_Toc9049 </w:instrText>
          </w:r>
          <w:r>
            <w:rPr>
              <w:rFonts w:eastAsia="Arial" w:cs="Arial"/>
              <w:bCs/>
              <w:i w:val="0"/>
              <w:iCs w:val="0"/>
              <w:smallCaps/>
              <w:strike w:val="0"/>
              <w:dstrike w:val="0"/>
              <w:vanish w:val="0"/>
              <w:position w:val="0"/>
              <w:szCs w:val="24"/>
              <w:shd w:val="clear" w:fill="auto"/>
              <w:vertAlign w:val="baseline"/>
            </w:rPr>
            <w:fldChar w:fldCharType="separate"/>
          </w:r>
          <w:r>
            <w:t xml:space="preserve">1 </w:t>
          </w:r>
          <w:r>
            <w:rPr>
              <w:rFonts w:ascii="Arial" w:hAnsi="Arial" w:eastAsia="Arial" w:cs="Arial"/>
            </w:rPr>
            <w:t>Introdução</w:t>
          </w:r>
          <w:r>
            <w:tab/>
          </w:r>
          <w:r>
            <w:fldChar w:fldCharType="begin"/>
          </w:r>
          <w:r>
            <w:instrText xml:space="preserve"> PAGEREF _Toc9049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27B138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_Toc22594 </w:instrText>
          </w:r>
          <w:r>
            <w:rPr>
              <w:rFonts w:eastAsia="Arial" w:cs="Arial"/>
              <w:bCs/>
              <w:i w:val="0"/>
              <w:iCs w:val="0"/>
              <w:smallCaps/>
              <w:strike w:val="0"/>
              <w:dstrike w:val="0"/>
              <w:vanish w:val="0"/>
              <w:position w:val="0"/>
              <w:szCs w:val="24"/>
              <w:shd w:val="clear" w:fill="auto"/>
              <w:vertAlign w:val="baseline"/>
            </w:rPr>
            <w:fldChar w:fldCharType="separate"/>
          </w:r>
          <w:r>
            <w:t xml:space="preserve">1.1 </w:t>
          </w:r>
          <w:r>
            <w:rPr>
              <w:rFonts w:ascii="Arial" w:hAnsi="Arial" w:eastAsia="Arial" w:cs="Arial"/>
            </w:rPr>
            <w:t>O Problema da Evasão no Ensino Médio de Pernambuco</w:t>
          </w:r>
          <w:r>
            <w:tab/>
          </w:r>
          <w:r>
            <w:fldChar w:fldCharType="begin"/>
          </w:r>
          <w:r>
            <w:instrText xml:space="preserve"> PAGEREF _Toc22594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F845CC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_Toc428 </w:instrText>
          </w:r>
          <w:r>
            <w:rPr>
              <w:rFonts w:eastAsia="Arial" w:cs="Arial"/>
              <w:bCs/>
              <w:i w:val="0"/>
              <w:iCs w:val="0"/>
              <w:smallCaps/>
              <w:strike w:val="0"/>
              <w:dstrike w:val="0"/>
              <w:vanish w:val="0"/>
              <w:position w:val="0"/>
              <w:szCs w:val="24"/>
              <w:shd w:val="clear" w:fill="auto"/>
              <w:vertAlign w:val="baseline"/>
            </w:rPr>
            <w:fldChar w:fldCharType="separate"/>
          </w:r>
          <w:r>
            <w:t xml:space="preserve">1.2 </w:t>
          </w:r>
          <w:r>
            <w:rPr>
              <w:rFonts w:ascii="Arial" w:hAnsi="Arial" w:eastAsia="Arial" w:cs="Arial"/>
            </w:rPr>
            <w:t>Perguntas de Pesquisa</w:t>
          </w:r>
          <w:r>
            <w:tab/>
          </w:r>
          <w:r>
            <w:fldChar w:fldCharType="begin"/>
          </w:r>
          <w:r>
            <w:instrText xml:space="preserve"> PAGEREF _Toc428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2C4408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_Toc3570 </w:instrText>
          </w:r>
          <w:r>
            <w:rPr>
              <w:rFonts w:eastAsia="Arial" w:cs="Arial"/>
              <w:bCs/>
              <w:i w:val="0"/>
              <w:iCs w:val="0"/>
              <w:smallCaps/>
              <w:strike w:val="0"/>
              <w:dstrike w:val="0"/>
              <w:vanish w:val="0"/>
              <w:position w:val="0"/>
              <w:szCs w:val="24"/>
              <w:shd w:val="clear" w:fill="auto"/>
              <w:vertAlign w:val="baseline"/>
            </w:rPr>
            <w:fldChar w:fldCharType="separate"/>
          </w:r>
          <w:r>
            <w:t xml:space="preserve">1.3 </w:t>
          </w:r>
          <w:r>
            <w:rPr>
              <w:rFonts w:ascii="Arial" w:hAnsi="Arial" w:eastAsia="Arial" w:cs="Arial"/>
            </w:rPr>
            <w:t>Objetivo Geral</w:t>
          </w:r>
          <w:r>
            <w:tab/>
          </w:r>
          <w:r>
            <w:fldChar w:fldCharType="begin"/>
          </w:r>
          <w:r>
            <w:instrText xml:space="preserve"> PAGEREF _Toc3570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40194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_Toc27839 </w:instrText>
          </w:r>
          <w:r>
            <w:rPr>
              <w:rFonts w:eastAsia="Arial" w:cs="Arial"/>
              <w:bCs/>
              <w:i w:val="0"/>
              <w:iCs w:val="0"/>
              <w:smallCaps/>
              <w:strike w:val="0"/>
              <w:dstrike w:val="0"/>
              <w:vanish w:val="0"/>
              <w:position w:val="0"/>
              <w:szCs w:val="24"/>
              <w:shd w:val="clear" w:fill="auto"/>
              <w:vertAlign w:val="baseline"/>
            </w:rPr>
            <w:fldChar w:fldCharType="separate"/>
          </w:r>
          <w:r>
            <w:t xml:space="preserve">1.4 </w:t>
          </w:r>
          <w:r>
            <w:rPr>
              <w:rFonts w:ascii="Arial" w:hAnsi="Arial" w:eastAsia="Arial" w:cs="Arial"/>
            </w:rPr>
            <w:t>Objetivos Específicos</w:t>
          </w:r>
          <w:r>
            <w:tab/>
          </w:r>
          <w:r>
            <w:fldChar w:fldCharType="begin"/>
          </w:r>
          <w:r>
            <w:instrText xml:space="preserve"> PAGEREF _Toc27839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08D6B3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_Toc11755 </w:instrText>
          </w:r>
          <w:r>
            <w:rPr>
              <w:rFonts w:eastAsia="Arial" w:cs="Arial"/>
              <w:bCs/>
              <w:i w:val="0"/>
              <w:iCs w:val="0"/>
              <w:smallCaps/>
              <w:strike w:val="0"/>
              <w:dstrike w:val="0"/>
              <w:vanish w:val="0"/>
              <w:position w:val="0"/>
              <w:szCs w:val="24"/>
              <w:shd w:val="clear" w:fill="auto"/>
              <w:vertAlign w:val="baseline"/>
            </w:rPr>
            <w:fldChar w:fldCharType="separate"/>
          </w:r>
          <w:r>
            <w:t xml:space="preserve">1.5 </w:t>
          </w:r>
          <w:r>
            <w:rPr>
              <w:rFonts w:ascii="Arial" w:hAnsi="Arial" w:eastAsia="Arial" w:cs="Arial"/>
            </w:rPr>
            <w:t>Escopo do Projeto</w:t>
          </w:r>
          <w:r>
            <w:tab/>
          </w:r>
          <w:r>
            <w:fldChar w:fldCharType="begin"/>
          </w:r>
          <w:r>
            <w:instrText xml:space="preserve"> PAGEREF _Toc11755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A306D4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_Toc22624 </w:instrText>
          </w:r>
          <w:r>
            <w:rPr>
              <w:rFonts w:eastAsia="Arial" w:cs="Arial"/>
              <w:bCs/>
              <w:i w:val="0"/>
              <w:iCs w:val="0"/>
              <w:smallCaps/>
              <w:strike w:val="0"/>
              <w:dstrike w:val="0"/>
              <w:vanish w:val="0"/>
              <w:position w:val="0"/>
              <w:szCs w:val="24"/>
              <w:shd w:val="clear" w:fill="auto"/>
              <w:vertAlign w:val="baseline"/>
            </w:rPr>
            <w:fldChar w:fldCharType="separate"/>
          </w:r>
          <w:r>
            <w:t xml:space="preserve">1.6 </w:t>
          </w:r>
          <w:r>
            <w:rPr>
              <w:rFonts w:ascii="Arial" w:hAnsi="Arial" w:eastAsia="Arial" w:cs="Arial"/>
            </w:rPr>
            <w:t>Organização do Texto</w:t>
          </w:r>
          <w:r>
            <w:tab/>
          </w:r>
          <w:r>
            <w:fldChar w:fldCharType="begin"/>
          </w:r>
          <w:r>
            <w:instrText xml:space="preserve"> PAGEREF _Toc22624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619C101">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_Toc15106 </w:instrText>
          </w:r>
          <w:r>
            <w:rPr>
              <w:rFonts w:eastAsia="Arial" w:cs="Arial"/>
              <w:bCs/>
              <w:i w:val="0"/>
              <w:iCs w:val="0"/>
              <w:smallCaps/>
              <w:strike w:val="0"/>
              <w:dstrike w:val="0"/>
              <w:vanish w:val="0"/>
              <w:position w:val="0"/>
              <w:szCs w:val="24"/>
              <w:shd w:val="clear" w:fill="auto"/>
              <w:vertAlign w:val="baseline"/>
            </w:rPr>
            <w:fldChar w:fldCharType="separate"/>
          </w:r>
          <w:r>
            <w:t xml:space="preserve">2 </w:t>
          </w:r>
          <w:r>
            <w:rPr>
              <w:rFonts w:ascii="Arial" w:hAnsi="Arial" w:eastAsia="Arial" w:cs="Arial"/>
            </w:rPr>
            <w:t>Revisão Bibliográfica</w:t>
          </w:r>
          <w:r>
            <w:tab/>
          </w:r>
          <w:r>
            <w:fldChar w:fldCharType="begin"/>
          </w:r>
          <w:r>
            <w:instrText xml:space="preserve"> PAGEREF _Toc15106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458C16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_Toc10568 </w:instrText>
          </w:r>
          <w:r>
            <w:rPr>
              <w:rFonts w:eastAsia="Arial" w:cs="Arial"/>
              <w:bCs/>
              <w:i w:val="0"/>
              <w:iCs w:val="0"/>
              <w:smallCaps/>
              <w:strike w:val="0"/>
              <w:dstrike w:val="0"/>
              <w:vanish w:val="0"/>
              <w:position w:val="0"/>
              <w:szCs w:val="24"/>
              <w:shd w:val="clear" w:fill="auto"/>
              <w:vertAlign w:val="baseline"/>
            </w:rPr>
            <w:fldChar w:fldCharType="separate"/>
          </w:r>
          <w:r>
            <w:t xml:space="preserve">2.1 </w:t>
          </w:r>
          <w:r>
            <w:rPr>
              <w:rFonts w:ascii="Arial" w:hAnsi="Arial" w:eastAsia="Arial" w:cs="Arial"/>
            </w:rPr>
            <w:t>Fundamentação Teórica</w:t>
          </w:r>
          <w:r>
            <w:tab/>
          </w:r>
          <w:r>
            <w:fldChar w:fldCharType="begin"/>
          </w:r>
          <w:r>
            <w:instrText xml:space="preserve"> PAGEREF _Toc10568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DAFEE61">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_Toc10082 </w:instrText>
          </w:r>
          <w:r>
            <w:rPr>
              <w:rFonts w:eastAsia="Arial" w:cs="Arial"/>
              <w:bCs/>
              <w:i w:val="0"/>
              <w:iCs w:val="0"/>
              <w:smallCaps/>
              <w:strike w:val="0"/>
              <w:dstrike w:val="0"/>
              <w:vanish w:val="0"/>
              <w:position w:val="0"/>
              <w:szCs w:val="24"/>
              <w:shd w:val="clear" w:fill="auto"/>
              <w:vertAlign w:val="baseline"/>
            </w:rPr>
            <w:fldChar w:fldCharType="separate"/>
          </w:r>
          <w:r>
            <w:t xml:space="preserve">2.1.1 </w:t>
          </w:r>
          <w:r>
            <w:rPr>
              <w:rFonts w:ascii="Arial" w:hAnsi="Arial" w:eastAsia="Arial" w:cs="Arial"/>
            </w:rPr>
            <w:t>Evasão Escolar: Conceito e Determinantes</w:t>
          </w:r>
          <w:r>
            <w:tab/>
          </w:r>
          <w:r>
            <w:fldChar w:fldCharType="begin"/>
          </w:r>
          <w:r>
            <w:instrText xml:space="preserve"> PAGEREF _Toc10082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C8D06A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_Toc28674 </w:instrText>
          </w:r>
          <w:r>
            <w:rPr>
              <w:rFonts w:eastAsia="Arial" w:cs="Arial"/>
              <w:bCs/>
              <w:i w:val="0"/>
              <w:iCs w:val="0"/>
              <w:smallCaps/>
              <w:strike w:val="0"/>
              <w:dstrike w:val="0"/>
              <w:vanish w:val="0"/>
              <w:position w:val="0"/>
              <w:szCs w:val="24"/>
              <w:shd w:val="clear" w:fill="auto"/>
              <w:vertAlign w:val="baseline"/>
            </w:rPr>
            <w:fldChar w:fldCharType="separate"/>
          </w:r>
          <w:r>
            <w:t xml:space="preserve">2.1.2 </w:t>
          </w:r>
          <w:r>
            <w:rPr>
              <w:rFonts w:ascii="Arial" w:hAnsi="Arial" w:eastAsia="Arial" w:cs="Arial"/>
            </w:rPr>
            <w:t>Mineração de Dados Educacionais</w:t>
          </w:r>
          <w:r>
            <w:tab/>
          </w:r>
          <w:r>
            <w:fldChar w:fldCharType="begin"/>
          </w:r>
          <w:r>
            <w:instrText xml:space="preserve"> PAGEREF _Toc28674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944613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_Toc13386 </w:instrText>
          </w:r>
          <w:r>
            <w:rPr>
              <w:rFonts w:eastAsia="Arial" w:cs="Arial"/>
              <w:bCs/>
              <w:i w:val="0"/>
              <w:iCs w:val="0"/>
              <w:smallCaps/>
              <w:strike w:val="0"/>
              <w:dstrike w:val="0"/>
              <w:vanish w:val="0"/>
              <w:position w:val="0"/>
              <w:szCs w:val="24"/>
              <w:shd w:val="clear" w:fill="auto"/>
              <w:vertAlign w:val="baseline"/>
            </w:rPr>
            <w:fldChar w:fldCharType="separate"/>
          </w:r>
          <w:r>
            <w:t xml:space="preserve">2.1.3 </w:t>
          </w:r>
          <w:r>
            <w:rPr>
              <w:rFonts w:ascii="Arial" w:hAnsi="Arial" w:eastAsia="Arial" w:cs="Arial"/>
            </w:rPr>
            <w:t>Modelos Preditivos Baseados em Árvores</w:t>
          </w:r>
          <w:r>
            <w:tab/>
          </w:r>
          <w:r>
            <w:fldChar w:fldCharType="begin"/>
          </w:r>
          <w:r>
            <w:instrText xml:space="preserve"> PAGEREF _Toc13386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26867C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_Toc6184 </w:instrText>
          </w:r>
          <w:r>
            <w:rPr>
              <w:rFonts w:eastAsia="Arial" w:cs="Arial"/>
              <w:bCs/>
              <w:i w:val="0"/>
              <w:iCs w:val="0"/>
              <w:smallCaps/>
              <w:strike w:val="0"/>
              <w:dstrike w:val="0"/>
              <w:vanish w:val="0"/>
              <w:position w:val="0"/>
              <w:szCs w:val="24"/>
              <w:shd w:val="clear" w:fill="auto"/>
              <w:vertAlign w:val="baseline"/>
            </w:rPr>
            <w:fldChar w:fldCharType="separate"/>
          </w:r>
          <w:r>
            <w:t xml:space="preserve">2.1.4 </w:t>
          </w:r>
          <w:r>
            <w:rPr>
              <w:rFonts w:ascii="Arial" w:hAnsi="Arial" w:eastAsia="Arial" w:cs="Arial"/>
            </w:rPr>
            <w:t>Interpretabilidade dos Modelos</w:t>
          </w:r>
          <w:r>
            <w:tab/>
          </w:r>
          <w:r>
            <w:fldChar w:fldCharType="begin"/>
          </w:r>
          <w:r>
            <w:instrText xml:space="preserve"> PAGEREF _Toc6184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15AE86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_Toc30943 </w:instrText>
          </w:r>
          <w:r>
            <w:rPr>
              <w:rFonts w:eastAsia="Arial" w:cs="Arial"/>
              <w:bCs/>
              <w:i w:val="0"/>
              <w:iCs w:val="0"/>
              <w:smallCaps/>
              <w:strike w:val="0"/>
              <w:dstrike w:val="0"/>
              <w:vanish w:val="0"/>
              <w:position w:val="0"/>
              <w:szCs w:val="24"/>
              <w:shd w:val="clear" w:fill="auto"/>
              <w:vertAlign w:val="baseline"/>
            </w:rPr>
            <w:fldChar w:fldCharType="separate"/>
          </w:r>
          <w:r>
            <w:t xml:space="preserve">2.2 </w:t>
          </w:r>
          <w:r>
            <w:rPr>
              <w:rFonts w:ascii="Arial" w:hAnsi="Arial" w:eastAsia="Arial" w:cs="Arial"/>
            </w:rPr>
            <w:t>Trabalhos Relacionados</w:t>
          </w:r>
          <w:r>
            <w:tab/>
          </w:r>
          <w:r>
            <w:fldChar w:fldCharType="begin"/>
          </w:r>
          <w:r>
            <w:instrText xml:space="preserve"> PAGEREF _Toc30943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05CE210">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_Toc5750 </w:instrText>
          </w:r>
          <w:r>
            <w:rPr>
              <w:rFonts w:eastAsia="Arial" w:cs="Arial"/>
              <w:bCs/>
              <w:i w:val="0"/>
              <w:iCs w:val="0"/>
              <w:smallCaps/>
              <w:strike w:val="0"/>
              <w:dstrike w:val="0"/>
              <w:vanish w:val="0"/>
              <w:position w:val="0"/>
              <w:szCs w:val="24"/>
              <w:shd w:val="clear" w:fill="auto"/>
              <w:vertAlign w:val="baseline"/>
            </w:rPr>
            <w:fldChar w:fldCharType="separate"/>
          </w:r>
          <w:r>
            <w:t xml:space="preserve">3 </w:t>
          </w:r>
          <w:r>
            <w:rPr>
              <w:rFonts w:ascii="Arial" w:hAnsi="Arial" w:eastAsia="Arial" w:cs="Arial"/>
            </w:rPr>
            <w:t>Método de Desenvolvimento</w:t>
          </w:r>
          <w:r>
            <w:tab/>
          </w:r>
          <w:r>
            <w:fldChar w:fldCharType="begin"/>
          </w:r>
          <w:r>
            <w:instrText xml:space="preserve"> PAGEREF _Toc5750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76B071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_Toc4206 </w:instrText>
          </w:r>
          <w:r>
            <w:rPr>
              <w:rFonts w:eastAsia="Arial" w:cs="Arial"/>
              <w:bCs/>
              <w:i w:val="0"/>
              <w:iCs w:val="0"/>
              <w:smallCaps/>
              <w:strike w:val="0"/>
              <w:dstrike w:val="0"/>
              <w:vanish w:val="0"/>
              <w:position w:val="0"/>
              <w:szCs w:val="24"/>
              <w:shd w:val="clear" w:fill="auto"/>
              <w:vertAlign w:val="baseline"/>
            </w:rPr>
            <w:fldChar w:fldCharType="separate"/>
          </w:r>
          <w:r>
            <w:t xml:space="preserve">3.1 </w:t>
          </w:r>
          <w:r>
            <w:rPr>
              <w:rFonts w:ascii="Arial" w:hAnsi="Arial" w:eastAsia="Arial" w:cs="Arial"/>
            </w:rPr>
            <w:t>Processo de Desenvolvimento</w:t>
          </w:r>
          <w:r>
            <w:tab/>
          </w:r>
          <w:r>
            <w:fldChar w:fldCharType="begin"/>
          </w:r>
          <w:r>
            <w:instrText xml:space="preserve"> PAGEREF _Toc4206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990768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_Toc13440 </w:instrText>
          </w:r>
          <w:r>
            <w:rPr>
              <w:rFonts w:eastAsia="Arial" w:cs="Arial"/>
              <w:bCs/>
              <w:i w:val="0"/>
              <w:iCs w:val="0"/>
              <w:smallCaps/>
              <w:strike w:val="0"/>
              <w:dstrike w:val="0"/>
              <w:vanish w:val="0"/>
              <w:position w:val="0"/>
              <w:szCs w:val="24"/>
              <w:shd w:val="clear" w:fill="auto"/>
              <w:vertAlign w:val="baseline"/>
            </w:rPr>
            <w:fldChar w:fldCharType="separate"/>
          </w:r>
          <w:r>
            <w:t xml:space="preserve">3.2 </w:t>
          </w:r>
          <w:r>
            <w:rPr>
              <w:rFonts w:ascii="Arial" w:hAnsi="Arial" w:eastAsia="Arial" w:cs="Arial"/>
            </w:rPr>
            <w:t>Fases Executadas</w:t>
          </w:r>
          <w:r>
            <w:tab/>
          </w:r>
          <w:r>
            <w:fldChar w:fldCharType="begin"/>
          </w:r>
          <w:r>
            <w:instrText xml:space="preserve"> PAGEREF _Toc13440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6B5B4E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_Toc13259 </w:instrText>
          </w:r>
          <w:r>
            <w:rPr>
              <w:rFonts w:eastAsia="Arial" w:cs="Arial"/>
              <w:bCs/>
              <w:i w:val="0"/>
              <w:iCs w:val="0"/>
              <w:smallCaps/>
              <w:strike w:val="0"/>
              <w:dstrike w:val="0"/>
              <w:vanish w:val="0"/>
              <w:position w:val="0"/>
              <w:szCs w:val="24"/>
              <w:shd w:val="clear" w:fill="auto"/>
              <w:vertAlign w:val="baseline"/>
            </w:rPr>
            <w:fldChar w:fldCharType="separate"/>
          </w:r>
          <w:r>
            <w:t xml:space="preserve">3.2.1 </w:t>
          </w:r>
          <w:r>
            <w:rPr>
              <w:rFonts w:ascii="Arial" w:hAnsi="Arial" w:eastAsia="Arial" w:cs="Arial"/>
            </w:rPr>
            <w:t>Planejamento e Decisões</w:t>
          </w:r>
          <w:r>
            <w:tab/>
          </w:r>
          <w:r>
            <w:fldChar w:fldCharType="begin"/>
          </w:r>
          <w:r>
            <w:instrText xml:space="preserve"> PAGEREF _Toc13259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863D43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_Toc20241 </w:instrText>
          </w:r>
          <w:r>
            <w:rPr>
              <w:rFonts w:eastAsia="Arial" w:cs="Arial"/>
              <w:bCs/>
              <w:i w:val="0"/>
              <w:iCs w:val="0"/>
              <w:smallCaps/>
              <w:strike w:val="0"/>
              <w:dstrike w:val="0"/>
              <w:vanish w:val="0"/>
              <w:position w:val="0"/>
              <w:szCs w:val="24"/>
              <w:shd w:val="clear" w:fill="auto"/>
              <w:vertAlign w:val="baseline"/>
            </w:rPr>
            <w:fldChar w:fldCharType="separate"/>
          </w:r>
          <w:r>
            <w:t xml:space="preserve">3.2.2 </w:t>
          </w:r>
          <w:r>
            <w:rPr>
              <w:rFonts w:ascii="Arial" w:hAnsi="Arial" w:eastAsia="Arial" w:cs="Arial"/>
            </w:rPr>
            <w:t>Leitura e Padronização dos Dados do Censo</w:t>
          </w:r>
          <w:r>
            <w:tab/>
          </w:r>
          <w:r>
            <w:fldChar w:fldCharType="begin"/>
          </w:r>
          <w:r>
            <w:instrText xml:space="preserve"> PAGEREF _Toc20241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46D96B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_Toc24251 </w:instrText>
          </w:r>
          <w:r>
            <w:rPr>
              <w:rFonts w:eastAsia="Arial" w:cs="Arial"/>
              <w:bCs/>
              <w:i w:val="0"/>
              <w:iCs w:val="0"/>
              <w:smallCaps/>
              <w:strike w:val="0"/>
              <w:dstrike w:val="0"/>
              <w:vanish w:val="0"/>
              <w:position w:val="0"/>
              <w:szCs w:val="24"/>
              <w:shd w:val="clear" w:fill="auto"/>
              <w:vertAlign w:val="baseline"/>
            </w:rPr>
            <w:fldChar w:fldCharType="separate"/>
          </w:r>
          <w:r>
            <w:t xml:space="preserve">3.2.3 </w:t>
          </w:r>
          <w:r>
            <w:rPr>
              <w:rFonts w:ascii="Arial" w:hAnsi="Arial" w:eastAsia="Arial" w:cs="Arial"/>
            </w:rPr>
            <w:t>Integração dos Indicadores Complementares</w:t>
          </w:r>
          <w:r>
            <w:tab/>
          </w:r>
          <w:r>
            <w:fldChar w:fldCharType="begin"/>
          </w:r>
          <w:r>
            <w:instrText xml:space="preserve"> PAGEREF _Toc24251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AEEFB8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_Toc17528 </w:instrText>
          </w:r>
          <w:r>
            <w:rPr>
              <w:rFonts w:eastAsia="Arial" w:cs="Arial"/>
              <w:bCs/>
              <w:i w:val="0"/>
              <w:iCs w:val="0"/>
              <w:smallCaps/>
              <w:strike w:val="0"/>
              <w:dstrike w:val="0"/>
              <w:vanish w:val="0"/>
              <w:position w:val="0"/>
              <w:szCs w:val="24"/>
              <w:shd w:val="clear" w:fill="auto"/>
              <w:vertAlign w:val="baseline"/>
            </w:rPr>
            <w:fldChar w:fldCharType="separate"/>
          </w:r>
          <w:r>
            <w:t xml:space="preserve">3.2.4 </w:t>
          </w:r>
          <w:r>
            <w:rPr>
              <w:rFonts w:ascii="Arial" w:hAnsi="Arial" w:eastAsia="Arial" w:cs="Arial"/>
            </w:rPr>
            <w:t>Seleção e Preparação das Características</w:t>
          </w:r>
          <w:r>
            <w:tab/>
          </w:r>
          <w:r>
            <w:fldChar w:fldCharType="begin"/>
          </w:r>
          <w:r>
            <w:instrText xml:space="preserve"> PAGEREF _Toc17528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863DAB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_Toc27010 </w:instrText>
          </w:r>
          <w:r>
            <w:rPr>
              <w:rFonts w:eastAsia="Arial" w:cs="Arial"/>
              <w:bCs/>
              <w:i w:val="0"/>
              <w:iCs w:val="0"/>
              <w:smallCaps/>
              <w:strike w:val="0"/>
              <w:dstrike w:val="0"/>
              <w:vanish w:val="0"/>
              <w:position w:val="0"/>
              <w:szCs w:val="24"/>
              <w:shd w:val="clear" w:fill="auto"/>
              <w:vertAlign w:val="baseline"/>
            </w:rPr>
            <w:fldChar w:fldCharType="separate"/>
          </w:r>
          <w:r>
            <w:t xml:space="preserve">3.2.5 </w:t>
          </w:r>
          <w:r>
            <w:rPr>
              <w:rFonts w:ascii="Arial" w:hAnsi="Arial" w:eastAsia="Arial" w:cs="Arial"/>
            </w:rPr>
            <w:t>Construção e Ajuste do Modelo de Previsão</w:t>
          </w:r>
          <w:r>
            <w:tab/>
          </w:r>
          <w:r>
            <w:fldChar w:fldCharType="begin"/>
          </w:r>
          <w:r>
            <w:instrText xml:space="preserve"> PAGEREF _Toc27010 \h </w:instrText>
          </w:r>
          <w:r>
            <w:fldChar w:fldCharType="separate"/>
          </w:r>
          <w:r>
            <w:t>25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8FF088A">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_Toc31313 </w:instrText>
          </w:r>
          <w:r>
            <w:rPr>
              <w:rFonts w:eastAsia="Arial" w:cs="Arial"/>
              <w:bCs/>
              <w:i w:val="0"/>
              <w:iCs w:val="0"/>
              <w:smallCaps/>
              <w:strike w:val="0"/>
              <w:dstrike w:val="0"/>
              <w:vanish w:val="0"/>
              <w:position w:val="0"/>
              <w:szCs w:val="24"/>
              <w:shd w:val="clear" w:fill="auto"/>
              <w:vertAlign w:val="baseline"/>
            </w:rPr>
            <w:fldChar w:fldCharType="separate"/>
          </w:r>
          <w:r>
            <w:t xml:space="preserve">3.2.6 </w:t>
          </w:r>
          <w:r>
            <w:rPr>
              <w:rFonts w:ascii="Arial" w:hAnsi="Arial" w:eastAsia="Arial" w:cs="Arial"/>
            </w:rPr>
            <w:t>Explicação das Previsões</w:t>
          </w:r>
          <w:r>
            <w:tab/>
          </w:r>
          <w:r>
            <w:fldChar w:fldCharType="begin"/>
          </w:r>
          <w:r>
            <w:instrText xml:space="preserve"> PAGEREF _Toc31313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FA3F72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 </w:instrText>
          </w:r>
          <w:r>
            <w:rPr>
              <w:rFonts w:eastAsia="Arial" w:cs="Arial"/>
              <w:bCs/>
              <w:i w:val="0"/>
              <w:iCs w:val="0"/>
              <w:smallCaps/>
              <w:strike w:val="0"/>
              <w:dstrike w:val="0"/>
              <w:vanish w:val="0"/>
              <w:position w:val="0"/>
              <w:szCs w:val="24"/>
              <w:shd w:val="clear" w:fill="auto"/>
              <w:vertAlign w:val="baseline"/>
            </w:rPr>
            <w:fldChar w:fldCharType="separate"/>
          </w:r>
          <w:r>
            <w:t xml:space="preserve">3.2.7 </w:t>
          </w:r>
          <w:r>
            <w:rPr>
              <w:rFonts w:ascii="Arial" w:hAnsi="Arial" w:eastAsia="Arial" w:cs="Arial"/>
            </w:rPr>
            <w:t>Construção do Painel de Priorização</w:t>
          </w:r>
          <w:r>
            <w:tab/>
          </w:r>
          <w:r>
            <w:fldChar w:fldCharType="begin"/>
          </w:r>
          <w:r>
            <w:instrText xml:space="preserve"> PAGEREF _Toc14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D96461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_Toc24206 </w:instrText>
          </w:r>
          <w:r>
            <w:rPr>
              <w:rFonts w:eastAsia="Arial" w:cs="Arial"/>
              <w:bCs/>
              <w:i w:val="0"/>
              <w:iCs w:val="0"/>
              <w:smallCaps/>
              <w:strike w:val="0"/>
              <w:dstrike w:val="0"/>
              <w:vanish w:val="0"/>
              <w:position w:val="0"/>
              <w:szCs w:val="24"/>
              <w:shd w:val="clear" w:fill="auto"/>
              <w:vertAlign w:val="baseline"/>
            </w:rPr>
            <w:fldChar w:fldCharType="separate"/>
          </w:r>
          <w:r>
            <w:t xml:space="preserve">3.3 </w:t>
          </w:r>
          <w:r>
            <w:rPr>
              <w:rFonts w:ascii="Arial" w:hAnsi="Arial" w:eastAsia="Arial" w:cs="Arial"/>
            </w:rPr>
            <w:t>Práticas de Engenharia de Software</w:t>
          </w:r>
          <w:r>
            <w:tab/>
          </w:r>
          <w:r>
            <w:fldChar w:fldCharType="begin"/>
          </w:r>
          <w:r>
            <w:instrText xml:space="preserve"> PAGEREF _Toc24206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CFB45B4">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_Toc27480 </w:instrText>
          </w:r>
          <w:r>
            <w:rPr>
              <w:rFonts w:eastAsia="Arial" w:cs="Arial"/>
              <w:bCs/>
              <w:i w:val="0"/>
              <w:iCs w:val="0"/>
              <w:smallCaps/>
              <w:strike w:val="0"/>
              <w:dstrike w:val="0"/>
              <w:vanish w:val="0"/>
              <w:position w:val="0"/>
              <w:szCs w:val="24"/>
              <w:shd w:val="clear" w:fill="auto"/>
              <w:vertAlign w:val="baseline"/>
            </w:rPr>
            <w:fldChar w:fldCharType="separate"/>
          </w:r>
          <w:r>
            <w:t xml:space="preserve">4 </w:t>
          </w:r>
          <w:r>
            <w:rPr>
              <w:rFonts w:ascii="Arial" w:hAnsi="Arial" w:eastAsia="Arial" w:cs="Arial"/>
            </w:rPr>
            <w:t>Arquitetura do Software</w:t>
          </w:r>
          <w:r>
            <w:tab/>
          </w:r>
          <w:r>
            <w:fldChar w:fldCharType="begin"/>
          </w:r>
          <w:r>
            <w:instrText xml:space="preserve"> PAGEREF _Toc27480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EC9D0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_Toc9675 </w:instrText>
          </w:r>
          <w:r>
            <w:rPr>
              <w:rFonts w:eastAsia="Arial" w:cs="Arial"/>
              <w:bCs/>
              <w:i w:val="0"/>
              <w:iCs w:val="0"/>
              <w:smallCaps/>
              <w:strike w:val="0"/>
              <w:dstrike w:val="0"/>
              <w:vanish w:val="0"/>
              <w:position w:val="0"/>
              <w:szCs w:val="24"/>
              <w:shd w:val="clear" w:fill="auto"/>
              <w:vertAlign w:val="baseline"/>
            </w:rPr>
            <w:fldChar w:fldCharType="separate"/>
          </w:r>
          <w:r>
            <w:t xml:space="preserve">4.1 </w:t>
          </w:r>
          <w:r>
            <w:rPr>
              <w:rFonts w:ascii="Arial" w:hAnsi="Arial" w:eastAsia="Arial" w:cs="Arial"/>
            </w:rPr>
            <w:t>Aspectos Funcionais e Não-Funcionais</w:t>
          </w:r>
          <w:r>
            <w:tab/>
          </w:r>
          <w:r>
            <w:fldChar w:fldCharType="begin"/>
          </w:r>
          <w:r>
            <w:instrText xml:space="preserve"> PAGEREF _Toc9675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AEBDEA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_Toc1777 </w:instrText>
          </w:r>
          <w:r>
            <w:rPr>
              <w:rFonts w:eastAsia="Arial" w:cs="Arial"/>
              <w:bCs/>
              <w:i w:val="0"/>
              <w:iCs w:val="0"/>
              <w:smallCaps/>
              <w:strike w:val="0"/>
              <w:dstrike w:val="0"/>
              <w:vanish w:val="0"/>
              <w:position w:val="0"/>
              <w:szCs w:val="24"/>
              <w:shd w:val="clear" w:fill="auto"/>
              <w:vertAlign w:val="baseline"/>
            </w:rPr>
            <w:fldChar w:fldCharType="separate"/>
          </w:r>
          <w:r>
            <w:t xml:space="preserve">4.2 </w:t>
          </w:r>
          <w:r>
            <w:rPr>
              <w:rFonts w:ascii="Arial" w:hAnsi="Arial" w:eastAsia="Arial" w:cs="Arial"/>
            </w:rPr>
            <w:t>Visão Estrutural</w:t>
          </w:r>
          <w:r>
            <w:tab/>
          </w:r>
          <w:r>
            <w:fldChar w:fldCharType="begin"/>
          </w:r>
          <w:r>
            <w:instrText xml:space="preserve"> PAGEREF _Toc1777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061A76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_Toc22830 </w:instrText>
          </w:r>
          <w:r>
            <w:rPr>
              <w:rFonts w:eastAsia="Arial" w:cs="Arial"/>
              <w:bCs/>
              <w:i w:val="0"/>
              <w:iCs w:val="0"/>
              <w:smallCaps/>
              <w:strike w:val="0"/>
              <w:dstrike w:val="0"/>
              <w:vanish w:val="0"/>
              <w:position w:val="0"/>
              <w:szCs w:val="24"/>
              <w:shd w:val="clear" w:fill="auto"/>
              <w:vertAlign w:val="baseline"/>
            </w:rPr>
            <w:fldChar w:fldCharType="separate"/>
          </w:r>
          <w:r>
            <w:t xml:space="preserve">4.3 </w:t>
          </w:r>
          <w:r>
            <w:rPr>
              <w:rFonts w:ascii="Arial" w:hAnsi="Arial" w:eastAsia="Arial" w:cs="Arial"/>
            </w:rPr>
            <w:t>Visão Comportamental</w:t>
          </w:r>
          <w:r>
            <w:tab/>
          </w:r>
          <w:r>
            <w:fldChar w:fldCharType="begin"/>
          </w:r>
          <w:r>
            <w:instrText xml:space="preserve"> PAGEREF _Toc22830 \h </w:instrText>
          </w:r>
          <w:r>
            <w:fldChar w:fldCharType="separate"/>
          </w:r>
          <w:r>
            <w:t>30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87DF0F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_Toc19418 </w:instrText>
          </w:r>
          <w:r>
            <w:rPr>
              <w:rFonts w:eastAsia="Arial" w:cs="Arial"/>
              <w:bCs/>
              <w:i w:val="0"/>
              <w:iCs w:val="0"/>
              <w:smallCaps/>
              <w:strike w:val="0"/>
              <w:dstrike w:val="0"/>
              <w:vanish w:val="0"/>
              <w:position w:val="0"/>
              <w:szCs w:val="24"/>
              <w:shd w:val="clear" w:fill="auto"/>
              <w:vertAlign w:val="baseline"/>
            </w:rPr>
            <w:fldChar w:fldCharType="separate"/>
          </w:r>
          <w:r>
            <w:t xml:space="preserve">4.4 </w:t>
          </w:r>
          <w:r>
            <w:rPr>
              <w:rFonts w:ascii="Arial" w:hAnsi="Arial" w:eastAsia="Arial" w:cs="Arial"/>
            </w:rPr>
            <w:t>Visão de Implementação e Implantação</w:t>
          </w:r>
          <w:r>
            <w:tab/>
          </w:r>
          <w:r>
            <w:fldChar w:fldCharType="begin"/>
          </w:r>
          <w:r>
            <w:instrText xml:space="preserve"> PAGEREF _Toc19418 \h </w:instrText>
          </w:r>
          <w:r>
            <w:fldChar w:fldCharType="separate"/>
          </w:r>
          <w:r>
            <w:t>32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5489020">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_Toc6244 </w:instrText>
          </w:r>
          <w:r>
            <w:rPr>
              <w:rFonts w:eastAsia="Arial" w:cs="Arial"/>
              <w:bCs/>
              <w:i w:val="0"/>
              <w:iCs w:val="0"/>
              <w:smallCaps/>
              <w:strike w:val="0"/>
              <w:dstrike w:val="0"/>
              <w:vanish w:val="0"/>
              <w:position w:val="0"/>
              <w:szCs w:val="24"/>
              <w:shd w:val="clear" w:fill="auto"/>
              <w:vertAlign w:val="baseline"/>
            </w:rPr>
            <w:fldChar w:fldCharType="separate"/>
          </w:r>
          <w:r>
            <w:t xml:space="preserve">5 </w:t>
          </w:r>
          <w:r>
            <w:rPr>
              <w:rFonts w:ascii="Arial" w:hAnsi="Arial" w:eastAsia="Arial" w:cs="Arial"/>
            </w:rPr>
            <w:t>Tecnologias e Aspectos de Implementação</w:t>
          </w:r>
          <w:r>
            <w:tab/>
          </w:r>
          <w:r>
            <w:fldChar w:fldCharType="begin"/>
          </w:r>
          <w:r>
            <w:instrText xml:space="preserve"> PAGEREF _Toc6244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275B53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_Toc25352 </w:instrText>
          </w:r>
          <w:r>
            <w:rPr>
              <w:rFonts w:eastAsia="Arial" w:cs="Arial"/>
              <w:bCs/>
              <w:i w:val="0"/>
              <w:iCs w:val="0"/>
              <w:smallCaps/>
              <w:strike w:val="0"/>
              <w:dstrike w:val="0"/>
              <w:vanish w:val="0"/>
              <w:position w:val="0"/>
              <w:szCs w:val="24"/>
              <w:shd w:val="clear" w:fill="auto"/>
              <w:vertAlign w:val="baseline"/>
            </w:rPr>
            <w:fldChar w:fldCharType="separate"/>
          </w:r>
          <w:r>
            <w:t xml:space="preserve">5.1 </w:t>
          </w:r>
          <w:r>
            <w:rPr>
              <w:rFonts w:ascii="Arial" w:hAnsi="Arial" w:eastAsia="Arial" w:cs="Arial"/>
            </w:rPr>
            <w:t>Soluções de Tecnologia</w:t>
          </w:r>
          <w:r>
            <w:tab/>
          </w:r>
          <w:r>
            <w:fldChar w:fldCharType="begin"/>
          </w:r>
          <w:r>
            <w:instrText xml:space="preserve"> PAGEREF _Toc25352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BC5403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_Toc22658 </w:instrText>
          </w:r>
          <w:r>
            <w:rPr>
              <w:rFonts w:eastAsia="Arial" w:cs="Arial"/>
              <w:bCs/>
              <w:i w:val="0"/>
              <w:iCs w:val="0"/>
              <w:smallCaps/>
              <w:strike w:val="0"/>
              <w:dstrike w:val="0"/>
              <w:vanish w:val="0"/>
              <w:position w:val="0"/>
              <w:szCs w:val="24"/>
              <w:shd w:val="clear" w:fill="auto"/>
              <w:vertAlign w:val="baseline"/>
            </w:rPr>
            <w:fldChar w:fldCharType="separate"/>
          </w:r>
          <w:r>
            <w:t xml:space="preserve">5.2 </w:t>
          </w:r>
          <w:r>
            <w:rPr>
              <w:rFonts w:ascii="Arial" w:hAnsi="Arial" w:eastAsia="Arial" w:cs="Arial"/>
            </w:rPr>
            <w:t>Aspectos de Implementação</w:t>
          </w:r>
          <w:r>
            <w:tab/>
          </w:r>
          <w:r>
            <w:fldChar w:fldCharType="begin"/>
          </w:r>
          <w:r>
            <w:instrText xml:space="preserve"> PAGEREF _Toc22658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D9F6B8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_Toc1366 </w:instrText>
          </w:r>
          <w:r>
            <w:rPr>
              <w:rFonts w:eastAsia="Arial" w:cs="Arial"/>
              <w:bCs/>
              <w:i w:val="0"/>
              <w:iCs w:val="0"/>
              <w:smallCaps/>
              <w:strike w:val="0"/>
              <w:dstrike w:val="0"/>
              <w:vanish w:val="0"/>
              <w:position w:val="0"/>
              <w:szCs w:val="24"/>
              <w:shd w:val="clear" w:fill="auto"/>
              <w:vertAlign w:val="baseline"/>
            </w:rPr>
            <w:fldChar w:fldCharType="separate"/>
          </w:r>
          <w:r>
            <w:t xml:space="preserve">5.2.1 </w:t>
          </w:r>
          <w:r>
            <w:rPr>
              <w:rFonts w:ascii="Arial" w:hAnsi="Arial" w:eastAsia="Arial" w:cs="Arial"/>
            </w:rPr>
            <w:t>Estrutura do Código</w:t>
          </w:r>
          <w:r>
            <w:tab/>
          </w:r>
          <w:r>
            <w:fldChar w:fldCharType="begin"/>
          </w:r>
          <w:r>
            <w:instrText xml:space="preserve"> PAGEREF _Toc1366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BCC075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_Toc28356 </w:instrText>
          </w:r>
          <w:r>
            <w:rPr>
              <w:rFonts w:eastAsia="Arial" w:cs="Arial"/>
              <w:bCs/>
              <w:i w:val="0"/>
              <w:iCs w:val="0"/>
              <w:smallCaps/>
              <w:strike w:val="0"/>
              <w:dstrike w:val="0"/>
              <w:vanish w:val="0"/>
              <w:position w:val="0"/>
              <w:szCs w:val="24"/>
              <w:shd w:val="clear" w:fill="auto"/>
              <w:vertAlign w:val="baseline"/>
            </w:rPr>
            <w:fldChar w:fldCharType="separate"/>
          </w:r>
          <w:r>
            <w:t xml:space="preserve">5.2.2 </w:t>
          </w:r>
          <w:r>
            <w:rPr>
              <w:rFonts w:ascii="Arial" w:hAnsi="Arial" w:eastAsia="Arial" w:cs="Arial"/>
            </w:rPr>
            <w:t>Fluxo dos Dados</w:t>
          </w:r>
          <w:r>
            <w:tab/>
          </w:r>
          <w:r>
            <w:fldChar w:fldCharType="begin"/>
          </w:r>
          <w:r>
            <w:instrText xml:space="preserve"> PAGEREF _Toc28356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31F4BB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_Toc23468 </w:instrText>
          </w:r>
          <w:r>
            <w:rPr>
              <w:rFonts w:eastAsia="Arial" w:cs="Arial"/>
              <w:bCs/>
              <w:i w:val="0"/>
              <w:iCs w:val="0"/>
              <w:smallCaps/>
              <w:strike w:val="0"/>
              <w:dstrike w:val="0"/>
              <w:vanish w:val="0"/>
              <w:position w:val="0"/>
              <w:szCs w:val="24"/>
              <w:shd w:val="clear" w:fill="auto"/>
              <w:vertAlign w:val="baseline"/>
            </w:rPr>
            <w:fldChar w:fldCharType="separate"/>
          </w:r>
          <w:r>
            <w:t xml:space="preserve">5.2.3 </w:t>
          </w:r>
          <w:r>
            <w:rPr>
              <w:rFonts w:ascii="Arial" w:hAnsi="Arial" w:eastAsia="Arial" w:cs="Arial"/>
            </w:rPr>
            <w:t>Painel Interativo</w:t>
          </w:r>
          <w:r>
            <w:tab/>
          </w:r>
          <w:r>
            <w:fldChar w:fldCharType="begin"/>
          </w:r>
          <w:r>
            <w:instrText xml:space="preserve"> PAGEREF _Toc23468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6FF990F">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_Toc28299 </w:instrText>
          </w:r>
          <w:r>
            <w:rPr>
              <w:rFonts w:eastAsia="Arial" w:cs="Arial"/>
              <w:bCs/>
              <w:i w:val="0"/>
              <w:iCs w:val="0"/>
              <w:smallCaps/>
              <w:strike w:val="0"/>
              <w:dstrike w:val="0"/>
              <w:vanish w:val="0"/>
              <w:position w:val="0"/>
              <w:szCs w:val="24"/>
              <w:shd w:val="clear" w:fill="auto"/>
              <w:vertAlign w:val="baseline"/>
            </w:rPr>
            <w:fldChar w:fldCharType="separate"/>
          </w:r>
          <w:r>
            <w:t xml:space="preserve">5.2.4 </w:t>
          </w:r>
          <w:r>
            <w:rPr>
              <w:rFonts w:ascii="Arial" w:hAnsi="Arial" w:eastAsia="Arial" w:cs="Arial"/>
            </w:rPr>
            <w:t>Testes Automatizados</w:t>
          </w:r>
          <w:r>
            <w:tab/>
          </w:r>
          <w:r>
            <w:fldChar w:fldCharType="begin"/>
          </w:r>
          <w:r>
            <w:instrText xml:space="preserve"> PAGEREF _Toc28299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D830D1">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_Toc27037 </w:instrText>
          </w:r>
          <w:r>
            <w:rPr>
              <w:rFonts w:eastAsia="Arial" w:cs="Arial"/>
              <w:bCs/>
              <w:i w:val="0"/>
              <w:iCs w:val="0"/>
              <w:smallCaps/>
              <w:strike w:val="0"/>
              <w:dstrike w:val="0"/>
              <w:vanish w:val="0"/>
              <w:position w:val="0"/>
              <w:szCs w:val="24"/>
              <w:shd w:val="clear" w:fill="auto"/>
              <w:vertAlign w:val="baseline"/>
            </w:rPr>
            <w:fldChar w:fldCharType="separate"/>
          </w:r>
          <w:r>
            <w:t xml:space="preserve">5.2.5 </w:t>
          </w:r>
          <w:r>
            <w:rPr>
              <w:rFonts w:ascii="Arial" w:hAnsi="Arial" w:eastAsia="Arial" w:cs="Arial"/>
            </w:rPr>
            <w:t>Gerenciamento de Dependências</w:t>
          </w:r>
          <w:r>
            <w:tab/>
          </w:r>
          <w:r>
            <w:fldChar w:fldCharType="begin"/>
          </w:r>
          <w:r>
            <w:instrText xml:space="preserve"> PAGEREF _Toc27037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EA24C36">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_Toc23560 </w:instrText>
          </w:r>
          <w:r>
            <w:rPr>
              <w:rFonts w:eastAsia="Arial" w:cs="Arial"/>
              <w:bCs/>
              <w:i w:val="0"/>
              <w:iCs w:val="0"/>
              <w:smallCaps/>
              <w:strike w:val="0"/>
              <w:dstrike w:val="0"/>
              <w:vanish w:val="0"/>
              <w:position w:val="0"/>
              <w:szCs w:val="24"/>
              <w:shd w:val="clear" w:fill="auto"/>
              <w:vertAlign w:val="baseline"/>
            </w:rPr>
            <w:fldChar w:fldCharType="separate"/>
          </w:r>
          <w:r>
            <w:t xml:space="preserve">6 </w:t>
          </w:r>
          <w:r>
            <w:rPr>
              <w:rFonts w:ascii="Arial" w:hAnsi="Arial" w:eastAsia="Arial" w:cs="Arial"/>
            </w:rPr>
            <w:t>Testes e Análise dos Resultados</w:t>
          </w:r>
          <w:r>
            <w:tab/>
          </w:r>
          <w:r>
            <w:fldChar w:fldCharType="begin"/>
          </w:r>
          <w:r>
            <w:instrText xml:space="preserve"> PAGEREF _Toc23560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5CBA50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_Toc7637 </w:instrText>
          </w:r>
          <w:r>
            <w:rPr>
              <w:rFonts w:eastAsia="Arial" w:cs="Arial"/>
              <w:bCs/>
              <w:i w:val="0"/>
              <w:iCs w:val="0"/>
              <w:smallCaps/>
              <w:strike w:val="0"/>
              <w:dstrike w:val="0"/>
              <w:vanish w:val="0"/>
              <w:position w:val="0"/>
              <w:szCs w:val="24"/>
              <w:shd w:val="clear" w:fill="auto"/>
              <w:vertAlign w:val="baseline"/>
            </w:rPr>
            <w:fldChar w:fldCharType="separate"/>
          </w:r>
          <w:r>
            <w:t xml:space="preserve">6.1 </w:t>
          </w:r>
          <w:r>
            <w:rPr>
              <w:rFonts w:ascii="Arial" w:hAnsi="Arial" w:eastAsia="Arial" w:cs="Arial"/>
            </w:rPr>
            <w:t>Testes de Software</w:t>
          </w:r>
          <w:r>
            <w:tab/>
          </w:r>
          <w:r>
            <w:fldChar w:fldCharType="begin"/>
          </w:r>
          <w:r>
            <w:instrText xml:space="preserve"> PAGEREF _Toc7637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B8C8C3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_Toc369 </w:instrText>
          </w:r>
          <w:r>
            <w:rPr>
              <w:rFonts w:eastAsia="Arial" w:cs="Arial"/>
              <w:bCs/>
              <w:i w:val="0"/>
              <w:iCs w:val="0"/>
              <w:smallCaps/>
              <w:strike w:val="0"/>
              <w:dstrike w:val="0"/>
              <w:vanish w:val="0"/>
              <w:position w:val="0"/>
              <w:szCs w:val="24"/>
              <w:shd w:val="clear" w:fill="auto"/>
              <w:vertAlign w:val="baseline"/>
            </w:rPr>
            <w:fldChar w:fldCharType="separate"/>
          </w:r>
          <w:r>
            <w:t xml:space="preserve">6.2 </w:t>
          </w:r>
          <w:r>
            <w:rPr>
              <w:rFonts w:ascii="Arial" w:hAnsi="Arial" w:eastAsia="Arial" w:cs="Arial"/>
            </w:rPr>
            <w:t>Caracterização dos Dados e Análise das Características Usadas</w:t>
          </w:r>
          <w:r>
            <w:tab/>
          </w:r>
          <w:r>
            <w:fldChar w:fldCharType="begin"/>
          </w:r>
          <w:r>
            <w:instrText xml:space="preserve"> PAGEREF _Toc369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C569FA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_Toc16135 </w:instrText>
          </w:r>
          <w:r>
            <w:rPr>
              <w:rFonts w:eastAsia="Arial" w:cs="Arial"/>
              <w:bCs/>
              <w:i w:val="0"/>
              <w:iCs w:val="0"/>
              <w:smallCaps/>
              <w:strike w:val="0"/>
              <w:dstrike w:val="0"/>
              <w:vanish w:val="0"/>
              <w:position w:val="0"/>
              <w:szCs w:val="24"/>
              <w:shd w:val="clear" w:fill="auto"/>
              <w:vertAlign w:val="baseline"/>
            </w:rPr>
            <w:fldChar w:fldCharType="separate"/>
          </w:r>
          <w:r>
            <w:t xml:space="preserve">6.2.1 </w:t>
          </w:r>
          <w:r>
            <w:rPr>
              <w:rFonts w:ascii="Arial" w:hAnsi="Arial" w:eastAsia="Arial" w:cs="Arial"/>
            </w:rPr>
            <w:t>Base Construída</w:t>
          </w:r>
          <w:r>
            <w:tab/>
          </w:r>
          <w:r>
            <w:fldChar w:fldCharType="begin"/>
          </w:r>
          <w:r>
            <w:instrText xml:space="preserve"> PAGEREF _Toc16135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3F8D0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_Toc25271 </w:instrText>
          </w:r>
          <w:r>
            <w:rPr>
              <w:rFonts w:eastAsia="Arial" w:cs="Arial"/>
              <w:bCs/>
              <w:i w:val="0"/>
              <w:iCs w:val="0"/>
              <w:smallCaps/>
              <w:strike w:val="0"/>
              <w:dstrike w:val="0"/>
              <w:vanish w:val="0"/>
              <w:position w:val="0"/>
              <w:szCs w:val="24"/>
              <w:shd w:val="clear" w:fill="auto"/>
              <w:vertAlign w:val="baseline"/>
            </w:rPr>
            <w:fldChar w:fldCharType="separate"/>
          </w:r>
          <w:r>
            <w:t xml:space="preserve">6.2.2 </w:t>
          </w:r>
          <w:r>
            <w:rPr>
              <w:rFonts w:ascii="Arial" w:hAnsi="Arial" w:eastAsia="Arial" w:cs="Arial"/>
            </w:rPr>
            <w:t>O Que o Sistema Prevê</w:t>
          </w:r>
          <w:r>
            <w:tab/>
          </w:r>
          <w:r>
            <w:fldChar w:fldCharType="begin"/>
          </w:r>
          <w:r>
            <w:instrText xml:space="preserve"> PAGEREF _Toc25271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578E03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_Toc24893 </w:instrText>
          </w:r>
          <w:r>
            <w:rPr>
              <w:rFonts w:eastAsia="Arial" w:cs="Arial"/>
              <w:bCs/>
              <w:i w:val="0"/>
              <w:iCs w:val="0"/>
              <w:smallCaps/>
              <w:strike w:val="0"/>
              <w:dstrike w:val="0"/>
              <w:vanish w:val="0"/>
              <w:position w:val="0"/>
              <w:szCs w:val="24"/>
              <w:shd w:val="clear" w:fill="auto"/>
              <w:vertAlign w:val="baseline"/>
            </w:rPr>
            <w:fldChar w:fldCharType="separate"/>
          </w:r>
          <w:r>
            <w:t xml:space="preserve">6.2.3 </w:t>
          </w:r>
          <w:r>
            <w:rPr>
              <w:rFonts w:ascii="Arial" w:hAnsi="Arial" w:eastAsia="Arial" w:cs="Arial"/>
            </w:rPr>
            <w:t>Análise Estatística das Características Contínuas</w:t>
          </w:r>
          <w:r>
            <w:tab/>
          </w:r>
          <w:r>
            <w:fldChar w:fldCharType="begin"/>
          </w:r>
          <w:r>
            <w:instrText xml:space="preserve"> PAGEREF _Toc24893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2B491E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_Toc27671 </w:instrText>
          </w:r>
          <w:r>
            <w:rPr>
              <w:rFonts w:eastAsia="Arial" w:cs="Arial"/>
              <w:bCs/>
              <w:i w:val="0"/>
              <w:iCs w:val="0"/>
              <w:smallCaps/>
              <w:strike w:val="0"/>
              <w:dstrike w:val="0"/>
              <w:vanish w:val="0"/>
              <w:position w:val="0"/>
              <w:szCs w:val="24"/>
              <w:shd w:val="clear" w:fill="auto"/>
              <w:vertAlign w:val="baseline"/>
            </w:rPr>
            <w:fldChar w:fldCharType="separate"/>
          </w:r>
          <w:r>
            <w:t xml:space="preserve">6.2.4 </w:t>
          </w:r>
          <w:r>
            <w:rPr>
              <w:rFonts w:ascii="Arial" w:hAnsi="Arial" w:eastAsia="Arial" w:cs="Arial"/>
            </w:rPr>
            <w:t>Análise Estatística das Características de Sim ou Não</w:t>
          </w:r>
          <w:r>
            <w:tab/>
          </w:r>
          <w:r>
            <w:fldChar w:fldCharType="begin"/>
          </w:r>
          <w:r>
            <w:instrText xml:space="preserve"> PAGEREF _Toc27671 \h </w:instrText>
          </w:r>
          <w:r>
            <w:fldChar w:fldCharType="separate"/>
          </w:r>
          <w:r>
            <w:t>41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775FA2A">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_Toc11960 </w:instrText>
          </w:r>
          <w:r>
            <w:rPr>
              <w:rFonts w:eastAsia="Arial" w:cs="Arial"/>
              <w:bCs/>
              <w:i w:val="0"/>
              <w:iCs w:val="0"/>
              <w:smallCaps/>
              <w:strike w:val="0"/>
              <w:dstrike w:val="0"/>
              <w:vanish w:val="0"/>
              <w:position w:val="0"/>
              <w:szCs w:val="24"/>
              <w:shd w:val="clear" w:fill="auto"/>
              <w:vertAlign w:val="baseline"/>
            </w:rPr>
            <w:fldChar w:fldCharType="separate"/>
          </w:r>
          <w:r>
            <w:t xml:space="preserve">6.2.5 </w:t>
          </w:r>
          <w:r>
            <w:rPr>
              <w:rFonts w:ascii="Arial" w:hAnsi="Arial" w:eastAsia="Arial" w:cs="Arial"/>
            </w:rPr>
            <w:t>A Região do Estado</w:t>
          </w:r>
          <w:r>
            <w:tab/>
          </w:r>
          <w:r>
            <w:fldChar w:fldCharType="begin"/>
          </w:r>
          <w:r>
            <w:instrText xml:space="preserve"> PAGEREF _Toc11960 \h </w:instrText>
          </w:r>
          <w:r>
            <w:fldChar w:fldCharType="separate"/>
          </w:r>
          <w:r>
            <w:t>43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514111F">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_Toc6648 </w:instrText>
          </w:r>
          <w:r>
            <w:rPr>
              <w:rFonts w:eastAsia="Arial" w:cs="Arial"/>
              <w:bCs/>
              <w:i w:val="0"/>
              <w:iCs w:val="0"/>
              <w:smallCaps/>
              <w:strike w:val="0"/>
              <w:dstrike w:val="0"/>
              <w:vanish w:val="0"/>
              <w:position w:val="0"/>
              <w:szCs w:val="24"/>
              <w:shd w:val="clear" w:fill="auto"/>
              <w:vertAlign w:val="baseline"/>
            </w:rPr>
            <w:fldChar w:fldCharType="separate"/>
          </w:r>
          <w:r>
            <w:t xml:space="preserve">6.2.6 </w:t>
          </w:r>
          <w:r>
            <w:rPr>
              <w:rFonts w:ascii="Arial" w:hAnsi="Arial" w:eastAsia="Arial" w:cs="Arial"/>
            </w:rPr>
            <w:t>Quais Características Têm Valor para a Previsão</w:t>
          </w:r>
          <w:r>
            <w:tab/>
          </w:r>
          <w:r>
            <w:fldChar w:fldCharType="begin"/>
          </w:r>
          <w:r>
            <w:instrText xml:space="preserve"> PAGEREF _Toc6648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5532A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_Toc26818 </w:instrText>
          </w:r>
          <w:r>
            <w:rPr>
              <w:rFonts w:eastAsia="Arial" w:cs="Arial"/>
              <w:bCs/>
              <w:i w:val="0"/>
              <w:iCs w:val="0"/>
              <w:smallCaps/>
              <w:strike w:val="0"/>
              <w:dstrike w:val="0"/>
              <w:vanish w:val="0"/>
              <w:position w:val="0"/>
              <w:szCs w:val="24"/>
              <w:shd w:val="clear" w:fill="auto"/>
              <w:vertAlign w:val="baseline"/>
            </w:rPr>
            <w:fldChar w:fldCharType="separate"/>
          </w:r>
          <w:r>
            <w:t xml:space="preserve">6.3 </w:t>
          </w:r>
          <w:r>
            <w:rPr>
              <w:rFonts w:ascii="Arial" w:hAnsi="Arial" w:eastAsia="Arial" w:cs="Arial"/>
            </w:rPr>
            <w:t>Desempenho do Sistema</w:t>
          </w:r>
          <w:r>
            <w:tab/>
          </w:r>
          <w:r>
            <w:fldChar w:fldCharType="begin"/>
          </w:r>
          <w:r>
            <w:instrText xml:space="preserve"> PAGEREF _Toc26818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7BD719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_Toc3315 </w:instrText>
          </w:r>
          <w:r>
            <w:rPr>
              <w:rFonts w:eastAsia="Arial" w:cs="Arial"/>
              <w:bCs/>
              <w:i w:val="0"/>
              <w:iCs w:val="0"/>
              <w:smallCaps/>
              <w:strike w:val="0"/>
              <w:dstrike w:val="0"/>
              <w:vanish w:val="0"/>
              <w:position w:val="0"/>
              <w:szCs w:val="24"/>
              <w:shd w:val="clear" w:fill="auto"/>
              <w:vertAlign w:val="baseline"/>
            </w:rPr>
            <w:fldChar w:fldCharType="separate"/>
          </w:r>
          <w:r>
            <w:t xml:space="preserve">6.3.1 </w:t>
          </w:r>
          <w:r>
            <w:rPr>
              <w:rFonts w:ascii="Arial" w:hAnsi="Arial" w:eastAsia="Arial" w:cs="Arial"/>
            </w:rPr>
            <w:t>Como o Desempenho Foi Medido</w:t>
          </w:r>
          <w:r>
            <w:tab/>
          </w:r>
          <w:r>
            <w:fldChar w:fldCharType="begin"/>
          </w:r>
          <w:r>
            <w:instrText xml:space="preserve"> PAGEREF _Toc3315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906F20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_Toc26658 </w:instrText>
          </w:r>
          <w:r>
            <w:rPr>
              <w:rFonts w:eastAsia="Arial" w:cs="Arial"/>
              <w:bCs/>
              <w:i w:val="0"/>
              <w:iCs w:val="0"/>
              <w:smallCaps/>
              <w:strike w:val="0"/>
              <w:dstrike w:val="0"/>
              <w:vanish w:val="0"/>
              <w:position w:val="0"/>
              <w:szCs w:val="24"/>
              <w:shd w:val="clear" w:fill="auto"/>
              <w:vertAlign w:val="baseline"/>
            </w:rPr>
            <w:fldChar w:fldCharType="separate"/>
          </w:r>
          <w:r>
            <w:t xml:space="preserve">6.3.2 </w:t>
          </w:r>
          <w:r>
            <w:rPr>
              <w:rFonts w:ascii="Arial" w:hAnsi="Arial" w:eastAsia="Arial" w:cs="Arial"/>
            </w:rPr>
            <w:t>Resultados em Validação Repetida</w:t>
          </w:r>
          <w:r>
            <w:tab/>
          </w:r>
          <w:r>
            <w:fldChar w:fldCharType="begin"/>
          </w:r>
          <w:r>
            <w:instrText xml:space="preserve"> PAGEREF _Toc26658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6AC1F3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_Toc21250 </w:instrText>
          </w:r>
          <w:r>
            <w:rPr>
              <w:rFonts w:eastAsia="Arial" w:cs="Arial"/>
              <w:bCs/>
              <w:i w:val="0"/>
              <w:iCs w:val="0"/>
              <w:smallCaps/>
              <w:strike w:val="0"/>
              <w:dstrike w:val="0"/>
              <w:vanish w:val="0"/>
              <w:position w:val="0"/>
              <w:szCs w:val="24"/>
              <w:shd w:val="clear" w:fill="auto"/>
              <w:vertAlign w:val="baseline"/>
            </w:rPr>
            <w:fldChar w:fldCharType="separate"/>
          </w:r>
          <w:r>
            <w:t xml:space="preserve">6.3.3 </w:t>
          </w:r>
          <w:r>
            <w:rPr>
              <w:rFonts w:ascii="Arial" w:hAnsi="Arial" w:eastAsia="Arial" w:cs="Arial"/>
            </w:rPr>
            <w:t>Resultados no Teste do Ano Nunca Visto</w:t>
          </w:r>
          <w:r>
            <w:tab/>
          </w:r>
          <w:r>
            <w:fldChar w:fldCharType="begin"/>
          </w:r>
          <w:r>
            <w:instrText xml:space="preserve"> PAGEREF _Toc21250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298A8DA">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_Toc25100 </w:instrText>
          </w:r>
          <w:r>
            <w:rPr>
              <w:rFonts w:eastAsia="Arial" w:cs="Arial"/>
              <w:bCs/>
              <w:i w:val="0"/>
              <w:iCs w:val="0"/>
              <w:smallCaps/>
              <w:strike w:val="0"/>
              <w:dstrike w:val="0"/>
              <w:vanish w:val="0"/>
              <w:position w:val="0"/>
              <w:szCs w:val="24"/>
              <w:shd w:val="clear" w:fill="auto"/>
              <w:vertAlign w:val="baseline"/>
            </w:rPr>
            <w:fldChar w:fldCharType="separate"/>
          </w:r>
          <w:r>
            <w:t xml:space="preserve">6.3.4 </w:t>
          </w:r>
          <w:r>
            <w:rPr>
              <w:rFonts w:ascii="Arial" w:hAnsi="Arial" w:eastAsia="Arial" w:cs="Arial"/>
              <w:highlight w:val="yellow"/>
            </w:rPr>
            <w:t>Resultados em Cada Transição Anual</w:t>
          </w:r>
          <w:r>
            <w:tab/>
          </w:r>
          <w:r>
            <w:fldChar w:fldCharType="begin"/>
          </w:r>
          <w:r>
            <w:instrText xml:space="preserve"> PAGEREF _Toc25100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84E1F7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_Toc14109 </w:instrText>
          </w:r>
          <w:r>
            <w:rPr>
              <w:rFonts w:eastAsia="Arial" w:cs="Arial"/>
              <w:bCs/>
              <w:i w:val="0"/>
              <w:iCs w:val="0"/>
              <w:smallCaps/>
              <w:strike w:val="0"/>
              <w:dstrike w:val="0"/>
              <w:vanish w:val="0"/>
              <w:position w:val="0"/>
              <w:szCs w:val="24"/>
              <w:shd w:val="clear" w:fill="auto"/>
              <w:vertAlign w:val="baseline"/>
            </w:rPr>
            <w:fldChar w:fldCharType="separate"/>
          </w:r>
          <w:r>
            <w:t xml:space="preserve">6.4 </w:t>
          </w:r>
          <w:r>
            <w:rPr>
              <w:rFonts w:ascii="Arial" w:hAnsi="Arial" w:eastAsia="Arial" w:cs="Arial"/>
            </w:rPr>
            <w:t>Capacidade de Priorização</w:t>
          </w:r>
          <w:r>
            <w:tab/>
          </w:r>
          <w:r>
            <w:fldChar w:fldCharType="begin"/>
          </w:r>
          <w:r>
            <w:instrText xml:space="preserve"> PAGEREF _Toc14109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7E27ED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_Toc7627 </w:instrText>
          </w:r>
          <w:r>
            <w:rPr>
              <w:rFonts w:eastAsia="Arial" w:cs="Arial"/>
              <w:bCs/>
              <w:i w:val="0"/>
              <w:iCs w:val="0"/>
              <w:smallCaps/>
              <w:strike w:val="0"/>
              <w:dstrike w:val="0"/>
              <w:vanish w:val="0"/>
              <w:position w:val="0"/>
              <w:szCs w:val="24"/>
              <w:shd w:val="clear" w:fill="auto"/>
              <w:vertAlign w:val="baseline"/>
            </w:rPr>
            <w:fldChar w:fldCharType="separate"/>
          </w:r>
          <w:r>
            <w:t xml:space="preserve">6.5 </w:t>
          </w:r>
          <w:r>
            <w:rPr>
              <w:rFonts w:ascii="Arial" w:hAnsi="Arial" w:eastAsia="Arial" w:cs="Arial"/>
            </w:rPr>
            <w:t>Explicação das Indicações</w:t>
          </w:r>
          <w:r>
            <w:tab/>
          </w:r>
          <w:r>
            <w:fldChar w:fldCharType="begin"/>
          </w:r>
          <w:r>
            <w:instrText xml:space="preserve"> PAGEREF _Toc7627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3F735E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_Toc13011 </w:instrText>
          </w:r>
          <w:r>
            <w:rPr>
              <w:rFonts w:eastAsia="Arial" w:cs="Arial"/>
              <w:bCs/>
              <w:i w:val="0"/>
              <w:iCs w:val="0"/>
              <w:smallCaps/>
              <w:strike w:val="0"/>
              <w:dstrike w:val="0"/>
              <w:vanish w:val="0"/>
              <w:position w:val="0"/>
              <w:szCs w:val="24"/>
              <w:shd w:val="clear" w:fill="auto"/>
              <w:vertAlign w:val="baseline"/>
            </w:rPr>
            <w:fldChar w:fldCharType="separate"/>
          </w:r>
          <w:r>
            <w:t xml:space="preserve">6.5.1 </w:t>
          </w:r>
          <w:r>
            <w:rPr>
              <w:rFonts w:ascii="Arial" w:hAnsi="Arial" w:eastAsia="Arial" w:cs="Arial"/>
            </w:rPr>
            <w:t>Visão Geral</w:t>
          </w:r>
          <w:r>
            <w:tab/>
          </w:r>
          <w:r>
            <w:fldChar w:fldCharType="begin"/>
          </w:r>
          <w:r>
            <w:instrText xml:space="preserve"> PAGEREF _Toc13011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730A46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_Toc26737 </w:instrText>
          </w:r>
          <w:r>
            <w:rPr>
              <w:rFonts w:eastAsia="Arial" w:cs="Arial"/>
              <w:bCs/>
              <w:i w:val="0"/>
              <w:iCs w:val="0"/>
              <w:smallCaps/>
              <w:strike w:val="0"/>
              <w:dstrike w:val="0"/>
              <w:vanish w:val="0"/>
              <w:position w:val="0"/>
              <w:szCs w:val="24"/>
              <w:shd w:val="clear" w:fill="auto"/>
              <w:vertAlign w:val="baseline"/>
            </w:rPr>
            <w:fldChar w:fldCharType="separate"/>
          </w:r>
          <w:r>
            <w:t xml:space="preserve">6.5.2 </w:t>
          </w:r>
          <w:r>
            <w:rPr>
              <w:rFonts w:ascii="Arial" w:hAnsi="Arial" w:eastAsia="Arial" w:cs="Arial"/>
            </w:rPr>
            <w:t>Direção dos Efeitos</w:t>
          </w:r>
          <w:r>
            <w:tab/>
          </w:r>
          <w:r>
            <w:fldChar w:fldCharType="begin"/>
          </w:r>
          <w:r>
            <w:instrText xml:space="preserve"> PAGEREF _Toc26737 \h </w:instrText>
          </w:r>
          <w:r>
            <w:fldChar w:fldCharType="separate"/>
          </w:r>
          <w:r>
            <w:t>51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0E2D66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_Toc14757 </w:instrText>
          </w:r>
          <w:r>
            <w:rPr>
              <w:rFonts w:eastAsia="Arial" w:cs="Arial"/>
              <w:bCs/>
              <w:i w:val="0"/>
              <w:iCs w:val="0"/>
              <w:smallCaps/>
              <w:strike w:val="0"/>
              <w:dstrike w:val="0"/>
              <w:vanish w:val="0"/>
              <w:position w:val="0"/>
              <w:szCs w:val="24"/>
              <w:shd w:val="clear" w:fill="auto"/>
              <w:vertAlign w:val="baseline"/>
            </w:rPr>
            <w:fldChar w:fldCharType="separate"/>
          </w:r>
          <w:r>
            <w:t xml:space="preserve">6.5.3 </w:t>
          </w:r>
          <w:r>
            <w:rPr>
              <w:rFonts w:ascii="Arial" w:hAnsi="Arial" w:eastAsia="Arial" w:cs="Arial"/>
            </w:rPr>
            <w:t>Explicação de Uma Escola</w:t>
          </w:r>
          <w:r>
            <w:tab/>
          </w:r>
          <w:r>
            <w:fldChar w:fldCharType="begin"/>
          </w:r>
          <w:r>
            <w:instrText xml:space="preserve"> PAGEREF _Toc14757 \h </w:instrText>
          </w:r>
          <w:r>
            <w:fldChar w:fldCharType="separate"/>
          </w:r>
          <w:r>
            <w:t>52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5A1F01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_Toc16208 </w:instrText>
          </w:r>
          <w:r>
            <w:rPr>
              <w:rFonts w:eastAsia="Arial" w:cs="Arial"/>
              <w:bCs/>
              <w:i w:val="0"/>
              <w:iCs w:val="0"/>
              <w:smallCaps/>
              <w:strike w:val="0"/>
              <w:dstrike w:val="0"/>
              <w:vanish w:val="0"/>
              <w:position w:val="0"/>
              <w:szCs w:val="24"/>
              <w:shd w:val="clear" w:fill="auto"/>
              <w:vertAlign w:val="baseline"/>
            </w:rPr>
            <w:fldChar w:fldCharType="separate"/>
          </w:r>
          <w:r>
            <w:t xml:space="preserve">6.5.4 </w:t>
          </w:r>
          <w:r>
            <w:rPr>
              <w:rFonts w:ascii="Arial" w:hAnsi="Arial" w:eastAsia="Arial" w:cs="Arial"/>
            </w:rPr>
            <w:t>Erros do Modelo e Equidade</w:t>
          </w:r>
          <w:r>
            <w:tab/>
          </w:r>
          <w:r>
            <w:fldChar w:fldCharType="begin"/>
          </w:r>
          <w:r>
            <w:instrText xml:space="preserve"> PAGEREF _Toc16208 \h </w:instrText>
          </w:r>
          <w:r>
            <w:fldChar w:fldCharType="separate"/>
          </w:r>
          <w:r>
            <w:t>53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E8645C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_Toc5157 </w:instrText>
          </w:r>
          <w:r>
            <w:rPr>
              <w:rFonts w:eastAsia="Arial" w:cs="Arial"/>
              <w:bCs/>
              <w:i w:val="0"/>
              <w:iCs w:val="0"/>
              <w:smallCaps/>
              <w:strike w:val="0"/>
              <w:dstrike w:val="0"/>
              <w:vanish w:val="0"/>
              <w:position w:val="0"/>
              <w:szCs w:val="24"/>
              <w:shd w:val="clear" w:fill="auto"/>
              <w:vertAlign w:val="baseline"/>
            </w:rPr>
            <w:fldChar w:fldCharType="separate"/>
          </w:r>
          <w:r>
            <w:t xml:space="preserve">6.6 </w:t>
          </w:r>
          <w:r>
            <w:rPr>
              <w:rFonts w:ascii="Arial" w:hAnsi="Arial" w:eastAsia="Arial" w:cs="Arial"/>
            </w:rPr>
            <w:t>O Painel de Priorização ao Gestor</w:t>
          </w:r>
          <w:r>
            <w:tab/>
          </w:r>
          <w:r>
            <w:fldChar w:fldCharType="begin"/>
          </w:r>
          <w:r>
            <w:instrText xml:space="preserve"> PAGEREF _Toc5157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9A107A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_Toc12053 </w:instrText>
          </w:r>
          <w:r>
            <w:rPr>
              <w:rFonts w:eastAsia="Arial" w:cs="Arial"/>
              <w:bCs/>
              <w:i w:val="0"/>
              <w:iCs w:val="0"/>
              <w:smallCaps/>
              <w:strike w:val="0"/>
              <w:dstrike w:val="0"/>
              <w:vanish w:val="0"/>
              <w:position w:val="0"/>
              <w:szCs w:val="24"/>
              <w:shd w:val="clear" w:fill="auto"/>
              <w:vertAlign w:val="baseline"/>
            </w:rPr>
            <w:fldChar w:fldCharType="separate"/>
          </w:r>
          <w:r>
            <w:t xml:space="preserve">6.7 </w:t>
          </w:r>
          <w:r>
            <w:rPr>
              <w:rFonts w:ascii="Arial" w:hAnsi="Arial" w:eastAsia="Arial" w:cs="Arial"/>
            </w:rPr>
            <w:t>Síntese dos Resultados</w:t>
          </w:r>
          <w:r>
            <w:tab/>
          </w:r>
          <w:r>
            <w:fldChar w:fldCharType="begin"/>
          </w:r>
          <w:r>
            <w:instrText xml:space="preserve"> PAGEREF _Toc12053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EF60429">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_Toc28970 </w:instrText>
          </w:r>
          <w:r>
            <w:rPr>
              <w:rFonts w:eastAsia="Arial" w:cs="Arial"/>
              <w:bCs/>
              <w:i w:val="0"/>
              <w:iCs w:val="0"/>
              <w:smallCaps/>
              <w:strike w:val="0"/>
              <w:dstrike w:val="0"/>
              <w:vanish w:val="0"/>
              <w:position w:val="0"/>
              <w:szCs w:val="24"/>
              <w:shd w:val="clear" w:fill="auto"/>
              <w:vertAlign w:val="baseline"/>
            </w:rPr>
            <w:fldChar w:fldCharType="separate"/>
          </w:r>
          <w:r>
            <w:t xml:space="preserve">7 </w:t>
          </w:r>
          <w:r>
            <w:rPr>
              <w:rFonts w:ascii="Arial" w:hAnsi="Arial" w:eastAsia="Arial" w:cs="Arial"/>
            </w:rPr>
            <w:t>Conclusões e Trabalhos Futuros</w:t>
          </w:r>
          <w:r>
            <w:tab/>
          </w:r>
          <w:r>
            <w:fldChar w:fldCharType="begin"/>
          </w:r>
          <w:r>
            <w:instrText xml:space="preserve"> PAGEREF _Toc28970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2C36A12">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_Toc5291 </w:instrText>
          </w:r>
          <w:r>
            <w:rPr>
              <w:rFonts w:eastAsia="Arial" w:cs="Arial"/>
              <w:bCs/>
              <w:i w:val="0"/>
              <w:iCs w:val="0"/>
              <w:smallCaps/>
              <w:strike w:val="0"/>
              <w:dstrike w:val="0"/>
              <w:vanish w:val="0"/>
              <w:position w:val="0"/>
              <w:szCs w:val="24"/>
              <w:shd w:val="clear" w:fill="auto"/>
              <w:vertAlign w:val="baseline"/>
            </w:rPr>
            <w:fldChar w:fldCharType="separate"/>
          </w:r>
          <w:r>
            <w:t xml:space="preserve">7.1 </w:t>
          </w:r>
          <w:r>
            <w:rPr>
              <w:rFonts w:ascii="Arial" w:hAnsi="Arial" w:eastAsia="Arial" w:cs="Arial"/>
            </w:rPr>
            <w:t>Conclusões</w:t>
          </w:r>
          <w:r>
            <w:tab/>
          </w:r>
          <w:r>
            <w:fldChar w:fldCharType="begin"/>
          </w:r>
          <w:r>
            <w:instrText xml:space="preserve"> PAGEREF _Toc5291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CFD720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_Toc17822 </w:instrText>
          </w:r>
          <w:r>
            <w:rPr>
              <w:rFonts w:eastAsia="Arial" w:cs="Arial"/>
              <w:bCs/>
              <w:i w:val="0"/>
              <w:iCs w:val="0"/>
              <w:smallCaps/>
              <w:strike w:val="0"/>
              <w:dstrike w:val="0"/>
              <w:vanish w:val="0"/>
              <w:position w:val="0"/>
              <w:szCs w:val="24"/>
              <w:shd w:val="clear" w:fill="auto"/>
              <w:vertAlign w:val="baseline"/>
            </w:rPr>
            <w:fldChar w:fldCharType="separate"/>
          </w:r>
          <w:r>
            <w:t xml:space="preserve">7.2 </w:t>
          </w:r>
          <w:r>
            <w:rPr>
              <w:rFonts w:ascii="Arial" w:hAnsi="Arial" w:eastAsia="Arial" w:cs="Arial"/>
            </w:rPr>
            <w:t>Trabalhos Futuros</w:t>
          </w:r>
          <w:r>
            <w:tab/>
          </w:r>
          <w:r>
            <w:fldChar w:fldCharType="begin"/>
          </w:r>
          <w:r>
            <w:instrText xml:space="preserve"> PAGEREF _Toc17822 \h </w:instrText>
          </w:r>
          <w:r>
            <w:fldChar w:fldCharType="separate"/>
          </w:r>
          <w:r>
            <w:t>57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422E8F1">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_Toc5718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Referências</w:t>
          </w:r>
          <w:r>
            <w:tab/>
          </w:r>
          <w:r>
            <w:fldChar w:fldCharType="begin"/>
          </w:r>
          <w:r>
            <w:instrText xml:space="preserve"> PAGEREF _Toc5718 \h </w:instrText>
          </w:r>
          <w:r>
            <w:fldChar w:fldCharType="separate"/>
          </w:r>
          <w:r>
            <w:t>58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94CACC3">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_Toc6056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Apêndice A – Relação das 39 características usadas pelo sistema</w:t>
          </w:r>
          <w:r>
            <w:tab/>
          </w:r>
          <w:r>
            <w:fldChar w:fldCharType="begin"/>
          </w:r>
          <w:r>
            <w:instrText xml:space="preserve"> PAGEREF _Toc6056 \h </w:instrText>
          </w:r>
          <w:r>
            <w:fldChar w:fldCharType="separate"/>
          </w:r>
          <w:r>
            <w:t>60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A35197">
          <w:pPr>
            <w:pStyle w:val="3"/>
            <w:keepNext w:val="0"/>
            <w:keepLines w:val="0"/>
            <w:pageBreakBefore w:val="0"/>
            <w:widowControl/>
            <w:shd w:val="clear" w:fill="auto"/>
            <w:tabs>
              <w:tab w:val="right" w:pos="9060"/>
            </w:tabs>
            <w:spacing w:before="0" w:after="0" w:line="360" w:lineRule="auto"/>
            <w:ind w:left="1134" w:right="0" w:hanging="1134"/>
            <w:jc w:val="both"/>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end"/>
          </w:r>
        </w:p>
      </w:sdtContent>
    </w:sdt>
    <w:p w14:paraId="4FAF6222">
      <w:pPr>
        <w:pStyle w:val="3"/>
        <w:rPr>
          <w:color w:val="000000"/>
        </w:rPr>
      </w:pPr>
    </w:p>
    <w:p w14:paraId="7947357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313D5B">
      <w:pPr>
        <w:pStyle w:val="3"/>
        <w:spacing w:before="0" w:after="0"/>
        <w:rPr>
          <w:color w:val="000000"/>
        </w:rPr>
        <w:sectPr>
          <w:pgSz w:w="11906" w:h="16838"/>
          <w:pgMar w:top="1417" w:right="1701" w:bottom="1417" w:left="1701" w:header="0" w:footer="0" w:gutter="0"/>
          <w:pgNumType w:fmt="decimal" w:start="1"/>
          <w:cols w:space="720" w:num="1"/>
          <w:formProt w:val="0"/>
          <w:docGrid w:linePitch="100" w:charSpace="0"/>
        </w:sectPr>
      </w:pPr>
    </w:p>
    <w:p w14:paraId="41E6F45C">
      <w:pPr>
        <w:pStyle w:val="2"/>
        <w:numPr>
          <w:ilvl w:val="0"/>
          <w:numId w:val="1"/>
        </w:numPr>
        <w:rPr>
          <w:color w:val="000000"/>
        </w:rPr>
      </w:pPr>
      <w:bookmarkStart w:id="1" w:name="_Toc9049"/>
      <w:r>
        <w:rPr>
          <w:rFonts w:ascii="Arial" w:hAnsi="Arial" w:eastAsia="Arial" w:cs="Arial"/>
          <w:b w:val="0"/>
        </w:rPr>
        <w:t>Introdução</w:t>
      </w:r>
      <w:bookmarkEnd w:id="1"/>
    </w:p>
    <w:p w14:paraId="71BF03DA">
      <w:pPr>
        <w:pStyle w:val="4"/>
        <w:numPr>
          <w:ilvl w:val="1"/>
          <w:numId w:val="1"/>
        </w:numPr>
      </w:pPr>
      <w:bookmarkStart w:id="2" w:name="_Toc22594"/>
      <w:r>
        <w:rPr>
          <w:rFonts w:ascii="Arial" w:hAnsi="Arial" w:eastAsia="Arial" w:cs="Arial"/>
          <w:b w:val="0"/>
        </w:rPr>
        <w:t>O Problema da Evasão no Ensino Médio de Pernambuco</w:t>
      </w:r>
      <w:bookmarkEnd w:id="2"/>
    </w:p>
    <w:p w14:paraId="1B829A83">
      <w:pPr>
        <w:pStyle w:val="3"/>
        <w:ind w:firstLine="0"/>
        <w:rPr>
          <w:color w:val="2E75B5"/>
        </w:rPr>
      </w:pPr>
      <w:r>
        <w:rPr>
          <w:rFonts w:ascii="Arial" w:hAnsi="Arial" w:eastAsia="Arial" w:cs="Arial"/>
          <w:b w:val="0"/>
        </w:rPr>
        <w:t>A evasão escolar no Ensino Médio compromete o futuro dos jovens e o desenvolvimento do país. No Ensino Médio público brasileiro, o abandono reflete desigualdades profundas — sociais, econômicas, geográficas e institucionais. Pernambuco implantou um programa pioneiro de Ensino Médio em tempo integral, cuja oferta passou de 56,7% das escolas estaduais em 2022 para 64,9% em 2024. Ainda assim, a rede permanece muito desigual: as escolas rurais e as da região do São Francisco Pernambucano concentram os piores indicadores de infraestrutura, de formação dos professores e de defasagem entre idade e série.</w:t>
      </w:r>
    </w:p>
    <w:p w14:paraId="400EBDEF">
      <w:pPr>
        <w:pStyle w:val="3"/>
        <w:ind w:firstLine="0"/>
        <w:rPr>
          <w:color w:val="2E75B5"/>
        </w:rPr>
      </w:pPr>
      <w:r>
        <w:rPr>
          <w:rFonts w:ascii="Arial" w:hAnsi="Arial" w:eastAsia="Arial" w:cs="Arial"/>
          <w:b w:val="0"/>
        </w:rPr>
        <w:t>A Secretaria Estadual de Educação de Pernambuco administra cerca de 800 escolas estaduais de Ensino Médio em atividade, distribuídas por 185 municípios. Hoje ela não dispõe de um mecanismo que antecipe o risco. Sem ele, o gestor age depois que o abandono já apareceu nos números do ano anterior.</w:t>
      </w:r>
    </w:p>
    <w:p w14:paraId="1C39316A">
      <w:pPr>
        <w:pStyle w:val="3"/>
        <w:ind w:firstLine="0"/>
        <w:rPr>
          <w:color w:val="2E75B5"/>
        </w:rPr>
      </w:pPr>
      <w:r>
        <w:rPr>
          <w:rFonts w:ascii="Arial" w:hAnsi="Arial" w:eastAsia="Arial" w:cs="Arial"/>
          <w:b w:val="0"/>
        </w:rPr>
        <w:t>O ponto de partida deste trabalho é uma constatação sobre o formato do problema. A leitura habitual do abandono é a taxa média da rede, que vem caindo: 2,05% em 2022, 1,37% em 2023 e 0,96% em 2024. Essa leitura sugere que a situação está sob controle e, principalmente, não indica onde agir. O exame ano a ano mostra outro quadro. Em 2024, 2.043 alunos abandonaram o Ensino Médio na rede estadual; 67% das escolas não registraram nenhum abandono, e as 79 escolas mais críticas — 10% da rede — responderam por 76% de todos os alunos que saíram. O problema não está espalhado pela rede: está concentrado em poucas escolas.</w:t>
      </w:r>
    </w:p>
    <w:p w14:paraId="63D3371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 – Queda da taxa média da rede e concentração do abandono em 10% das escolas</w:t>
      </w:r>
    </w:p>
    <w:p w14:paraId="46E707D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1981382"/>
                    </a:xfrm>
                    <a:prstGeom prst="rect">
                      <a:avLst/>
                    </a:prstGeom>
                  </pic:spPr>
                </pic:pic>
              </a:graphicData>
            </a:graphic>
          </wp:inline>
        </w:drawing>
      </w:r>
    </w:p>
    <w:p w14:paraId="4D7BE75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6FC808">
      <w:pPr>
        <w:pStyle w:val="3"/>
        <w:ind w:firstLine="0"/>
        <w:rPr>
          <w:color w:val="2E75B5"/>
        </w:rPr>
      </w:pPr>
      <w:r>
        <w:rPr>
          <w:rFonts w:ascii="Arial" w:hAnsi="Arial" w:eastAsia="Arial" w:cs="Arial"/>
          <w:b w:val="0"/>
        </w:rPr>
        <w:t>Essa concentração define o que o sistema precisa fazer. Se o problema estivesse distribuído, bastaria acompanhar a média. Como está concentrado, o valor a entregar é uma lista curta e confiável das escolas do topo — e não uma estimativa precisa da média da rede. Toda a solução descrita neste trabalho decorre desse requisito.</w:t>
      </w:r>
    </w:p>
    <w:p w14:paraId="762469CF">
      <w:pPr>
        <w:pStyle w:val="3"/>
        <w:ind w:firstLine="0"/>
        <w:rPr>
          <w:color w:val="2E75B5"/>
        </w:rPr>
      </w:pPr>
      <w:r>
        <w:rPr>
          <w:rFonts w:ascii="Arial" w:hAnsi="Arial" w:eastAsia="Arial" w:cs="Arial"/>
          <w:b w:val="0"/>
        </w:rPr>
        <w:t>A decisão de prever o risco por escola, e não por aluno, muda a lógica da gestão. Trabalhar em nível de aluno exigiria dados sigilosos e um esforço operacional inviável para uma rede de 800 unidades. Em nível de escola, os dados são públicos, o volume é gerenciável e a decisão do gestor — onde alocar equipe, programa e visita — acontece exatamente nesse nível.</w:t>
      </w:r>
    </w:p>
    <w:p w14:paraId="4E5B67FE">
      <w:pPr>
        <w:pStyle w:val="4"/>
        <w:numPr>
          <w:ilvl w:val="1"/>
          <w:numId w:val="1"/>
        </w:numPr>
      </w:pPr>
      <w:bookmarkStart w:id="3" w:name="_Toc428"/>
      <w:r>
        <w:rPr>
          <w:rFonts w:ascii="Arial" w:hAnsi="Arial" w:eastAsia="Arial" w:cs="Arial"/>
        </w:rPr>
        <w:t>Perguntas de Pesquisa</w:t>
      </w:r>
      <w:bookmarkEnd w:id="3"/>
    </w:p>
    <w:p w14:paraId="35EA38BE">
      <w:pPr>
        <w:pStyle w:val="3"/>
        <w:ind w:firstLine="0"/>
        <w:rPr>
          <w:color w:val="2E75B5"/>
        </w:rPr>
      </w:pPr>
      <w:r>
        <w:rPr>
          <w:rFonts w:ascii="Arial" w:hAnsi="Arial" w:eastAsia="Arial" w:cs="Arial"/>
        </w:rPr>
        <w:t>Do recorte apresentado decorrem duas perguntas, que orientam as decisões deste trabalho e às quais o Capítulo 7 responde diretamente.</w:t>
      </w:r>
    </w:p>
    <w:p w14:paraId="2C361928">
      <w:pPr>
        <w:pStyle w:val="3"/>
        <w:ind w:firstLine="0"/>
        <w:rPr>
          <w:color w:val="2E75B5"/>
        </w:rPr>
      </w:pPr>
      <w:r>
        <w:rPr>
          <w:rFonts w:ascii="Arial" w:hAnsi="Arial" w:eastAsia="Arial" w:cs="Arial"/>
          <w:b/>
        </w:rPr>
        <w:t>Pergunta de previsão (P2): é possível identificar antecipadamente quais escolas estaduais de Ensino Médio de Pernambuco terão abandono elevado no ano seguinte, a partir de características observadas no ano corrente?</w:t>
      </w:r>
    </w:p>
    <w:p w14:paraId="19E5AE02">
      <w:pPr>
        <w:pStyle w:val="3"/>
        <w:ind w:firstLine="0"/>
        <w:rPr>
          <w:color w:val="2E75B5"/>
        </w:rPr>
      </w:pPr>
      <w:r>
        <w:rPr>
          <w:rFonts w:ascii="Arial" w:hAnsi="Arial" w:eastAsia="Arial" w:cs="Arial"/>
          <w:b/>
        </w:rPr>
        <w:t xml:space="preserve">Pergunta de diagnóstico (P3): </w:t>
      </w:r>
      <w:r>
        <w:rPr>
          <w:rFonts w:ascii="Arial" w:hAnsi="Arial" w:eastAsia="Arial" w:cs="Arial"/>
        </w:rPr>
        <w:t>quais escolas apresentam abandono significativamente acima ou abaixo do que o seu próprio perfil faria esperar?</w:t>
      </w:r>
    </w:p>
    <w:p w14:paraId="58A5FC60">
      <w:pPr>
        <w:pStyle w:val="3"/>
        <w:ind w:firstLine="0"/>
        <w:rPr>
          <w:color w:val="2E75B5"/>
        </w:rPr>
      </w:pPr>
      <w:r>
        <w:rPr>
          <w:rFonts w:ascii="Arial" w:hAnsi="Arial" w:eastAsia="Arial" w:cs="Arial"/>
        </w:rPr>
        <w:t>As duas se complementam. A primeira define o que o sistema entrega ao gestor: a lista de escolas a priorizar. A segunda olha para as escolas que fogem ao padrão — seja porque perdem mais alunos do que o perfil indica, e merecem atenção imediata, seja porque resistem apesar de um perfil desfavorável, e merecem ser estudadas.</w:t>
      </w:r>
    </w:p>
    <w:p w14:paraId="1E3A4383">
      <w:pPr>
        <w:pStyle w:val="4"/>
        <w:numPr>
          <w:ilvl w:val="1"/>
          <w:numId w:val="1"/>
        </w:numPr>
      </w:pPr>
      <w:bookmarkStart w:id="4" w:name="_Toc3570"/>
      <w:r>
        <w:rPr>
          <w:rFonts w:ascii="Arial" w:hAnsi="Arial" w:eastAsia="Arial" w:cs="Arial"/>
          <w:b w:val="0"/>
        </w:rPr>
        <w:t>Objetivo Geral</w:t>
      </w:r>
      <w:bookmarkEnd w:id="4"/>
    </w:p>
    <w:p w14:paraId="6EE69780">
      <w:pPr>
        <w:pStyle w:val="3"/>
        <w:ind w:firstLine="0"/>
        <w:rPr>
          <w:color w:val="2E75B5"/>
        </w:rPr>
      </w:pPr>
      <w:r>
        <w:rPr>
          <w:rFonts w:ascii="Arial" w:hAnsi="Arial" w:eastAsia="Arial" w:cs="Arial"/>
          <w:b w:val="0"/>
        </w:rPr>
        <w:t>Desenvolver um sistema computacional de identificação precoce do risco de evasão em escolas estaduais de Ensino Médio de Pernambuco, capaz de estimar a taxa de abandono do ano seguinte a partir de características observadas no ano corrente, e de justificar cada indicação de prioridade de forma compreensível para o gestor da Secretaria Estadual de Educação.</w:t>
      </w:r>
    </w:p>
    <w:p w14:paraId="7CBE78D8">
      <w:pPr>
        <w:pStyle w:val="4"/>
        <w:numPr>
          <w:ilvl w:val="1"/>
          <w:numId w:val="1"/>
        </w:numPr>
      </w:pPr>
      <w:bookmarkStart w:id="5" w:name="_Toc27839"/>
      <w:r>
        <w:rPr>
          <w:rFonts w:ascii="Arial" w:hAnsi="Arial" w:eastAsia="Arial" w:cs="Arial"/>
          <w:b w:val="0"/>
        </w:rPr>
        <w:t>Objetivos Específicos</w:t>
      </w:r>
      <w:bookmarkEnd w:id="5"/>
    </w:p>
    <w:p w14:paraId="44FB3467">
      <w:pPr>
        <w:pStyle w:val="3"/>
        <w:ind w:firstLine="0"/>
        <w:rPr>
          <w:color w:val="2E75B5"/>
        </w:rPr>
      </w:pPr>
      <w:r>
        <w:rPr>
          <w:rFonts w:ascii="Arial" w:hAnsi="Arial" w:eastAsia="Arial" w:cs="Arial"/>
          <w:b w:val="0"/>
        </w:rPr>
        <w:t>Os objetivos específicos deste trabalho são:</w:t>
      </w:r>
    </w:p>
    <w:p w14:paraId="75EF84CE">
      <w:pPr>
        <w:pStyle w:val="3"/>
        <w:ind w:firstLine="0"/>
        <w:rPr>
          <w:color w:val="2E75B5"/>
        </w:rPr>
      </w:pPr>
      <w:r>
        <w:rPr>
          <w:rFonts w:ascii="Arial" w:hAnsi="Arial" w:eastAsia="Arial" w:cs="Arial"/>
          <w:b w:val="0"/>
        </w:rPr>
        <w:t>a) Construir uma base histórica das escolas estaduais de Ensino Médio de Pernambuco (2022 a 2024) a partir dos dados públicos do Censo Escolar do INEP;</w:t>
      </w:r>
    </w:p>
    <w:p w14:paraId="223B9B4E">
      <w:pPr>
        <w:pStyle w:val="3"/>
        <w:ind w:firstLine="0"/>
        <w:rPr>
          <w:color w:val="2E75B5"/>
        </w:rPr>
      </w:pPr>
      <w:r>
        <w:rPr>
          <w:rFonts w:ascii="Arial" w:hAnsi="Arial" w:eastAsia="Arial" w:cs="Arial"/>
          <w:b w:val="0"/>
        </w:rPr>
        <w:t>b) Integrar a essa base quatro indicadores complementares do INEP — nível socioeconômico, regularidade do corpo docente, defasagem idade-série e adequação da formação dos professores —, formando um conjunto único por escola e por ano;</w:t>
      </w:r>
    </w:p>
    <w:p w14:paraId="4EE17498">
      <w:pPr>
        <w:pStyle w:val="3"/>
        <w:ind w:firstLine="0"/>
        <w:rPr>
          <w:color w:val="2E75B5"/>
        </w:rPr>
      </w:pPr>
      <w:r>
        <w:rPr>
          <w:rFonts w:ascii="Arial" w:hAnsi="Arial" w:eastAsia="Arial" w:cs="Arial"/>
          <w:b w:val="0"/>
        </w:rPr>
        <w:t>c) Caracterizar o perfil das escolas e identificar as características associadas ao abandono, com análise estatística de todas as características usadas na previsão;</w:t>
      </w:r>
    </w:p>
    <w:p w14:paraId="7C382E87">
      <w:pPr>
        <w:pStyle w:val="3"/>
        <w:ind w:firstLine="0"/>
        <w:rPr>
          <w:color w:val="2E75B5"/>
        </w:rPr>
      </w:pPr>
      <w:r>
        <w:rPr>
          <w:rFonts w:ascii="Arial" w:hAnsi="Arial" w:eastAsia="Arial" w:cs="Arial"/>
          <w:b w:val="0"/>
        </w:rPr>
        <w:t>d) Definir o conjunto de características da previsão, com regra explícita de casamento no tempo: características do ano corrente para prever o abandono do ano seguinte;</w:t>
      </w:r>
    </w:p>
    <w:p w14:paraId="2B43919E">
      <w:pPr>
        <w:pStyle w:val="3"/>
        <w:ind w:firstLine="0"/>
        <w:rPr>
          <w:color w:val="2E75B5"/>
        </w:rPr>
      </w:pPr>
      <w:r>
        <w:rPr>
          <w:rFonts w:ascii="Arial" w:hAnsi="Arial" w:eastAsia="Arial" w:cs="Arial"/>
          <w:b w:val="0"/>
        </w:rPr>
        <w:t>e) Construir, ajustar e avaliar o modelo de previsão, comparando-o com modelos de referência e com o cenário sem sistema;</w:t>
      </w:r>
    </w:p>
    <w:p w14:paraId="24D7327C">
      <w:pPr>
        <w:pStyle w:val="3"/>
        <w:ind w:firstLine="0"/>
        <w:rPr>
          <w:color w:val="2E75B5"/>
        </w:rPr>
      </w:pPr>
      <w:r>
        <w:rPr>
          <w:rFonts w:ascii="Arial" w:hAnsi="Arial" w:eastAsia="Arial" w:cs="Arial"/>
          <w:b w:val="0"/>
        </w:rPr>
        <w:t>f) Explicar as previsões, indicando quais características elevaram ou reduziram o risco de cada escola;</w:t>
      </w:r>
    </w:p>
    <w:p w14:paraId="68988ED6">
      <w:pPr>
        <w:pStyle w:val="3"/>
        <w:ind w:firstLine="0"/>
        <w:rPr>
          <w:color w:val="2E75B5"/>
        </w:rPr>
      </w:pPr>
      <w:r>
        <w:rPr>
          <w:rFonts w:ascii="Arial" w:hAnsi="Arial" w:eastAsia="Arial" w:cs="Arial"/>
          <w:b w:val="0"/>
        </w:rPr>
        <w:t>g) Entregar as previsões e as explicações em um painel interativo voltado ao gestor da Secretaria Estadual de Educação.</w:t>
      </w:r>
    </w:p>
    <w:p w14:paraId="0CD807DE">
      <w:pPr>
        <w:pStyle w:val="4"/>
        <w:numPr>
          <w:ilvl w:val="1"/>
          <w:numId w:val="1"/>
        </w:numPr>
      </w:pPr>
      <w:bookmarkStart w:id="6" w:name="_Toc11755"/>
      <w:r>
        <w:rPr>
          <w:rFonts w:ascii="Arial" w:hAnsi="Arial" w:eastAsia="Arial" w:cs="Arial"/>
          <w:b w:val="0"/>
        </w:rPr>
        <w:t>Escopo do Projeto</w:t>
      </w:r>
      <w:bookmarkEnd w:id="6"/>
    </w:p>
    <w:p w14:paraId="54A395C4">
      <w:pPr>
        <w:pStyle w:val="3"/>
        <w:ind w:firstLine="0"/>
        <w:rPr>
          <w:color w:val="2E75B5"/>
        </w:rPr>
      </w:pPr>
      <w:r>
        <w:rPr>
          <w:rFonts w:ascii="Arial" w:hAnsi="Arial" w:eastAsia="Arial" w:cs="Arial"/>
          <w:b w:val="0"/>
        </w:rPr>
        <w:t>O projeto abrange o desenvolvimento completo do sistema, da leitura dos dados públicos à entrega do painel ao gestor, restrito às escolas estaduais de Ensino Médio em atividade em Pernambuco. A unidade de análise é a escola, o que permite trabalhar apenas com dados públicos e mantém o volume em uma faixa gerenciável: cerca de 800 escolas por ano e 1.586 observações no conjunto final.</w:t>
      </w:r>
    </w:p>
    <w:p w14:paraId="538C7BC3">
      <w:pPr>
        <w:pStyle w:val="3"/>
        <w:ind w:firstLine="0"/>
        <w:rPr>
          <w:color w:val="2E75B5"/>
        </w:rPr>
      </w:pPr>
      <w:r>
        <w:rPr>
          <w:rFonts w:ascii="Arial" w:hAnsi="Arial" w:eastAsia="Arial" w:cs="Arial"/>
          <w:b w:val="0"/>
        </w:rPr>
        <w:t>O escopo técnico compreende cinco frentes: a leitura e a padronização dos dados do Censo Escolar e dos indicadores complementares; a análise e a seleção das características usadas na previsão; a construção, o ajuste e a avaliação do modelo; a explicação das previsões; e a construção do painel de priorização.</w:t>
      </w:r>
    </w:p>
    <w:p w14:paraId="340E9E8D">
      <w:pPr>
        <w:pStyle w:val="3"/>
        <w:ind w:firstLine="0"/>
        <w:rPr>
          <w:color w:val="2E75B5"/>
        </w:rPr>
      </w:pPr>
      <w:r>
        <w:rPr>
          <w:rFonts w:ascii="Arial" w:hAnsi="Arial" w:eastAsia="Arial" w:cs="Arial"/>
          <w:b w:val="0"/>
        </w:rPr>
        <w:t>Estão fora do escopo: análises em nível de aluno, dados de redes municipais ou federais, previsões para outros estados e a implantação do sistema no ambiente de produção da Secretaria.</w:t>
      </w:r>
    </w:p>
    <w:p w14:paraId="522DD7D4">
      <w:pPr>
        <w:pStyle w:val="4"/>
        <w:numPr>
          <w:ilvl w:val="1"/>
          <w:numId w:val="1"/>
        </w:numPr>
      </w:pPr>
      <w:bookmarkStart w:id="7" w:name="_Toc22624"/>
      <w:r>
        <w:rPr>
          <w:rFonts w:ascii="Arial" w:hAnsi="Arial" w:eastAsia="Arial" w:cs="Arial"/>
          <w:b w:val="0"/>
        </w:rPr>
        <w:t>Organização do Texto</w:t>
      </w:r>
      <w:bookmarkEnd w:id="7"/>
    </w:p>
    <w:p w14:paraId="77251D1D">
      <w:pPr>
        <w:pStyle w:val="3"/>
        <w:ind w:firstLine="0"/>
        <w:rPr>
          <w:color w:val="2E75B5"/>
        </w:rPr>
      </w:pPr>
      <w:r>
        <w:rPr>
          <w:rFonts w:ascii="Arial" w:hAnsi="Arial" w:eastAsia="Arial" w:cs="Arial"/>
          <w:b w:val="0"/>
        </w:rPr>
        <w:t>Este trabalho está organizado em sete capítulos. O Capítulo 1 contextualiza o problema, enuncia as perguntas de pesquisa, define os objetivos e delimita o escopo. O Capítulo 2 apresenta a fundamentação teórica e os trabalhos relacionados. O Capítulo 3 descreve o método de desenvolvimento, as fases executadas e as práticas de engenharia de software adotadas. O Capítulo 4 detalha a arquitetura do sistema em suas quatro visões. O Capítulo 5 apresenta as tecnologias e os aspectos de implementação. O Capítulo 6 reporta os testes, a análise estatística das características usadas, o desempenho alcançado e a explicação das indicações. O Capítulo 7 responde às perguntas de pesquisa, sintetiza as contribuições e aponta os trabalhos futuros.</w:t>
      </w:r>
    </w:p>
    <w:p w14:paraId="3DE286C3">
      <w:pPr>
        <w:pStyle w:val="2"/>
        <w:numPr>
          <w:ilvl w:val="0"/>
          <w:numId w:val="1"/>
        </w:numPr>
        <w:rPr>
          <w:color w:val="000000"/>
        </w:rPr>
      </w:pPr>
      <w:bookmarkStart w:id="8" w:name="_Toc15106"/>
      <w:r>
        <w:rPr>
          <w:rFonts w:ascii="Arial" w:hAnsi="Arial" w:eastAsia="Arial" w:cs="Arial"/>
          <w:b w:val="0"/>
        </w:rPr>
        <w:t>Revisão Bibliográfica</w:t>
      </w:r>
      <w:bookmarkEnd w:id="8"/>
    </w:p>
    <w:p w14:paraId="02527F0D">
      <w:pPr>
        <w:pStyle w:val="3"/>
        <w:ind w:firstLine="0"/>
        <w:rPr>
          <w:color w:val="2E75B5"/>
        </w:rPr>
      </w:pPr>
      <w:r>
        <w:rPr>
          <w:rFonts w:ascii="Arial" w:hAnsi="Arial" w:eastAsia="Arial" w:cs="Arial"/>
          <w:b w:val="0"/>
        </w:rPr>
        <w:t>Este capítulo reúne a base conceitual e os trabalhos que sustentam o sistema proposto. A primeira seção estabelece os fundamentos teóricos em quatro frentes: o fenômeno da evasão escolar e seus determinantes, a mineração de dados educacionais como campo que aplica aprendizado de máquina a dados da educação, os modelos preditivos baseados em árvores e as técnicas de interpretabilidade empregadas no trabalho. A segunda seção examina pesquisas correlatas de predição de evasão e situa a contribuição desta monografia diante do que já foi publicado, sobretudo no contexto brasileiro.</w:t>
      </w:r>
    </w:p>
    <w:p w14:paraId="39C81C03">
      <w:pPr>
        <w:pStyle w:val="4"/>
        <w:numPr>
          <w:ilvl w:val="1"/>
          <w:numId w:val="1"/>
        </w:numPr>
      </w:pPr>
      <w:bookmarkStart w:id="9" w:name="_Toc10568"/>
      <w:r>
        <w:rPr>
          <w:rFonts w:ascii="Arial" w:hAnsi="Arial" w:eastAsia="Arial" w:cs="Arial"/>
          <w:b w:val="0"/>
        </w:rPr>
        <w:t>Fundamentação Teórica</w:t>
      </w:r>
      <w:bookmarkEnd w:id="9"/>
    </w:p>
    <w:p w14:paraId="0ED2592D">
      <w:pPr>
        <w:pStyle w:val="5"/>
        <w:numPr>
          <w:ilvl w:val="2"/>
          <w:numId w:val="1"/>
        </w:numPr>
      </w:pPr>
      <w:bookmarkStart w:id="10" w:name="_Toc10082"/>
      <w:r>
        <w:rPr>
          <w:rFonts w:ascii="Arial" w:hAnsi="Arial" w:eastAsia="Arial" w:cs="Arial"/>
          <w:b w:val="0"/>
        </w:rPr>
        <w:t>Evasão Escolar: Conceito e Determinantes</w:t>
      </w:r>
      <w:bookmarkEnd w:id="10"/>
    </w:p>
    <w:p w14:paraId="28E7AB52">
      <w:pPr>
        <w:pStyle w:val="3"/>
        <w:ind w:firstLine="0"/>
        <w:rPr>
          <w:color w:val="2E75B5"/>
        </w:rPr>
      </w:pPr>
      <w:r>
        <w:rPr>
          <w:rFonts w:ascii="Arial" w:hAnsi="Arial" w:eastAsia="Arial" w:cs="Arial"/>
          <w:b w:val="0"/>
        </w:rPr>
        <w:t>A evasão escolar é entendida na literatura menos como um evento isolado e mais como o desfecho de um processo prolongado de afastamento entre o estudante e a instituição de ensino. Tinto (1975), em um dos modelos teóricos mais influentes sobre o tema, descreve o abandono como resultado do baixo grau de integração acadêmica e social do estudante ao ambiente escolar, de modo que fatores individuais e institucionais se combinam ao longo do tempo até a decisão de sair. Rumberger (2011), ao revisar décadas de pesquisa sobre o ensino médio, reforça essa leitura processual e chama atenção para o caráter multinível do fenômeno: além das características do aluno — desempenho, defasagem idade-série e condição socioeconômica —, pesam atributos da própria escola e do território em que ela se insere.</w:t>
      </w:r>
    </w:p>
    <w:p w14:paraId="61255A77">
      <w:pPr>
        <w:pStyle w:val="3"/>
        <w:ind w:firstLine="0"/>
        <w:rPr>
          <w:color w:val="2E75B5"/>
        </w:rPr>
      </w:pPr>
      <w:r>
        <w:rPr>
          <w:rFonts w:ascii="Arial" w:hAnsi="Arial" w:eastAsia="Arial" w:cs="Arial"/>
          <w:b w:val="0"/>
        </w:rPr>
        <w:t>No sistema estatístico brasileiro, o Instituto Nacional de Estudos e Pesquisas Educacionais Anísio Teixeira (Inep) mede o abandono como a parcela de estudantes que, matriculados no início do ano letivo, deixam de frequentar a escola antes de seu término, distinguindo-o da evasão, associada à não rematrícula no ano seguinte (BRASIL, 2024). Essa taxa de abandono é o indicador adotado neste trabalho por ser observável anualmente e comparável entre escolas. Para além da mensuração, a permanência escolar tem valor formativo e social: Freire (1987) situa a educação como prática de emancipação, o que confere ao enfrentamento da evasão um significado que ultrapassa o desempenho estatístico da rede.</w:t>
      </w:r>
    </w:p>
    <w:p w14:paraId="22509AB0">
      <w:pPr>
        <w:pStyle w:val="5"/>
        <w:numPr>
          <w:ilvl w:val="2"/>
          <w:numId w:val="1"/>
        </w:numPr>
      </w:pPr>
      <w:bookmarkStart w:id="11" w:name="_Toc28674"/>
      <w:r>
        <w:rPr>
          <w:rFonts w:ascii="Arial" w:hAnsi="Arial" w:eastAsia="Arial" w:cs="Arial"/>
          <w:b w:val="0"/>
        </w:rPr>
        <w:t>Mineração de Dados Educacionais</w:t>
      </w:r>
      <w:bookmarkEnd w:id="11"/>
    </w:p>
    <w:p w14:paraId="5513F21D">
      <w:pPr>
        <w:pStyle w:val="3"/>
        <w:ind w:firstLine="0"/>
        <w:rPr>
          <w:color w:val="2E75B5"/>
        </w:rPr>
      </w:pPr>
      <w:r>
        <w:rPr>
          <w:rFonts w:ascii="Arial" w:hAnsi="Arial" w:eastAsia="Arial" w:cs="Arial"/>
          <w:b w:val="0"/>
        </w:rPr>
        <w:t>A aplicação sistemática de técnicas computacionais a dados educacionais consolidou-se no campo da mineração de dados educacionais (educational data mining). Romero e Ventura (2010) definem a área como o desenvolvimento de métodos para explorar os dados originados em contextos de ensino, com o objetivo de compreender melhor os estudantes e os ambientes de aprendizagem. Baker e Yacef (2009), ao revisarem o estado do campo, apontam a predição como uma de suas tarefas centrais — estimar um resultado futuro, como desempenho ou abandono, a partir de atributos observados. Um exemplo precursor é o de Cortez e Silva (2008), que empregaram árvores de decisão, florestas aleatórias, redes neurais e máquinas de vetores de suporte para prever o desempenho de estudantes do ensino secundário português a partir de variáveis escolares e socioeconômicas.</w:t>
      </w:r>
    </w:p>
    <w:p w14:paraId="73A69EFE">
      <w:pPr>
        <w:pStyle w:val="5"/>
        <w:numPr>
          <w:ilvl w:val="2"/>
          <w:numId w:val="1"/>
        </w:numPr>
      </w:pPr>
      <w:bookmarkStart w:id="12" w:name="_Toc13386"/>
      <w:r>
        <w:rPr>
          <w:rFonts w:ascii="Arial" w:hAnsi="Arial" w:eastAsia="Arial" w:cs="Arial"/>
          <w:b w:val="0"/>
        </w:rPr>
        <w:t>Modelos Preditivos Baseados em Árvores</w:t>
      </w:r>
      <w:bookmarkEnd w:id="12"/>
    </w:p>
    <w:p w14:paraId="4330AD82">
      <w:pPr>
        <w:pStyle w:val="3"/>
        <w:ind w:firstLine="0"/>
        <w:rPr>
          <w:color w:val="2E75B5"/>
        </w:rPr>
      </w:pPr>
      <w:r>
        <w:rPr>
          <w:rFonts w:ascii="Arial" w:hAnsi="Arial" w:eastAsia="Arial" w:cs="Arial"/>
          <w:b w:val="0"/>
        </w:rPr>
        <w:t>Entre os métodos de aprendizado de máquina, os baseados em árvores de decisão destacam-se no tratamento de dados tabulares, como os deste trabalho. Breiman (2001) propôs as florestas aleatórias (random forests), que combinam um grande número de árvores treinadas sobre amostras e subconjuntos de atributos distintos, reduzindo a variância e a tendência ao sobreajuste de uma árvore isolada. Uma alternativa que costuma alcançar desempenho superior em dados tabulares é o gradiente impulsionado (gradient boosting), no qual as árvores são construídas em sequência, cada uma corrigindo os erros das anteriores. Chen e Guestrin (2016) apresentaram o XGBoost, uma implementação escalável e regularizada desse princípio, amplamente adotada por seu desempenho e eficiência, e escolhida como modelo principal desta monografia.</w:t>
      </w:r>
    </w:p>
    <w:p w14:paraId="3B05318F">
      <w:pPr>
        <w:pStyle w:val="5"/>
        <w:numPr>
          <w:ilvl w:val="2"/>
          <w:numId w:val="1"/>
        </w:numPr>
      </w:pPr>
      <w:bookmarkStart w:id="13" w:name="_Toc6184"/>
      <w:r>
        <w:rPr>
          <w:rFonts w:ascii="Arial" w:hAnsi="Arial" w:eastAsia="Arial" w:cs="Arial"/>
          <w:b w:val="0"/>
        </w:rPr>
        <w:t>Interpretabilidade dos Modelos</w:t>
      </w:r>
      <w:bookmarkEnd w:id="13"/>
    </w:p>
    <w:p w14:paraId="6975BC01">
      <w:pPr>
        <w:pStyle w:val="3"/>
        <w:ind w:firstLine="0"/>
        <w:rPr>
          <w:color w:val="2E75B5"/>
        </w:rPr>
      </w:pPr>
      <w:r>
        <w:rPr>
          <w:rFonts w:ascii="Arial" w:hAnsi="Arial" w:eastAsia="Arial" w:cs="Arial"/>
          <w:b w:val="0"/>
        </w:rPr>
        <w:t>Modelos de alto desempenho como as florestas e o boosting são frequentemente descritos como caixas-pretas, pois a relação entre suas entradas e saídas não é diretamente legível. Em decisões de interesse público, saber por que uma previsão foi feita é tão importante quanto a previsão em si. Duas técnicas tornaram-se referência para explicar previsões de qualquer modelo: o LIME, de Ribeiro, Singh e Guestrin (2016), que aproxima localmente o modelo por um substituto interpretável; e o SHAP, de Lundberg e Lee (2017), que atribui a cada atributo uma contribuição para a previsão com base na teoria dos valores de Shapley, oferecendo explicações consistentes tanto no nível individual quanto no global. Molnar (2022) sistematiza esse conjunto de métodos e argumenta que a interpretabilidade é condição para a confiança e a auditabilidade de sistemas preditivos. Este trabalho adota o SHAP para explicar o risco previsto de cada escola.</w:t>
      </w:r>
    </w:p>
    <w:p w14:paraId="23F01F44">
      <w:pPr>
        <w:pStyle w:val="4"/>
        <w:numPr>
          <w:ilvl w:val="1"/>
          <w:numId w:val="1"/>
        </w:numPr>
      </w:pPr>
      <w:bookmarkStart w:id="14" w:name="_Toc30943"/>
      <w:r>
        <w:rPr>
          <w:rFonts w:ascii="Arial" w:hAnsi="Arial" w:eastAsia="Arial" w:cs="Arial"/>
          <w:b w:val="0"/>
        </w:rPr>
        <w:t>Trabalhos Relacionados</w:t>
      </w:r>
      <w:bookmarkEnd w:id="14"/>
    </w:p>
    <w:p w14:paraId="4413B595">
      <w:pPr>
        <w:pStyle w:val="3"/>
        <w:ind w:firstLine="0"/>
        <w:rPr>
          <w:color w:val="2E75B5"/>
        </w:rPr>
      </w:pPr>
      <w:r>
        <w:rPr>
          <w:rFonts w:ascii="Arial" w:hAnsi="Arial" w:eastAsia="Arial" w:cs="Arial"/>
          <w:b w:val="0"/>
        </w:rPr>
        <w:t>A predição de evasão por aprendizado de máquina é um tema ativo, inclusive no Brasil. Dois mapeamentos sistemáticos recentes ilustram o volume e a orientação da produção nacional: Jesus e Gusmão (2024) analisaram 336 estudos, e Nascimento et al. (2024) revisaram a literatura sobre técnicas de mineração de dados aplicadas à evasão estudantil, ambos evidenciando o predomínio de abordagens de classificação e a concentração de trabalhos no ensino superior. Ainda no contexto brasileiro, Teodoro e Kappel (2020) aplicaram cinco técnicas de aprendizado de máquina a dados públicos do Inep para prever o risco de evasão em instituições públicas de ensino superior — exemplo próximo desta monografia quanto à fonte de dados, ainda que voltado a outro nível de ensino.</w:t>
      </w:r>
    </w:p>
    <w:p w14:paraId="7F084826">
      <w:pPr>
        <w:pStyle w:val="3"/>
        <w:ind w:firstLine="0"/>
        <w:rPr>
          <w:color w:val="2E75B5"/>
        </w:rPr>
      </w:pPr>
      <w:r>
        <w:rPr>
          <w:rFonts w:ascii="Arial" w:hAnsi="Arial" w:eastAsia="Arial" w:cs="Arial"/>
          <w:b w:val="0"/>
        </w:rPr>
        <w:t>No campo dos sistemas de alerta precoce (early warning systems), Bowers, Sprott e Taff (2013) revisaram 110 indicadores de risco de abandono em 36 estudos e mostraram, por meio de análise ROC, que muitos indicadores usuais têm alta precisão mas baixa acurácia, sendo os mais confiáveis aqueles baseados em desempenho e trajetória. Esse resultado justifica avaliar um sistema de priorização não apenas por seu erro médio, mas por sua capacidade de ordenar corretamente as escolas de maior risco — critério adotado neste trabalho. Cabe registrar, por fim, uma lacuna: a maior parte da literatura opera no nível do estudante e no ensino superior, ao passo que esta monografia toma a escola como unidade de análise na educação básica, combinando dados públicos, um modelo de boosting e explicações por SHAP para apoiar a priorização de intervenções pela gestão estadual.</w:t>
      </w:r>
    </w:p>
    <w:p w14:paraId="1319101A">
      <w:pPr>
        <w:pStyle w:val="2"/>
        <w:numPr>
          <w:ilvl w:val="0"/>
          <w:numId w:val="1"/>
        </w:numPr>
        <w:rPr>
          <w:color w:val="000000"/>
        </w:rPr>
      </w:pPr>
      <w:bookmarkStart w:id="15" w:name="_Toc5750"/>
      <w:r>
        <w:rPr>
          <w:rFonts w:ascii="Arial" w:hAnsi="Arial" w:eastAsia="Arial" w:cs="Arial"/>
          <w:b w:val="0"/>
        </w:rPr>
        <w:t>Método de Desenvolvimento</w:t>
      </w:r>
      <w:bookmarkEnd w:id="15"/>
    </w:p>
    <w:p w14:paraId="39EFBDEF">
      <w:pPr>
        <w:pStyle w:val="4"/>
        <w:numPr>
          <w:ilvl w:val="1"/>
          <w:numId w:val="1"/>
        </w:numPr>
      </w:pPr>
      <w:bookmarkStart w:id="16" w:name="_Toc4206"/>
      <w:r>
        <w:rPr>
          <w:rFonts w:ascii="Arial" w:hAnsi="Arial" w:eastAsia="Arial" w:cs="Arial"/>
          <w:b w:val="0"/>
        </w:rPr>
        <w:t>Processo de Desenvolvimento</w:t>
      </w:r>
      <w:bookmarkEnd w:id="16"/>
    </w:p>
    <w:p w14:paraId="2C3C015D">
      <w:pPr>
        <w:pStyle w:val="3"/>
        <w:ind w:firstLine="0"/>
        <w:rPr>
          <w:color w:val="2E75B5"/>
        </w:rPr>
      </w:pPr>
      <w:r>
        <w:rPr>
          <w:rFonts w:ascii="Arial" w:hAnsi="Arial" w:eastAsia="Arial" w:cs="Arial"/>
          <w:b w:val="0"/>
        </w:rPr>
        <w:t>O sistema é um encadeamento automatizado de etapas que vai da leitura dos dados públicos do INEP até a lista de escolas prioritárias entregue ao gestor. O desenvolvimento combinou o processo CRISP-DM — que organiza projetos desse tipo em seis etapas: entendimento do negócio, entendimento dos dados, preparação dos dados, construção do modelo, avaliação e implantação — com um ciclo iterativo e incremental. Cada fase produz artefatos verificáveis antes de a seguinte começar: código coberto por testes, dados intermediários gravados em disco e um relatório técnico.</w:t>
      </w:r>
    </w:p>
    <w:p w14:paraId="7C7132CF">
      <w:pPr>
        <w:pStyle w:val="3"/>
        <w:ind w:firstLine="0"/>
        <w:rPr>
          <w:color w:val="2E75B5"/>
        </w:rPr>
      </w:pPr>
      <w:r>
        <w:rPr>
          <w:rFonts w:ascii="Arial" w:hAnsi="Arial" w:eastAsia="Arial" w:cs="Arial"/>
          <w:b w:val="0"/>
        </w:rPr>
        <w:t>O desenvolvimento separa de forma explícita o código de produção do código de análise. Os módulos reaproveitáveis ficam no pacote src, organizado em camadas de responsabilidade única; os scripts de análise, numerados, ficam em notebooks e apenas consomem esses módulos. Os dados percorrem três estágios — originais, intermediários e finais — e nunca são sobrescritos no estágio anterior. Essa organização sustenta duas propriedades exigidas do sistema: qualquer resultado pode ser refeito a partir dos arquivos originais, e cada módulo pode ser testado isoladamente.</w:t>
      </w:r>
    </w:p>
    <w:p w14:paraId="4D605BAE">
      <w:pPr>
        <w:pStyle w:val="4"/>
        <w:numPr>
          <w:ilvl w:val="1"/>
          <w:numId w:val="1"/>
        </w:numPr>
      </w:pPr>
      <w:bookmarkStart w:id="17" w:name="_Toc13440"/>
      <w:r>
        <w:rPr>
          <w:rFonts w:ascii="Arial" w:hAnsi="Arial" w:eastAsia="Arial" w:cs="Arial"/>
          <w:b w:val="0"/>
        </w:rPr>
        <w:t>Fases Executadas</w:t>
      </w:r>
      <w:bookmarkEnd w:id="17"/>
    </w:p>
    <w:p w14:paraId="5A1F7F50">
      <w:pPr>
        <w:pStyle w:val="3"/>
        <w:ind w:firstLine="0"/>
        <w:rPr>
          <w:color w:val="2E75B5"/>
        </w:rPr>
      </w:pPr>
      <w:r>
        <w:rPr>
          <w:rFonts w:ascii="Arial" w:hAnsi="Arial" w:eastAsia="Arial" w:cs="Arial"/>
          <w:b w:val="0"/>
        </w:rPr>
        <w:t>O Quadro 1 resume as fases do método, os artefatos produzidos e a situação de cada uma.</w:t>
      </w:r>
    </w:p>
    <w:p w14:paraId="2120944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 – Fases do método de desenvolvimento e artefatos produzidos</w:t>
      </w:r>
    </w:p>
    <w:tbl>
      <w:tblPr>
        <w:tblStyle w:val="10"/>
        <w:tblW w:w="911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394"/>
        <w:gridCol w:w="3456"/>
        <w:gridCol w:w="3263"/>
      </w:tblGrid>
      <w:tr w14:paraId="78CE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7B41329B">
            <w:r>
              <w:rPr>
                <w:rFonts w:ascii="Arial" w:hAnsi="Arial" w:eastAsia="Arial" w:cs="Arial"/>
                <w:b/>
                <w:sz w:val="18"/>
              </w:rPr>
              <w:t>Fase</w:t>
            </w:r>
          </w:p>
        </w:tc>
        <w:tc>
          <w:tcPr>
            <w:tcW w:w="3456" w:type="dxa"/>
          </w:tcPr>
          <w:p w14:paraId="17ACABDD">
            <w:r>
              <w:rPr>
                <w:rFonts w:ascii="Arial" w:hAnsi="Arial" w:eastAsia="Arial" w:cs="Arial"/>
                <w:b/>
                <w:sz w:val="18"/>
              </w:rPr>
              <w:t>Etapa do processo</w:t>
            </w:r>
          </w:p>
        </w:tc>
        <w:tc>
          <w:tcPr>
            <w:tcW w:w="3263" w:type="dxa"/>
          </w:tcPr>
          <w:p w14:paraId="12A7592B">
            <w:r>
              <w:rPr>
                <w:rFonts w:ascii="Arial" w:hAnsi="Arial" w:eastAsia="Arial" w:cs="Arial"/>
                <w:b/>
                <w:sz w:val="18"/>
              </w:rPr>
              <w:t>Principais artefatos</w:t>
            </w:r>
          </w:p>
        </w:tc>
      </w:tr>
      <w:tr w14:paraId="2432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18EA272D">
            <w:r>
              <w:rPr>
                <w:rFonts w:ascii="Arial" w:hAnsi="Arial" w:eastAsia="Arial" w:cs="Arial"/>
                <w:b w:val="0"/>
                <w:sz w:val="18"/>
              </w:rPr>
              <w:t>0. Planejamento e decisões</w:t>
            </w:r>
          </w:p>
        </w:tc>
        <w:tc>
          <w:tcPr>
            <w:tcW w:w="3456" w:type="dxa"/>
          </w:tcPr>
          <w:p w14:paraId="0EB4DD4A">
            <w:r>
              <w:rPr>
                <w:rFonts w:ascii="Arial" w:hAnsi="Arial" w:eastAsia="Arial" w:cs="Arial"/>
                <w:b w:val="0"/>
                <w:sz w:val="18"/>
              </w:rPr>
              <w:t>Entendimento do negócio</w:t>
            </w:r>
          </w:p>
        </w:tc>
        <w:tc>
          <w:tcPr>
            <w:tcW w:w="3263" w:type="dxa"/>
          </w:tcPr>
          <w:p w14:paraId="622C428B">
            <w:r>
              <w:rPr>
                <w:rFonts w:ascii="Arial" w:hAnsi="Arial" w:eastAsia="Arial" w:cs="Arial"/>
                <w:b w:val="0"/>
                <w:sz w:val="18"/>
              </w:rPr>
              <w:t>Documento de decisões: perguntas, unidade de análise, indicador a prever, fontes de dados e tecnologias</w:t>
            </w:r>
          </w:p>
        </w:tc>
      </w:tr>
      <w:tr w14:paraId="43EB83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AFD23CE">
            <w:r>
              <w:rPr>
                <w:rFonts w:ascii="Arial" w:hAnsi="Arial" w:eastAsia="Arial" w:cs="Arial"/>
                <w:b w:val="0"/>
                <w:sz w:val="18"/>
              </w:rPr>
              <w:t>1. Leitura e padronização do Censo</w:t>
            </w:r>
          </w:p>
        </w:tc>
        <w:tc>
          <w:tcPr>
            <w:tcW w:w="3456" w:type="dxa"/>
          </w:tcPr>
          <w:p w14:paraId="7225F8D0">
            <w:r>
              <w:rPr>
                <w:rFonts w:ascii="Arial" w:hAnsi="Arial" w:eastAsia="Arial" w:cs="Arial"/>
                <w:b w:val="0"/>
                <w:sz w:val="18"/>
              </w:rPr>
              <w:t>Entendimento e preparação dos dados</w:t>
            </w:r>
          </w:p>
        </w:tc>
        <w:tc>
          <w:tcPr>
            <w:tcW w:w="3263" w:type="dxa"/>
          </w:tcPr>
          <w:p w14:paraId="45D03BEA">
            <w:r>
              <w:rPr>
                <w:rFonts w:ascii="Arial" w:hAnsi="Arial" w:eastAsia="Arial" w:cs="Arial"/>
                <w:b w:val="0"/>
                <w:sz w:val="18"/>
              </w:rPr>
              <w:t>Módulos de carga, filtro e montagem da base; base histórica com 2.392 registros e 806 escolas; dez análises descritivas</w:t>
            </w:r>
          </w:p>
        </w:tc>
      </w:tr>
      <w:tr w14:paraId="669B7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5A18CB75">
            <w:r>
              <w:rPr>
                <w:rFonts w:ascii="Arial" w:hAnsi="Arial" w:eastAsia="Arial" w:cs="Arial"/>
                <w:b w:val="0"/>
                <w:sz w:val="18"/>
              </w:rPr>
              <w:t>2. Integração dos indicadores</w:t>
            </w:r>
          </w:p>
        </w:tc>
        <w:tc>
          <w:tcPr>
            <w:tcW w:w="3456" w:type="dxa"/>
          </w:tcPr>
          <w:p w14:paraId="410DD4A7">
            <w:r>
              <w:rPr>
                <w:rFonts w:ascii="Arial" w:hAnsi="Arial" w:eastAsia="Arial" w:cs="Arial"/>
                <w:b w:val="0"/>
                <w:sz w:val="18"/>
              </w:rPr>
              <w:t>Preparação dos dados</w:t>
            </w:r>
          </w:p>
        </w:tc>
        <w:tc>
          <w:tcPr>
            <w:tcW w:w="3263" w:type="dxa"/>
          </w:tcPr>
          <w:p w14:paraId="24CDE325">
            <w:r>
              <w:rPr>
                <w:rFonts w:ascii="Arial" w:hAnsi="Arial" w:eastAsia="Arial" w:cs="Arial"/>
                <w:b w:val="0"/>
                <w:sz w:val="18"/>
              </w:rPr>
              <w:t>Um módulo de leitura por indicador; arquivos intermediários padronizados por escola e ano</w:t>
            </w:r>
          </w:p>
        </w:tc>
      </w:tr>
      <w:tr w14:paraId="78E2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35770AAF">
            <w:r>
              <w:rPr>
                <w:rFonts w:ascii="Arial" w:hAnsi="Arial" w:eastAsia="Arial" w:cs="Arial"/>
                <w:b w:val="0"/>
                <w:sz w:val="18"/>
              </w:rPr>
              <w:t>3. Seleção e preparação das características</w:t>
            </w:r>
          </w:p>
        </w:tc>
        <w:tc>
          <w:tcPr>
            <w:tcW w:w="3456" w:type="dxa"/>
          </w:tcPr>
          <w:p w14:paraId="487A70AB">
            <w:r>
              <w:rPr>
                <w:rFonts w:ascii="Arial" w:hAnsi="Arial" w:eastAsia="Arial" w:cs="Arial"/>
                <w:b w:val="0"/>
                <w:sz w:val="18"/>
              </w:rPr>
              <w:t>Preparação dos dados</w:t>
            </w:r>
          </w:p>
        </w:tc>
        <w:tc>
          <w:tcPr>
            <w:tcW w:w="3263" w:type="dxa"/>
          </w:tcPr>
          <w:p w14:paraId="245E4ED9">
            <w:r>
              <w:rPr>
                <w:rFonts w:ascii="Arial" w:hAnsi="Arial" w:eastAsia="Arial" w:cs="Arial"/>
                <w:b w:val="0"/>
                <w:sz w:val="18"/>
              </w:rPr>
              <w:t>Módulo de construção do conjunto final: 1.586 observações e 39 características, sem lacunas; análise estatística de todas elas</w:t>
            </w:r>
          </w:p>
        </w:tc>
      </w:tr>
      <w:tr w14:paraId="47FF2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2B717047">
            <w:r>
              <w:rPr>
                <w:rFonts w:ascii="Arial" w:hAnsi="Arial" w:eastAsia="Arial" w:cs="Arial"/>
                <w:b w:val="0"/>
                <w:sz w:val="18"/>
              </w:rPr>
              <w:t>4. Construção e ajuste do modelo</w:t>
            </w:r>
          </w:p>
        </w:tc>
        <w:tc>
          <w:tcPr>
            <w:tcW w:w="3456" w:type="dxa"/>
          </w:tcPr>
          <w:p w14:paraId="55D405B4">
            <w:r>
              <w:rPr>
                <w:rFonts w:ascii="Arial" w:hAnsi="Arial" w:eastAsia="Arial" w:cs="Arial"/>
                <w:b w:val="0"/>
                <w:sz w:val="18"/>
              </w:rPr>
              <w:t>Construção do modelo</w:t>
            </w:r>
          </w:p>
        </w:tc>
        <w:tc>
          <w:tcPr>
            <w:tcW w:w="3263" w:type="dxa"/>
          </w:tcPr>
          <w:p w14:paraId="28158DE8">
            <w:r>
              <w:rPr>
                <w:rFonts w:ascii="Arial" w:hAnsi="Arial" w:eastAsia="Arial" w:cs="Arial"/>
                <w:b w:val="0"/>
                <w:sz w:val="18"/>
              </w:rPr>
              <w:t>Módulos de treino e avaliação; modelos de referência e modelo principal; busca de configuração; modelos gravados em disco</w:t>
            </w:r>
          </w:p>
        </w:tc>
      </w:tr>
      <w:tr w14:paraId="1058F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E1E6A84">
            <w:r>
              <w:rPr>
                <w:rFonts w:ascii="Arial" w:hAnsi="Arial" w:eastAsia="Arial" w:cs="Arial"/>
                <w:b w:val="0"/>
                <w:sz w:val="18"/>
              </w:rPr>
              <w:t>5. Explicação das previsões</w:t>
            </w:r>
          </w:p>
        </w:tc>
        <w:tc>
          <w:tcPr>
            <w:tcW w:w="3456" w:type="dxa"/>
          </w:tcPr>
          <w:p w14:paraId="00515948">
            <w:r>
              <w:rPr>
                <w:rFonts w:ascii="Arial" w:hAnsi="Arial" w:eastAsia="Arial" w:cs="Arial"/>
                <w:b w:val="0"/>
                <w:sz w:val="18"/>
              </w:rPr>
              <w:t>Avaliação</w:t>
            </w:r>
          </w:p>
        </w:tc>
        <w:tc>
          <w:tcPr>
            <w:tcW w:w="3263" w:type="dxa"/>
          </w:tcPr>
          <w:p w14:paraId="01FEBC2D">
            <w:r>
              <w:rPr>
                <w:rFonts w:ascii="Arial" w:hAnsi="Arial" w:eastAsia="Arial" w:cs="Arial"/>
                <w:b w:val="0"/>
                <w:sz w:val="18"/>
              </w:rPr>
              <w:t>Módulo de explicação; contribuição de cada característica por escola; análise dos erros por grupo</w:t>
            </w:r>
          </w:p>
        </w:tc>
      </w:tr>
      <w:tr w14:paraId="68018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274B100">
            <w:r>
              <w:rPr>
                <w:rFonts w:ascii="Arial" w:hAnsi="Arial" w:eastAsia="Arial" w:cs="Arial"/>
                <w:b w:val="0"/>
                <w:sz w:val="18"/>
              </w:rPr>
              <w:t>6. Painel de priorização</w:t>
            </w:r>
          </w:p>
        </w:tc>
        <w:tc>
          <w:tcPr>
            <w:tcW w:w="3456" w:type="dxa"/>
          </w:tcPr>
          <w:p w14:paraId="36CD33B0">
            <w:r>
              <w:rPr>
                <w:rFonts w:ascii="Arial" w:hAnsi="Arial" w:eastAsia="Arial" w:cs="Arial"/>
                <w:b w:val="0"/>
                <w:sz w:val="18"/>
              </w:rPr>
              <w:t>Implantação</w:t>
            </w:r>
          </w:p>
        </w:tc>
        <w:tc>
          <w:tcPr>
            <w:tcW w:w="3263" w:type="dxa"/>
          </w:tcPr>
          <w:p w14:paraId="132BFC90">
            <w:r>
              <w:rPr>
                <w:rFonts w:ascii="Arial" w:hAnsi="Arial" w:eastAsia="Arial" w:cs="Arial"/>
                <w:b w:val="0"/>
                <w:sz w:val="18"/>
              </w:rPr>
              <w:t>Camada de serviço testável e aplicação web com lista de risco, detalhe por escola e diagnóstico</w:t>
            </w:r>
          </w:p>
        </w:tc>
      </w:tr>
    </w:tbl>
    <w:p w14:paraId="61DCA14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D411C45">
      <w:pPr>
        <w:pStyle w:val="5"/>
        <w:numPr>
          <w:ilvl w:val="2"/>
          <w:numId w:val="1"/>
        </w:numPr>
      </w:pPr>
      <w:bookmarkStart w:id="18" w:name="_Toc13259"/>
      <w:r>
        <w:rPr>
          <w:rFonts w:ascii="Arial" w:hAnsi="Arial" w:eastAsia="Arial" w:cs="Arial"/>
          <w:b w:val="0"/>
        </w:rPr>
        <w:t>Planejamento e Decisões</w:t>
      </w:r>
      <w:bookmarkEnd w:id="18"/>
    </w:p>
    <w:p w14:paraId="2D034E36">
      <w:pPr>
        <w:pStyle w:val="3"/>
        <w:ind w:firstLine="0"/>
        <w:rPr>
          <w:color w:val="2E75B5"/>
        </w:rPr>
      </w:pPr>
      <w:r>
        <w:rPr>
          <w:rFonts w:ascii="Arial" w:hAnsi="Arial" w:eastAsia="Arial" w:cs="Arial"/>
          <w:b w:val="0"/>
        </w:rPr>
        <w:t>A fase inicial consolidou as decisões estruturantes. A escola — não o aluno — foi definida como unidade de análise, por três razões: os dados públicos existem nesse nível, o gestor decide nesse nível e o volume resultante é adequado a um sistema que precisa ser auditável. O universo foi delimitado às escolas estaduais em atividade com Ensino Médio regular em Pernambuco. Definiram-se ainda as fontes de dados e as tecnologias, descritas no Capítulo 5.</w:t>
      </w:r>
    </w:p>
    <w:p w14:paraId="6BDB0482">
      <w:pPr>
        <w:pStyle w:val="5"/>
        <w:numPr>
          <w:ilvl w:val="2"/>
          <w:numId w:val="1"/>
        </w:numPr>
      </w:pPr>
      <w:bookmarkStart w:id="19" w:name="_Toc20241"/>
      <w:r>
        <w:rPr>
          <w:rFonts w:ascii="Arial" w:hAnsi="Arial" w:eastAsia="Arial" w:cs="Arial"/>
          <w:b w:val="0"/>
        </w:rPr>
        <w:t>Leitura e Padronização dos Dados do Censo</w:t>
      </w:r>
      <w:bookmarkEnd w:id="19"/>
    </w:p>
    <w:p w14:paraId="32CB1368">
      <w:pPr>
        <w:pStyle w:val="3"/>
        <w:ind w:firstLine="0"/>
        <w:rPr>
          <w:color w:val="2E75B5"/>
        </w:rPr>
      </w:pPr>
      <w:r>
        <w:rPr>
          <w:rFonts w:ascii="Arial" w:hAnsi="Arial" w:eastAsia="Arial" w:cs="Arial"/>
          <w:b w:val="0"/>
        </w:rPr>
        <w:t>A primeira fase de implementação construiu a leitura dos dados do Censo Escolar. Um módulo carrega os arquivos anuais, com busca tolerante pelos nomes — o INEP muda a nomenclatura entre edições. Outro aplica, em sequência auditável, os filtros de estado, rede estadual, escola em atividade e oferta de Ensino Médio. Um terceiro empilha os três anos em uma base histórica por escola e ano. O resultado é estável: 2.392 registros, 806 escolas, 97,4% delas presentes nos três anos.</w:t>
      </w:r>
    </w:p>
    <w:p w14:paraId="4675C0AF">
      <w:pPr>
        <w:pStyle w:val="3"/>
        <w:ind w:firstLine="0"/>
        <w:rPr>
          <w:color w:val="2E75B5"/>
        </w:rPr>
      </w:pPr>
      <w:r>
        <w:rPr>
          <w:rFonts w:ascii="Arial" w:hAnsi="Arial" w:eastAsia="Arial" w:cs="Arial"/>
          <w:b w:val="0"/>
        </w:rPr>
        <w:t>Dez análises descritivas caracterizaram o universo. A rede cobre 185 municípios e 86% das escolas são urbanas. A mediana é de cerca de 350 matrículas de Ensino Médio por escola. O índice de infraestrutura é muito menor nas escolas rurais (0,52 contra 0,71). Essa fase também revelou problemas nos dados de origem que orientaram decisões posteriores: uma coluna de matrículas ausente em todo o ano de 2022, descartada, e o código de região do estado, que muda de formato entre 2022 e 2023 e precisou ser convertido.</w:t>
      </w:r>
    </w:p>
    <w:p w14:paraId="40F8A41F">
      <w:pPr>
        <w:pStyle w:val="5"/>
        <w:numPr>
          <w:ilvl w:val="2"/>
          <w:numId w:val="1"/>
        </w:numPr>
      </w:pPr>
      <w:bookmarkStart w:id="20" w:name="_Toc24251"/>
      <w:r>
        <w:rPr>
          <w:rFonts w:ascii="Arial" w:hAnsi="Arial" w:eastAsia="Arial" w:cs="Arial"/>
          <w:b w:val="0"/>
        </w:rPr>
        <w:t>Integração dos Indicadores Complementares</w:t>
      </w:r>
      <w:bookmarkEnd w:id="20"/>
    </w:p>
    <w:p w14:paraId="48039FD8">
      <w:pPr>
        <w:pStyle w:val="3"/>
        <w:ind w:firstLine="0"/>
        <w:rPr>
          <w:rFonts w:ascii="Arial" w:hAnsi="Arial" w:eastAsia="Arial" w:cs="Arial"/>
          <w:b w:val="0"/>
        </w:rPr>
      </w:pPr>
      <w:r>
        <w:rPr>
          <w:rFonts w:ascii="Arial" w:hAnsi="Arial" w:eastAsia="Arial" w:cs="Arial"/>
          <w:b w:val="0"/>
        </w:rPr>
        <w:t xml:space="preserve">A segunda fase incorporou cinco fontes complementares do INEP: as taxas de rendimento — aprovação, reprovação e abandono, no total e por série —, o nível socioeconômico, a regularidade do corpo docente, a defasagem idade-série e a adequação da formação dos professores. </w:t>
      </w:r>
    </w:p>
    <w:p w14:paraId="246748B0">
      <w:pPr>
        <w:pStyle w:val="3"/>
        <w:ind w:firstLine="0"/>
        <w:rPr>
          <w:color w:val="2E75B5"/>
        </w:rPr>
      </w:pPr>
      <w:r>
        <w:rPr>
          <w:rFonts w:ascii="Arial" w:hAnsi="Arial" w:eastAsia="Arial" w:cs="Arial"/>
          <w:b w:val="0"/>
        </w:rPr>
        <w:t>As taxas de rendimento exigiram tratamento específico: vêm em planilhas com oito linhas de cabeçalho e uma marca própria para “escola não oferece a série”, que precisa ser convertida em ausência e não em zero — confundir as duas coisas distorceria todas as médias da rede.</w:t>
      </w:r>
    </w:p>
    <w:p w14:paraId="47A365E9">
      <w:pPr>
        <w:pStyle w:val="3"/>
        <w:ind w:firstLine="0"/>
        <w:rPr>
          <w:color w:val="2E75B5"/>
        </w:rPr>
      </w:pPr>
      <w:r>
        <w:rPr>
          <w:rFonts w:ascii="Arial" w:hAnsi="Arial" w:eastAsia="Arial" w:cs="Arial"/>
          <w:b w:val="0"/>
        </w:rPr>
        <w:t>Dois indicadores adicionais foram lidos e avaliados: o esforço docente e a complexidade de gestão. Eles não foram incorporados, porque a informação que trazem já estava contida nas colunas existentes. A avaliação está no Capítulo 6.</w:t>
      </w:r>
    </w:p>
    <w:p w14:paraId="0D12E579">
      <w:pPr>
        <w:pStyle w:val="5"/>
        <w:numPr>
          <w:ilvl w:val="2"/>
          <w:numId w:val="1"/>
        </w:numPr>
      </w:pPr>
      <w:bookmarkStart w:id="21" w:name="_Toc17528"/>
      <w:r>
        <w:rPr>
          <w:rFonts w:ascii="Arial" w:hAnsi="Arial" w:eastAsia="Arial" w:cs="Arial"/>
          <w:b w:val="0"/>
        </w:rPr>
        <w:t>Seleção e Preparação das Características</w:t>
      </w:r>
      <w:bookmarkEnd w:id="21"/>
    </w:p>
    <w:p w14:paraId="079F77C8">
      <w:pPr>
        <w:pStyle w:val="3"/>
        <w:ind w:firstLine="0"/>
        <w:rPr>
          <w:color w:val="2E75B5"/>
        </w:rPr>
      </w:pPr>
      <w:r>
        <w:rPr>
          <w:rFonts w:ascii="Arial" w:hAnsi="Arial" w:eastAsia="Arial" w:cs="Arial"/>
          <w:b w:val="0"/>
        </w:rPr>
        <w:t>A terceira fase construiu o conjunto usado na previsão e fixou a regra de casamento no tempo: as características de um ano são associadas ao abandono do ano seguinte. O ano de 2024 não entra como ano de origem porque exigiria o rendimento de 2025, ainda inexistente. O Quadro 2 mostra a regra e o papel de cada par de anos.</w:t>
      </w:r>
    </w:p>
    <w:p w14:paraId="20F092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2 – Casamento no tempo entre as características da escola e o abandono previsto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2A6F0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0F3CEE81">
            <w:r>
              <w:rPr>
                <w:rFonts w:ascii="Arial" w:hAnsi="Arial" w:eastAsia="Arial" w:cs="Arial"/>
                <w:b/>
                <w:sz w:val="18"/>
              </w:rPr>
              <w:t>Características da escola (ano corrente)</w:t>
            </w:r>
          </w:p>
        </w:tc>
        <w:tc>
          <w:tcPr>
            <w:tcW w:w="2835" w:type="dxa"/>
          </w:tcPr>
          <w:p w14:paraId="2D871302">
            <w:r>
              <w:rPr>
                <w:rFonts w:ascii="Arial" w:hAnsi="Arial" w:eastAsia="Arial" w:cs="Arial"/>
                <w:b/>
                <w:sz w:val="18"/>
              </w:rPr>
              <w:t>Abandono previsto (ano seguinte)</w:t>
            </w:r>
          </w:p>
        </w:tc>
        <w:tc>
          <w:tcPr>
            <w:tcW w:w="2835" w:type="dxa"/>
          </w:tcPr>
          <w:p w14:paraId="38617B63">
            <w:r>
              <w:rPr>
                <w:rFonts w:ascii="Arial" w:hAnsi="Arial" w:eastAsia="Arial" w:cs="Arial"/>
                <w:b/>
                <w:sz w:val="18"/>
              </w:rPr>
              <w:t>Uso no projeto</w:t>
            </w:r>
          </w:p>
        </w:tc>
      </w:tr>
      <w:tr w14:paraId="02D2D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5E175B2B">
            <w:r>
              <w:rPr>
                <w:rFonts w:ascii="Arial" w:hAnsi="Arial" w:eastAsia="Arial" w:cs="Arial"/>
                <w:b w:val="0"/>
                <w:sz w:val="18"/>
              </w:rPr>
              <w:t>Censo e indicadores de 2022</w:t>
            </w:r>
          </w:p>
        </w:tc>
        <w:tc>
          <w:tcPr>
            <w:tcW w:w="2835" w:type="dxa"/>
          </w:tcPr>
          <w:p w14:paraId="4F8F2156">
            <w:r>
              <w:rPr>
                <w:rFonts w:ascii="Arial" w:hAnsi="Arial" w:eastAsia="Arial" w:cs="Arial"/>
                <w:b w:val="0"/>
                <w:sz w:val="18"/>
              </w:rPr>
              <w:t>Abandono de 2023</w:t>
            </w:r>
          </w:p>
        </w:tc>
        <w:tc>
          <w:tcPr>
            <w:tcW w:w="2835" w:type="dxa"/>
          </w:tcPr>
          <w:p w14:paraId="66709C41">
            <w:r>
              <w:rPr>
                <w:rFonts w:ascii="Arial" w:hAnsi="Arial" w:eastAsia="Arial" w:cs="Arial"/>
                <w:b w:val="0"/>
                <w:sz w:val="18"/>
              </w:rPr>
              <w:t>Treino do modelo</w:t>
            </w:r>
          </w:p>
        </w:tc>
      </w:tr>
      <w:tr w14:paraId="2C569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2443EF65">
            <w:r>
              <w:rPr>
                <w:rFonts w:ascii="Arial" w:hAnsi="Arial" w:eastAsia="Arial" w:cs="Arial"/>
                <w:b w:val="0"/>
                <w:sz w:val="18"/>
              </w:rPr>
              <w:t>Censo e indicadores de 2023</w:t>
            </w:r>
          </w:p>
        </w:tc>
        <w:tc>
          <w:tcPr>
            <w:tcW w:w="2835" w:type="dxa"/>
          </w:tcPr>
          <w:p w14:paraId="4B95E348">
            <w:r>
              <w:rPr>
                <w:rFonts w:ascii="Arial" w:hAnsi="Arial" w:eastAsia="Arial" w:cs="Arial"/>
                <w:b w:val="0"/>
                <w:sz w:val="18"/>
              </w:rPr>
              <w:t>Abandono de 2024</w:t>
            </w:r>
          </w:p>
        </w:tc>
        <w:tc>
          <w:tcPr>
            <w:tcW w:w="2835" w:type="dxa"/>
          </w:tcPr>
          <w:p w14:paraId="130196EF">
            <w:r>
              <w:rPr>
                <w:rFonts w:ascii="Arial" w:hAnsi="Arial" w:eastAsia="Arial" w:cs="Arial"/>
                <w:b w:val="0"/>
                <w:sz w:val="18"/>
              </w:rPr>
              <w:t>Teste em ano nunca visto</w:t>
            </w:r>
          </w:p>
        </w:tc>
      </w:tr>
      <w:tr w14:paraId="02481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382DFEDC">
            <w:r>
              <w:rPr>
                <w:rFonts w:ascii="Arial" w:hAnsi="Arial" w:eastAsia="Arial" w:cs="Arial"/>
                <w:b w:val="0"/>
                <w:sz w:val="18"/>
              </w:rPr>
              <w:t>Censo e indicadores de 2024</w:t>
            </w:r>
          </w:p>
        </w:tc>
        <w:tc>
          <w:tcPr>
            <w:tcW w:w="2835" w:type="dxa"/>
          </w:tcPr>
          <w:p w14:paraId="45C6B655">
            <w:r>
              <w:rPr>
                <w:rFonts w:ascii="Arial" w:hAnsi="Arial" w:eastAsia="Arial" w:cs="Arial"/>
                <w:b w:val="0"/>
                <w:sz w:val="18"/>
              </w:rPr>
              <w:t>Abandono de 2025</w:t>
            </w:r>
          </w:p>
        </w:tc>
        <w:tc>
          <w:tcPr>
            <w:tcW w:w="2835" w:type="dxa"/>
          </w:tcPr>
          <w:p w14:paraId="0F569DC3">
            <w:r>
              <w:rPr>
                <w:rFonts w:ascii="Arial" w:hAnsi="Arial" w:eastAsia="Arial" w:cs="Arial"/>
                <w:b w:val="0"/>
                <w:sz w:val="18"/>
              </w:rPr>
              <w:t>Lista entregue ao gestor</w:t>
            </w:r>
          </w:p>
        </w:tc>
      </w:tr>
    </w:tbl>
    <w:p w14:paraId="5A8EDDF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2B18D7C">
      <w:pPr>
        <w:pStyle w:val="3"/>
        <w:ind w:firstLine="0"/>
        <w:rPr>
          <w:color w:val="2E75B5"/>
        </w:rPr>
      </w:pPr>
      <w:r>
        <w:rPr>
          <w:rFonts w:ascii="Arial" w:hAnsi="Arial" w:eastAsia="Arial" w:cs="Arial"/>
          <w:b w:val="0"/>
        </w:rPr>
        <w:t>O Censo Escolar traz mais de 400 características por escola. O sistema usa 39. A redução é deliberada: com 1.586 observações, manter centenas de colunas faria o sistema decorar a base em vez de aprender o padrão — ele acertaria o passado e erraria o ano seguinte. O Quadro 3 agrupa as características mantidas.</w:t>
      </w:r>
    </w:p>
    <w:p w14:paraId="6BB4F69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3 – Grupos de características usadas pelo sistema</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0D874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CA3979C">
            <w:r>
              <w:rPr>
                <w:rFonts w:ascii="Arial" w:hAnsi="Arial" w:eastAsia="Arial" w:cs="Arial"/>
                <w:b/>
                <w:sz w:val="18"/>
              </w:rPr>
              <w:t>Grupo de características</w:t>
            </w:r>
          </w:p>
        </w:tc>
        <w:tc>
          <w:tcPr>
            <w:tcW w:w="1020" w:type="dxa"/>
          </w:tcPr>
          <w:p w14:paraId="7E541892">
            <w:r>
              <w:rPr>
                <w:rFonts w:ascii="Arial" w:hAnsi="Arial" w:eastAsia="Arial" w:cs="Arial"/>
                <w:b/>
                <w:sz w:val="18"/>
              </w:rPr>
              <w:t>Colunas</w:t>
            </w:r>
          </w:p>
        </w:tc>
        <w:tc>
          <w:tcPr>
            <w:tcW w:w="5669" w:type="dxa"/>
          </w:tcPr>
          <w:p w14:paraId="0D942361">
            <w:r>
              <w:rPr>
                <w:rFonts w:ascii="Arial" w:hAnsi="Arial" w:eastAsia="Arial" w:cs="Arial"/>
                <w:b/>
                <w:sz w:val="18"/>
              </w:rPr>
              <w:t>O que descreve</w:t>
            </w:r>
          </w:p>
        </w:tc>
      </w:tr>
      <w:tr w14:paraId="7B73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2DE21FB6">
            <w:r>
              <w:rPr>
                <w:rFonts w:ascii="Arial" w:hAnsi="Arial" w:eastAsia="Arial" w:cs="Arial"/>
                <w:b w:val="0"/>
                <w:sz w:val="18"/>
              </w:rPr>
              <w:t>Contexto e localização</w:t>
            </w:r>
          </w:p>
        </w:tc>
        <w:tc>
          <w:tcPr>
            <w:tcW w:w="1020" w:type="dxa"/>
          </w:tcPr>
          <w:p w14:paraId="6400AA7E">
            <w:r>
              <w:rPr>
                <w:rFonts w:ascii="Arial" w:hAnsi="Arial" w:eastAsia="Arial" w:cs="Arial"/>
                <w:b w:val="0"/>
                <w:sz w:val="18"/>
              </w:rPr>
              <w:t>4</w:t>
            </w:r>
          </w:p>
        </w:tc>
        <w:tc>
          <w:tcPr>
            <w:tcW w:w="5669" w:type="dxa"/>
          </w:tcPr>
          <w:p w14:paraId="5C11C4EA">
            <w:r>
              <w:rPr>
                <w:rFonts w:ascii="Arial" w:hAnsi="Arial" w:eastAsia="Arial" w:cs="Arial"/>
                <w:b w:val="0"/>
                <w:sz w:val="18"/>
              </w:rPr>
              <w:t>Zona urbana ou rural, localização diferenciada (indígena ou quilombola) e região do estado, oferta de EM fora das séries regulares</w:t>
            </w:r>
          </w:p>
        </w:tc>
      </w:tr>
      <w:tr w14:paraId="26E59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105862B">
            <w:r>
              <w:rPr>
                <w:rFonts w:ascii="Arial" w:hAnsi="Arial" w:eastAsia="Arial" w:cs="Arial"/>
                <w:b w:val="0"/>
                <w:sz w:val="18"/>
              </w:rPr>
              <w:t>Porte e proporções</w:t>
            </w:r>
          </w:p>
        </w:tc>
        <w:tc>
          <w:tcPr>
            <w:tcW w:w="1020" w:type="dxa"/>
          </w:tcPr>
          <w:p w14:paraId="2324A501">
            <w:r>
              <w:rPr>
                <w:rFonts w:ascii="Arial" w:hAnsi="Arial" w:eastAsia="Arial" w:cs="Arial"/>
                <w:b w:val="0"/>
                <w:sz w:val="18"/>
              </w:rPr>
              <w:t>5</w:t>
            </w:r>
          </w:p>
        </w:tc>
        <w:tc>
          <w:tcPr>
            <w:tcW w:w="5669" w:type="dxa"/>
          </w:tcPr>
          <w:p w14:paraId="2355DDBB">
            <w:r>
              <w:rPr>
                <w:rFonts w:ascii="Arial" w:hAnsi="Arial" w:eastAsia="Arial" w:cs="Arial"/>
                <w:b w:val="0"/>
                <w:sz w:val="18"/>
              </w:rPr>
              <w:t>Matrículas no Ensino Médio, alunos por turma, alunos por professor, computadores por aluno e proporção de alunos em tempo integral</w:t>
            </w:r>
          </w:p>
        </w:tc>
      </w:tr>
      <w:tr w14:paraId="23FB9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5974D46">
            <w:r>
              <w:rPr>
                <w:rFonts w:ascii="Arial" w:hAnsi="Arial" w:eastAsia="Arial" w:cs="Arial"/>
                <w:b w:val="0"/>
                <w:sz w:val="18"/>
              </w:rPr>
              <w:t>Infraestrutura</w:t>
            </w:r>
          </w:p>
        </w:tc>
        <w:tc>
          <w:tcPr>
            <w:tcW w:w="1020" w:type="dxa"/>
          </w:tcPr>
          <w:p w14:paraId="30981FC2">
            <w:r>
              <w:rPr>
                <w:rFonts w:ascii="Arial" w:hAnsi="Arial" w:eastAsia="Arial" w:cs="Arial"/>
                <w:b w:val="0"/>
                <w:sz w:val="18"/>
              </w:rPr>
              <w:t>13</w:t>
            </w:r>
          </w:p>
        </w:tc>
        <w:tc>
          <w:tcPr>
            <w:tcW w:w="5669" w:type="dxa"/>
          </w:tcPr>
          <w:p w14:paraId="31500D18">
            <w:r>
              <w:rPr>
                <w:rFonts w:ascii="Arial" w:hAnsi="Arial" w:eastAsia="Arial" w:cs="Arial"/>
                <w:b w:val="0"/>
                <w:sz w:val="18"/>
              </w:rPr>
              <w:t>Água potável, esgoto, biblioteca, laboratórios, quadra, refeitório, sala de leitura, auditório, internet e um índice-resumo</w:t>
            </w:r>
          </w:p>
        </w:tc>
      </w:tr>
      <w:tr w14:paraId="0D108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1002455">
            <w:r>
              <w:rPr>
                <w:rFonts w:ascii="Arial" w:hAnsi="Arial" w:eastAsia="Arial" w:cs="Arial"/>
                <w:b w:val="0"/>
                <w:sz w:val="18"/>
              </w:rPr>
              <w:t>Corpo docente</w:t>
            </w:r>
          </w:p>
        </w:tc>
        <w:tc>
          <w:tcPr>
            <w:tcW w:w="1020" w:type="dxa"/>
          </w:tcPr>
          <w:p w14:paraId="6F69006C">
            <w:r>
              <w:rPr>
                <w:rFonts w:ascii="Arial" w:hAnsi="Arial" w:eastAsia="Arial" w:cs="Arial"/>
                <w:b w:val="0"/>
                <w:sz w:val="18"/>
              </w:rPr>
              <w:t>4</w:t>
            </w:r>
          </w:p>
        </w:tc>
        <w:tc>
          <w:tcPr>
            <w:tcW w:w="5669" w:type="dxa"/>
          </w:tcPr>
          <w:p w14:paraId="31A9DD5B">
            <w:r>
              <w:rPr>
                <w:rFonts w:ascii="Arial" w:hAnsi="Arial" w:eastAsia="Arial" w:cs="Arial"/>
                <w:b w:val="0"/>
                <w:sz w:val="18"/>
              </w:rPr>
              <w:t>Regularidade do corpo docente e adequação da formação dos professores em três faixas</w:t>
            </w:r>
          </w:p>
        </w:tc>
      </w:tr>
      <w:tr w14:paraId="3FB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4BE669C">
            <w:r>
              <w:rPr>
                <w:rFonts w:ascii="Arial" w:hAnsi="Arial" w:eastAsia="Arial" w:cs="Arial"/>
                <w:b w:val="0"/>
                <w:sz w:val="18"/>
              </w:rPr>
              <w:t>Perfil dos alunos</w:t>
            </w:r>
          </w:p>
        </w:tc>
        <w:tc>
          <w:tcPr>
            <w:tcW w:w="1020" w:type="dxa"/>
          </w:tcPr>
          <w:p w14:paraId="5CA87C2C">
            <w:r>
              <w:rPr>
                <w:rFonts w:ascii="Arial" w:hAnsi="Arial" w:eastAsia="Arial" w:cs="Arial"/>
                <w:b w:val="0"/>
                <w:sz w:val="18"/>
              </w:rPr>
              <w:t>5</w:t>
            </w:r>
          </w:p>
        </w:tc>
        <w:tc>
          <w:tcPr>
            <w:tcW w:w="5669" w:type="dxa"/>
          </w:tcPr>
          <w:p w14:paraId="0600E9E9">
            <w:r>
              <w:rPr>
                <w:rFonts w:ascii="Arial" w:hAnsi="Arial" w:eastAsia="Arial" w:cs="Arial"/>
                <w:b w:val="0"/>
                <w:sz w:val="18"/>
              </w:rPr>
              <w:t>Nível socioeconômico médio da escola e defasagem idade-série, no total e por série</w:t>
            </w:r>
          </w:p>
        </w:tc>
      </w:tr>
      <w:tr w14:paraId="64FC5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E5764E3">
            <w:r>
              <w:rPr>
                <w:rFonts w:ascii="Arial" w:hAnsi="Arial" w:eastAsia="Arial" w:cs="Arial"/>
                <w:b w:val="0"/>
                <w:sz w:val="18"/>
              </w:rPr>
              <w:t>Histórico de rendimento</w:t>
            </w:r>
          </w:p>
        </w:tc>
        <w:tc>
          <w:tcPr>
            <w:tcW w:w="1020" w:type="dxa"/>
          </w:tcPr>
          <w:p w14:paraId="062BA96F">
            <w:r>
              <w:rPr>
                <w:rFonts w:ascii="Arial" w:hAnsi="Arial" w:eastAsia="Arial" w:cs="Arial"/>
                <w:b w:val="0"/>
                <w:sz w:val="18"/>
              </w:rPr>
              <w:t>8</w:t>
            </w:r>
          </w:p>
        </w:tc>
        <w:tc>
          <w:tcPr>
            <w:tcW w:w="5669" w:type="dxa"/>
          </w:tcPr>
          <w:p w14:paraId="0682146D">
            <w:r>
              <w:rPr>
                <w:rFonts w:ascii="Arial" w:hAnsi="Arial" w:eastAsia="Arial" w:cs="Arial"/>
                <w:b w:val="0"/>
                <w:sz w:val="18"/>
              </w:rPr>
              <w:t>Taxas de abandono e de reprovação do próprio ano, no total e por série</w:t>
            </w:r>
          </w:p>
        </w:tc>
      </w:tr>
      <w:tr w14:paraId="6AE46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4E34A716">
            <w:r>
              <w:rPr>
                <w:rFonts w:ascii="Arial" w:hAnsi="Arial" w:eastAsia="Arial" w:cs="Arial"/>
                <w:b w:val="0"/>
                <w:sz w:val="18"/>
              </w:rPr>
              <w:t>Total</w:t>
            </w:r>
          </w:p>
        </w:tc>
        <w:tc>
          <w:tcPr>
            <w:tcW w:w="1020" w:type="dxa"/>
          </w:tcPr>
          <w:p w14:paraId="7B874EF3">
            <w:r>
              <w:rPr>
                <w:rFonts w:ascii="Arial" w:hAnsi="Arial" w:eastAsia="Arial" w:cs="Arial"/>
                <w:b w:val="0"/>
                <w:sz w:val="18"/>
              </w:rPr>
              <w:t>39</w:t>
            </w:r>
          </w:p>
        </w:tc>
        <w:tc>
          <w:tcPr>
            <w:tcW w:w="5669" w:type="dxa"/>
          </w:tcPr>
          <w:p w14:paraId="2A7FF9B1">
            <w:r>
              <w:rPr>
                <w:rFonts w:ascii="Arial" w:hAnsi="Arial" w:eastAsia="Arial" w:cs="Arial"/>
                <w:b w:val="0"/>
                <w:sz w:val="18"/>
              </w:rPr>
              <w:t>—</w:t>
            </w:r>
          </w:p>
        </w:tc>
      </w:tr>
    </w:tbl>
    <w:p w14:paraId="0182B6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614D3A">
      <w:pPr>
        <w:pStyle w:val="3"/>
        <w:ind w:firstLine="0"/>
        <w:rPr>
          <w:color w:val="2E75B5"/>
        </w:rPr>
      </w:pPr>
      <w:r>
        <w:rPr>
          <w:rFonts w:ascii="Arial" w:hAnsi="Arial" w:eastAsia="Arial" w:cs="Arial"/>
          <w:b w:val="0"/>
        </w:rPr>
        <w:t>Três critérios guiaram os cortes. O primeiro elimina informação repetida: o número de turmas e o de professores acompanham quase perfeitamente o de matrículas, e manter os três apenas confunde o sistema. O segundo elimina informação que é consequência aritmética de outra: a taxa de aprovação é o que sobra depois da reprovação e do abandono, e fornecê-la seria entregar a resposta antecipadamente. O terceiro elimina colunas ausentes na maior parte das escolas, como as taxas de séries oferecidas por poucas unidades. As ausências restantes foram preenchidas pela média das escolas da mesma região no mesmo ano, e o conjunto final não tem lacunas.</w:t>
      </w:r>
    </w:p>
    <w:p w14:paraId="13525CC5">
      <w:pPr>
        <w:pStyle w:val="3"/>
        <w:ind w:firstLine="0"/>
        <w:rPr>
          <w:color w:val="2E75B5"/>
        </w:rPr>
      </w:pPr>
      <w:r>
        <w:rPr>
          <w:rFonts w:ascii="Arial" w:hAnsi="Arial" w:eastAsia="Arial" w:cs="Arial"/>
          <w:b w:val="0"/>
        </w:rPr>
        <w:t>A análise estatística de cada uma das 39 características, que sustenta esses critérios e responde quais delas têm de fato valor para a previsão, está no Capítulo 6.</w:t>
      </w:r>
    </w:p>
    <w:p w14:paraId="4D9103D1">
      <w:pPr>
        <w:pStyle w:val="5"/>
        <w:numPr>
          <w:ilvl w:val="2"/>
          <w:numId w:val="1"/>
        </w:numPr>
      </w:pPr>
      <w:bookmarkStart w:id="22" w:name="_Toc27010"/>
      <w:r>
        <w:rPr>
          <w:rFonts w:ascii="Arial" w:hAnsi="Arial" w:eastAsia="Arial" w:cs="Arial"/>
          <w:b w:val="0"/>
        </w:rPr>
        <w:t>Construção e Ajuste do Modelo de Previsão</w:t>
      </w:r>
      <w:bookmarkEnd w:id="22"/>
    </w:p>
    <w:p w14:paraId="234DC940">
      <w:pPr>
        <w:pStyle w:val="3"/>
        <w:ind w:firstLine="0"/>
        <w:rPr>
          <w:color w:val="2E75B5"/>
        </w:rPr>
      </w:pPr>
      <w:r>
        <w:rPr>
          <w:rFonts w:ascii="Arial" w:hAnsi="Arial" w:eastAsia="Arial" w:cs="Arial"/>
          <w:b w:val="0"/>
        </w:rPr>
        <w:t>A quarta fase construiu o modelo. Antes do modelo principal, dois modelos de referência foram avaliados — um linear e um baseado em árvores de decisão —, além do piso trivial, que responde sempre a média da rede. Sem essa comparação não haveria como afirmar que o sistema agrega valor.</w:t>
      </w:r>
    </w:p>
    <w:p w14:paraId="03B6A986">
      <w:pPr>
        <w:pStyle w:val="3"/>
        <w:ind w:firstLine="0"/>
        <w:rPr>
          <w:color w:val="2E75B5"/>
        </w:rPr>
      </w:pPr>
      <w:r>
        <w:rPr>
          <w:rFonts w:ascii="Arial" w:hAnsi="Arial" w:eastAsia="Arial" w:cs="Arial"/>
          <w:b w:val="0"/>
        </w:rPr>
        <w:t>O preparo das características é o mesmo para todos os modelos: preenchimento das ausências, padronização de escala e conversão da região do estado em indicadores próprios. Manter o preparo idêntico é o que torna a comparação justa.</w:t>
      </w:r>
    </w:p>
    <w:p w14:paraId="09C379F4">
      <w:pPr>
        <w:pStyle w:val="3"/>
        <w:ind w:firstLine="0"/>
        <w:rPr>
          <w:color w:val="2E75B5"/>
        </w:rPr>
      </w:pPr>
      <w:r>
        <w:rPr>
          <w:rFonts w:ascii="Arial" w:hAnsi="Arial" w:eastAsia="Arial" w:cs="Arial"/>
          <w:b w:val="0"/>
        </w:rPr>
        <w:t>O modelo principal teve sua configuração escolhida por busca sistemática, avaliando 48 combinações sob o mesmo protocolo de validação. A configuração vencedora é deliberadamente contida — árvores rasas, aprendizado lento e forte penalização de complexidade —, coerente com uma base de treino de menos de 800 observações. O modelo final é gravado em disco e carregado pelo painel; treino e uso são etapas separadas.</w:t>
      </w:r>
    </w:p>
    <w:p w14:paraId="5B1CFE5A">
      <w:pPr>
        <w:pStyle w:val="5"/>
        <w:numPr>
          <w:ilvl w:val="2"/>
          <w:numId w:val="1"/>
        </w:numPr>
      </w:pPr>
      <w:bookmarkStart w:id="23" w:name="_Toc31313"/>
      <w:r>
        <w:rPr>
          <w:rFonts w:ascii="Arial" w:hAnsi="Arial" w:eastAsia="Arial" w:cs="Arial"/>
          <w:b w:val="0"/>
        </w:rPr>
        <w:t>Explicação das Previsões</w:t>
      </w:r>
      <w:bookmarkEnd w:id="23"/>
    </w:p>
    <w:p w14:paraId="4B57B7E6">
      <w:pPr>
        <w:pStyle w:val="3"/>
        <w:ind w:firstLine="0"/>
        <w:rPr>
          <w:color w:val="2E75B5"/>
        </w:rPr>
      </w:pPr>
      <w:r>
        <w:rPr>
          <w:rFonts w:ascii="Arial" w:hAnsi="Arial" w:eastAsia="Arial" w:cs="Arial"/>
          <w:b w:val="0"/>
        </w:rPr>
        <w:t>A quinta fase tornou cada previsão explicável. Sobre o modelo gravado monta-se um explicador que decompõe a previsão de cada escola na contribuição de cada característica, com magnitude e direção. A mesma fase produziu a análise dos erros do modelo por grupo de escolas, que revelou um viés relevante, discutido no Capítulo 6. A consistência da decomposição — a soma das contribuições precisa reproduzir a previsão — é verificada por teste automatizado.</w:t>
      </w:r>
    </w:p>
    <w:p w14:paraId="3DF04341">
      <w:pPr>
        <w:pStyle w:val="5"/>
        <w:numPr>
          <w:ilvl w:val="2"/>
          <w:numId w:val="1"/>
        </w:numPr>
      </w:pPr>
      <w:bookmarkStart w:id="24" w:name="_Toc14"/>
      <w:r>
        <w:rPr>
          <w:rFonts w:ascii="Arial" w:hAnsi="Arial" w:eastAsia="Arial" w:cs="Arial"/>
          <w:b w:val="0"/>
        </w:rPr>
        <w:t>Construção do Painel de Priorização</w:t>
      </w:r>
      <w:bookmarkEnd w:id="24"/>
    </w:p>
    <w:p w14:paraId="3489782F">
      <w:pPr>
        <w:pStyle w:val="3"/>
        <w:ind w:firstLine="0"/>
        <w:rPr>
          <w:color w:val="2E75B5"/>
        </w:rPr>
      </w:pPr>
      <w:r>
        <w:rPr>
          <w:rFonts w:ascii="Arial" w:hAnsi="Arial" w:eastAsia="Arial" w:cs="Arial"/>
          <w:b w:val="0"/>
        </w:rPr>
        <w:t>A sexta fase entregou o painel. A regra de negócio ficou isolada em uma camada própria: um módulo carrega o modelo e as características, calcula a lista de risco do ano, gera a explicação de cada escola e classifica os erros em alerta ou resiliência; outro traduz os nomes técnicos das colunas para linguagem de gestor. A interface apenas apresenta esses resultados. Essa separação segue o mesmo princípio das demais camadas: a regra é testável sem a tela.</w:t>
      </w:r>
    </w:p>
    <w:p w14:paraId="23EA995E">
      <w:pPr>
        <w:pStyle w:val="3"/>
        <w:ind w:firstLine="0"/>
        <w:rPr>
          <w:color w:val="2E75B5"/>
        </w:rPr>
      </w:pPr>
      <w:r>
        <w:rPr>
          <w:rFonts w:ascii="Arial" w:hAnsi="Arial" w:eastAsia="Arial" w:cs="Arial"/>
          <w:b w:val="0"/>
        </w:rPr>
        <w:t>O escopo do painel foi definido como apoio à decisão — priorizar escolas e explicar o porquê —, e não como recomendação automática de ações. A razão é metodológica: o sistema identifica associações, não causas. Sugerir a intervenção específica exigiria evidência de causalidade que os dados não sustentam. O painel mostra onde olhar primeiro e por quê; a decisão de como agir permanece com o gestor.</w:t>
      </w:r>
    </w:p>
    <w:p w14:paraId="7820F8BC">
      <w:pPr>
        <w:pStyle w:val="4"/>
        <w:numPr>
          <w:ilvl w:val="1"/>
          <w:numId w:val="1"/>
        </w:numPr>
      </w:pPr>
      <w:bookmarkStart w:id="25" w:name="_Toc24206"/>
      <w:r>
        <w:rPr>
          <w:rFonts w:ascii="Arial" w:hAnsi="Arial" w:eastAsia="Arial" w:cs="Arial"/>
          <w:b w:val="0"/>
        </w:rPr>
        <w:t>Práticas de Engenharia de Software</w:t>
      </w:r>
      <w:bookmarkEnd w:id="25"/>
    </w:p>
    <w:p w14:paraId="6ED16352">
      <w:pPr>
        <w:pStyle w:val="3"/>
        <w:ind w:firstLine="0"/>
        <w:rPr>
          <w:color w:val="2E75B5"/>
        </w:rPr>
      </w:pPr>
      <w:r>
        <w:rPr>
          <w:rFonts w:ascii="Arial" w:hAnsi="Arial" w:eastAsia="Arial" w:cs="Arial"/>
          <w:b w:val="0"/>
        </w:rPr>
        <w:t>Ao longo de todas as fases foram aplicadas práticas que sustentam a qualidade e a reprodutibilidade do sistema:</w:t>
      </w:r>
    </w:p>
    <w:p w14:paraId="257A3052">
      <w:pPr>
        <w:pStyle w:val="3"/>
        <w:ind w:firstLine="0"/>
        <w:rPr>
          <w:color w:val="2E75B5"/>
        </w:rPr>
      </w:pPr>
      <w:r>
        <w:rPr>
          <w:rFonts w:ascii="Arial" w:hAnsi="Arial" w:eastAsia="Arial" w:cs="Arial"/>
          <w:b w:val="0"/>
        </w:rPr>
        <w:t>a) Arquitetura em camadas: o código de produção é organizado em pacotes de responsabilidade única, com dependências em sentido único e sem ciclos. Cada camada pode ser testada e reexecutada isoladamente;</w:t>
      </w:r>
    </w:p>
    <w:p w14:paraId="173C94C5">
      <w:pPr>
        <w:pStyle w:val="3"/>
        <w:ind w:firstLine="0"/>
        <w:rPr>
          <w:color w:val="2E75B5"/>
        </w:rPr>
      </w:pPr>
      <w:r>
        <w:rPr>
          <w:rFonts w:ascii="Arial" w:hAnsi="Arial" w:eastAsia="Arial" w:cs="Arial"/>
          <w:b w:val="0"/>
        </w:rPr>
        <w:t>b) Testes automatizados: a suíte tem 98 testes e roda por inteiro a cada alteração. Ela cobre os filtros do universo, a integridade da base histórica, a leitura das planilhas do INEP, o casamento no tempo entre as características e o abandono, a ausência de vazamento entre treino e teste, a consistência das explicações e a ordenação da lista;</w:t>
      </w:r>
    </w:p>
    <w:p w14:paraId="6E7F5060">
      <w:pPr>
        <w:pStyle w:val="3"/>
        <w:ind w:firstLine="0"/>
        <w:rPr>
          <w:color w:val="2E75B5"/>
        </w:rPr>
      </w:pPr>
      <w:r>
        <w:rPr>
          <w:rFonts w:ascii="Arial" w:hAnsi="Arial" w:eastAsia="Arial" w:cs="Arial"/>
          <w:b w:val="0"/>
        </w:rPr>
        <w:t>c) Configuração centralizada: caminhos, anos de referência e constantes ficam em um único módulo, o que elimina duplicação e facilita executar o sistema em outro ambiente;</w:t>
      </w:r>
    </w:p>
    <w:p w14:paraId="427E8FCA">
      <w:pPr>
        <w:pStyle w:val="3"/>
        <w:ind w:firstLine="0"/>
        <w:rPr>
          <w:color w:val="2E75B5"/>
        </w:rPr>
      </w:pPr>
      <w:r>
        <w:rPr>
          <w:rFonts w:ascii="Arial" w:hAnsi="Arial" w:eastAsia="Arial" w:cs="Arial"/>
          <w:b w:val="0"/>
        </w:rPr>
        <w:t>d) Reprodutibilidade: o ambiente é isolado e as versões das bibliotecas são fixadas. Os dados intermediários são gravados em disco, o que permite retomar qualquer etapa;</w:t>
      </w:r>
    </w:p>
    <w:p w14:paraId="2B0D4DB5">
      <w:pPr>
        <w:pStyle w:val="2"/>
        <w:numPr>
          <w:ilvl w:val="0"/>
          <w:numId w:val="1"/>
        </w:numPr>
        <w:rPr>
          <w:color w:val="000000"/>
        </w:rPr>
      </w:pPr>
      <w:bookmarkStart w:id="26" w:name="_Toc27480"/>
      <w:r>
        <w:rPr>
          <w:rFonts w:ascii="Arial" w:hAnsi="Arial" w:eastAsia="Arial" w:cs="Arial"/>
          <w:b w:val="0"/>
        </w:rPr>
        <w:t>Arquitetura do Software</w:t>
      </w:r>
      <w:bookmarkEnd w:id="26"/>
    </w:p>
    <w:p w14:paraId="527CA8A8">
      <w:pPr>
        <w:pStyle w:val="4"/>
        <w:numPr>
          <w:ilvl w:val="1"/>
          <w:numId w:val="1"/>
        </w:numPr>
      </w:pPr>
      <w:bookmarkStart w:id="27" w:name="_Toc9675"/>
      <w:r>
        <w:rPr>
          <w:rFonts w:ascii="Arial" w:hAnsi="Arial" w:eastAsia="Arial" w:cs="Arial"/>
          <w:b w:val="0"/>
        </w:rPr>
        <w:t>Aspectos Funcionais e Não-Funcionais</w:t>
      </w:r>
      <w:bookmarkEnd w:id="27"/>
    </w:p>
    <w:p w14:paraId="64789B48">
      <w:pPr>
        <w:pStyle w:val="3"/>
        <w:ind w:firstLine="0"/>
        <w:rPr>
          <w:color w:val="2E75B5"/>
        </w:rPr>
      </w:pPr>
      <w:r>
        <w:rPr>
          <w:rFonts w:ascii="Arial" w:hAnsi="Arial" w:eastAsia="Arial" w:cs="Arial"/>
          <w:b w:val="0"/>
        </w:rPr>
        <w:t>Os requisitos funcionais decorrem diretamente do usuário-alvo, o gestor da Secretaria. O caso de uso central é consultar a lista de risco das escolas para o ano seguinte. A ele somam-se consultar a explicação individual de cada escola e inspecionar o diagnóstico que sinaliza escolas cujo abandono observado diverge do previsto pelo seu perfil. Um segundo ator, o analista responsável pela manutenção, responde por executar o fluxo de dados e por treinar ou atualizar o modelo. O INEP figura como ator de apoio, fornecedor dos dados.</w:t>
      </w:r>
    </w:p>
    <w:p w14:paraId="73A8D7E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 – Diagrama de casos de uso do sistema</w:t>
      </w:r>
    </w:p>
    <w:p w14:paraId="585FB65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507740"/>
            <wp:effectExtent l="0" t="0" r="825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07827"/>
                    </a:xfrm>
                    <a:prstGeom prst="rect">
                      <a:avLst/>
                    </a:prstGeom>
                  </pic:spPr>
                </pic:pic>
              </a:graphicData>
            </a:graphic>
          </wp:inline>
        </w:drawing>
      </w:r>
    </w:p>
    <w:p w14:paraId="2A9F9A2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AE3A35">
      <w:pPr>
        <w:pStyle w:val="3"/>
        <w:ind w:firstLine="0"/>
        <w:rPr>
          <w:color w:val="2E75B5"/>
        </w:rPr>
      </w:pPr>
      <w:r>
        <w:rPr>
          <w:rFonts w:ascii="Arial" w:hAnsi="Arial" w:eastAsia="Arial" w:cs="Arial"/>
          <w:b w:val="0"/>
        </w:rPr>
        <w:t>Entre os requisitos não funcionais destacam-se cinco. Reprodutibilidade: qualquer resultado deve ser reconstruível a partir dos dados originais, que permanecem imutáveis. Explicabilidade: o sistema precisa justificar cada indicação de prioridade — requisito que descartou alternativas de melhor desempenho bruto e menor transparência. Ausência de vazamento: a validação deve respeitar a ordem do tempo e a proximidade geográfica, sob pena de produzir números otimistas e falsos. Testabilidade: cada módulo é coberto por testes automatizados. Portabilidade: a aplicação deve ser empacotável para implantação sem depender da máquina de desenvolvimento.</w:t>
      </w:r>
    </w:p>
    <w:p w14:paraId="64DEEBC7">
      <w:pPr>
        <w:pStyle w:val="4"/>
        <w:numPr>
          <w:ilvl w:val="1"/>
          <w:numId w:val="1"/>
        </w:numPr>
      </w:pPr>
      <w:bookmarkStart w:id="28" w:name="_Toc1777"/>
      <w:r>
        <w:rPr>
          <w:rFonts w:ascii="Arial" w:hAnsi="Arial" w:eastAsia="Arial" w:cs="Arial"/>
          <w:b w:val="0"/>
        </w:rPr>
        <w:t>Visão Estrutural</w:t>
      </w:r>
      <w:bookmarkEnd w:id="28"/>
    </w:p>
    <w:p w14:paraId="3FBA00E5">
      <w:pPr>
        <w:pStyle w:val="3"/>
        <w:ind w:firstLine="0"/>
        <w:rPr>
          <w:color w:val="2E75B5"/>
        </w:rPr>
      </w:pPr>
      <w:r>
        <w:rPr>
          <w:rFonts w:ascii="Arial" w:hAnsi="Arial" w:eastAsia="Arial" w:cs="Arial"/>
          <w:b w:val="0"/>
        </w:rPr>
        <w:t>A visão estrutural é apresentada em dois níveis. No nível do código-fonte, o diagrama de pacotes mostra dependências em sentido único, sem ciclos: a camada de características depende da camada de dados; a camada de modelo depende da de características; a camada do painel depende da de modelo. A configuração é transversal a todas. Os scripts de análise e os testes consomem as camadas de produção, e nenhuma camada de produção depende deles. É essa orientação acíclica que permite testar e reexecutar cada camada isoladamente.</w:t>
      </w:r>
    </w:p>
    <w:p w14:paraId="1C6C9CA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3 – Diagrama de pacotes</w:t>
      </w:r>
    </w:p>
    <w:p w14:paraId="5352834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4164330"/>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4164856"/>
                    </a:xfrm>
                    <a:prstGeom prst="rect">
                      <a:avLst/>
                    </a:prstGeom>
                  </pic:spPr>
                </pic:pic>
              </a:graphicData>
            </a:graphic>
          </wp:inline>
        </w:drawing>
      </w:r>
    </w:p>
    <w:p w14:paraId="6056751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47EA2A2">
      <w:pPr>
        <w:pStyle w:val="3"/>
        <w:ind w:firstLine="0"/>
        <w:rPr>
          <w:color w:val="2E75B5"/>
        </w:rPr>
      </w:pPr>
      <w:r>
        <w:rPr>
          <w:rFonts w:ascii="Arial" w:hAnsi="Arial" w:eastAsia="Arial" w:cs="Arial"/>
          <w:b w:val="0"/>
        </w:rPr>
        <w:t>No nível de execução, o diagrama de componentes mostra o fluxo que os conecta. O componente de leitura consome os dados originais do INEP e grava produtos intermediários padronizados. O componente de preparação os consome e materializa o conjunto final. O componente de modelo treina, avalia e grava o modelo. Os componentes de explicação e de painel carregam o modelo gravado. A comunicação entre componentes se dá sempre por arquivos em disco, e não por chamadas diretas — um acoplamento fraco que permite retomar o fluxo a partir de qualquer etapa.</w:t>
      </w:r>
    </w:p>
    <w:p w14:paraId="7971482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4 – Diagrama de componentes e fluxo de dados</w:t>
      </w:r>
    </w:p>
    <w:p w14:paraId="6F0623F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41249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412844"/>
                    </a:xfrm>
                    <a:prstGeom prst="rect">
                      <a:avLst/>
                    </a:prstGeom>
                  </pic:spPr>
                </pic:pic>
              </a:graphicData>
            </a:graphic>
          </wp:inline>
        </w:drawing>
      </w:r>
    </w:p>
    <w:p w14:paraId="7E1686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5639F6B">
      <w:pPr>
        <w:pStyle w:val="4"/>
        <w:numPr>
          <w:ilvl w:val="1"/>
          <w:numId w:val="1"/>
        </w:numPr>
      </w:pPr>
      <w:bookmarkStart w:id="29" w:name="_Toc22830"/>
      <w:r>
        <w:rPr>
          <w:rFonts w:ascii="Arial" w:hAnsi="Arial" w:eastAsia="Arial" w:cs="Arial"/>
          <w:b w:val="0"/>
        </w:rPr>
        <w:t>Visão Comportamental</w:t>
      </w:r>
      <w:bookmarkEnd w:id="29"/>
    </w:p>
    <w:p w14:paraId="4A1FCB21">
      <w:pPr>
        <w:pStyle w:val="3"/>
        <w:ind w:firstLine="0"/>
        <w:rPr>
          <w:color w:val="2E75B5"/>
        </w:rPr>
      </w:pPr>
      <w:r>
        <w:rPr>
          <w:rFonts w:ascii="Arial" w:hAnsi="Arial" w:eastAsia="Arial" w:cs="Arial"/>
          <w:b w:val="0"/>
        </w:rPr>
        <w:t>A visão comportamental descreve a ordem de execução, da aquisição dos dados à entrega da lista. O fluxo é essencialmente sequencial, refletindo as dependências entre as etapas: a carga precede a filtragem; a filtragem precede a montagem da base histórica; sobre ela integram-se os indicadores complementares; em seguida constroem-se as características do ano corrente associadas ao abandono do ano seguinte; a etapa de modelo treina, avalia e grava; a de explicação decompõe as previsões; e a final serve a lista ao gestor. Cada atividade corresponde a um módulo testável e termina produzindo um artefato verificável.</w:t>
      </w:r>
    </w:p>
    <w:p w14:paraId="3247885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5 – Diagrama de atividades do fluxo de execução</w:t>
      </w:r>
    </w:p>
    <w:p w14:paraId="4E29736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9425305"/>
            <wp:effectExtent l="0" t="0" r="825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9425784"/>
                    </a:xfrm>
                    <a:prstGeom prst="rect">
                      <a:avLst/>
                    </a:prstGeom>
                  </pic:spPr>
                </pic:pic>
              </a:graphicData>
            </a:graphic>
          </wp:inline>
        </w:drawing>
      </w:r>
    </w:p>
    <w:p w14:paraId="78AB37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3685DF3">
      <w:pPr>
        <w:pStyle w:val="4"/>
        <w:numPr>
          <w:ilvl w:val="1"/>
          <w:numId w:val="1"/>
        </w:numPr>
      </w:pPr>
      <w:bookmarkStart w:id="30" w:name="_Toc19418"/>
      <w:r>
        <w:rPr>
          <w:rFonts w:ascii="Arial" w:hAnsi="Arial" w:eastAsia="Arial" w:cs="Arial"/>
          <w:b w:val="0"/>
        </w:rPr>
        <w:t>Visão de Implementação e Implantação</w:t>
      </w:r>
      <w:bookmarkEnd w:id="30"/>
    </w:p>
    <w:p w14:paraId="2F236A7E">
      <w:pPr>
        <w:pStyle w:val="3"/>
        <w:ind w:firstLine="0"/>
        <w:rPr>
          <w:color w:val="2E75B5"/>
        </w:rPr>
      </w:pPr>
      <w:r>
        <w:rPr>
          <w:rFonts w:ascii="Arial" w:hAnsi="Arial" w:eastAsia="Arial" w:cs="Arial"/>
          <w:b w:val="0"/>
        </w:rPr>
        <w:t>No ambiente atual, todo o sistema executa em uma única estação de desenvolvimento, sobre um ambiente isolado. Os dados, nos três estágios, e os modelos gravados ficam no sistema de arquivos local. O painel já roda como aplicação web local, acessada pelo navegador. Para a implantação definitiva, prevê-se empacotar a aplicação e o modelo em contêiner, o que elimina a dependência da máquina de desenvolvimento e atende ao requisito de portabilidade. A separação entre o ambiente de treino, que produz o modelo, e o de execução, que apenas o carrega, é deliberada: permite atualizar o modelo sem tocar na aplicação, e vice-versa.</w:t>
      </w:r>
    </w:p>
    <w:p w14:paraId="11B5C4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6 – Diagrama de implantação</w:t>
      </w:r>
    </w:p>
    <w:p w14:paraId="7AD0F8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3832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383712"/>
                    </a:xfrm>
                    <a:prstGeom prst="rect">
                      <a:avLst/>
                    </a:prstGeom>
                  </pic:spPr>
                </pic:pic>
              </a:graphicData>
            </a:graphic>
          </wp:inline>
        </w:drawing>
      </w:r>
    </w:p>
    <w:p w14:paraId="3D0D49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61AA146">
      <w:pPr>
        <w:pStyle w:val="2"/>
        <w:numPr>
          <w:ilvl w:val="0"/>
          <w:numId w:val="1"/>
        </w:numPr>
        <w:rPr>
          <w:color w:val="000000"/>
        </w:rPr>
      </w:pPr>
      <w:bookmarkStart w:id="31" w:name="_Toc6244"/>
      <w:r>
        <w:rPr>
          <w:rFonts w:ascii="Arial" w:hAnsi="Arial" w:eastAsia="Arial" w:cs="Arial"/>
          <w:b w:val="0"/>
        </w:rPr>
        <w:t>Tecnologias e Aspectos de Implementação</w:t>
      </w:r>
      <w:bookmarkEnd w:id="31"/>
    </w:p>
    <w:p w14:paraId="6E080A24">
      <w:pPr>
        <w:pStyle w:val="4"/>
        <w:numPr>
          <w:ilvl w:val="1"/>
          <w:numId w:val="1"/>
        </w:numPr>
      </w:pPr>
      <w:bookmarkStart w:id="32" w:name="_Toc25352"/>
      <w:r>
        <w:rPr>
          <w:rFonts w:ascii="Arial" w:hAnsi="Arial" w:eastAsia="Arial" w:cs="Arial"/>
          <w:b w:val="0"/>
        </w:rPr>
        <w:t>Soluções de Tecnologia</w:t>
      </w:r>
      <w:bookmarkEnd w:id="32"/>
    </w:p>
    <w:p w14:paraId="6A26D98C">
      <w:pPr>
        <w:pStyle w:val="3"/>
        <w:ind w:firstLine="0"/>
        <w:rPr>
          <w:color w:val="2E75B5"/>
        </w:rPr>
      </w:pPr>
      <w:r>
        <w:rPr>
          <w:rFonts w:ascii="Arial" w:hAnsi="Arial" w:eastAsia="Arial" w:cs="Arial"/>
          <w:b w:val="0"/>
        </w:rPr>
        <w:t>A linguagem base é o Python, escolhida pela maturidade do ecossistema de bibliotecas necessárias ao projeto. O tratamento e a limpeza dos dados usam as bibliotecas pandas e numpy; a leitura das planilhas do INEP usa o openpyxl.</w:t>
      </w:r>
    </w:p>
    <w:p w14:paraId="1615CA9A">
      <w:pPr>
        <w:pStyle w:val="3"/>
        <w:ind w:firstLine="0"/>
        <w:rPr>
          <w:color w:val="2E75B5"/>
        </w:rPr>
      </w:pPr>
      <w:r>
        <w:rPr>
          <w:rFonts w:ascii="Arial" w:hAnsi="Arial" w:eastAsia="Arial" w:cs="Arial"/>
          <w:b w:val="0"/>
        </w:rPr>
        <w:t>A construção do modelo usa o scikit-learn e o XGBoost. O scikit-learn fornece o preparo das características, os modelos de referência, a busca de configuração e os protocolos de validação. O XGBoost fornece o modelo principal. Os modelos treinados são gravados em disco com o joblib.</w:t>
      </w:r>
    </w:p>
    <w:p w14:paraId="3A0590A9">
      <w:pPr>
        <w:pStyle w:val="3"/>
        <w:ind w:firstLine="0"/>
        <w:rPr>
          <w:color w:val="2E75B5"/>
        </w:rPr>
      </w:pPr>
      <w:r>
        <w:rPr>
          <w:rFonts w:ascii="Arial" w:hAnsi="Arial" w:eastAsia="Arial" w:cs="Arial"/>
          <w:b w:val="0"/>
        </w:rPr>
        <w:t>A explicação das previsões usa a biblioteca SHAP, otimizada para modelos baseados em árvores. As figuras são geradas com matplotlib. O painel usa Streamlit para a interface e plotly para os gráficos. Os dados intermediários são gravados em Parquet, formato compacto e de leitura rápida.</w:t>
      </w:r>
    </w:p>
    <w:p w14:paraId="3DBD3AA4">
      <w:pPr>
        <w:pStyle w:val="3"/>
        <w:ind w:firstLine="0"/>
        <w:rPr>
          <w:color w:val="2E75B5"/>
        </w:rPr>
      </w:pPr>
      <w:r>
        <w:rPr>
          <w:rFonts w:ascii="Arial" w:hAnsi="Arial" w:eastAsia="Arial" w:cs="Arial"/>
          <w:b w:val="0"/>
        </w:rPr>
        <w:t>A qualidade do código é sustentada pelo pytest, que executa a suíte de testes. As versões das dependências ficam fixadas em um arquivo próprio, dentro de um ambiente isolado.</w:t>
      </w:r>
    </w:p>
    <w:p w14:paraId="1D34ACF5">
      <w:pPr>
        <w:pStyle w:val="4"/>
        <w:numPr>
          <w:ilvl w:val="1"/>
          <w:numId w:val="1"/>
        </w:numPr>
      </w:pPr>
      <w:bookmarkStart w:id="33" w:name="_Toc22658"/>
      <w:r>
        <w:rPr>
          <w:rFonts w:ascii="Arial" w:hAnsi="Arial" w:eastAsia="Arial" w:cs="Arial"/>
          <w:b w:val="0"/>
        </w:rPr>
        <w:t>Aspectos de Implementação</w:t>
      </w:r>
      <w:bookmarkEnd w:id="33"/>
    </w:p>
    <w:p w14:paraId="1D664FD8">
      <w:pPr>
        <w:pStyle w:val="5"/>
        <w:numPr>
          <w:ilvl w:val="2"/>
          <w:numId w:val="1"/>
        </w:numPr>
      </w:pPr>
      <w:bookmarkStart w:id="34" w:name="_Toc1366"/>
      <w:r>
        <w:rPr>
          <w:rFonts w:ascii="Arial" w:hAnsi="Arial" w:eastAsia="Arial" w:cs="Arial"/>
          <w:b w:val="0"/>
        </w:rPr>
        <w:t>Estrutura do Código</w:t>
      </w:r>
      <w:bookmarkEnd w:id="34"/>
    </w:p>
    <w:p w14:paraId="5F719458">
      <w:pPr>
        <w:pStyle w:val="3"/>
        <w:ind w:firstLine="0"/>
        <w:rPr>
          <w:color w:val="2E75B5"/>
        </w:rPr>
      </w:pPr>
      <w:r>
        <w:rPr>
          <w:rFonts w:ascii="Arial" w:hAnsi="Arial" w:eastAsia="Arial" w:cs="Arial"/>
          <w:b w:val="0"/>
        </w:rPr>
        <w:t>A implementação separa o código de produção do código de análise. Os módulos reaproveitáveis ficam no pacote src, em quatro camadas: aquisição e preparação de dados (src.data), construção das características usadas na previsão (src.features), modelo e explicação (src.models) e serviço do painel (src.recommend). Uma camada transversal de configuração centraliza caminhos e constantes. Os scripts de análise ficam em notebooks e a aplicação em app.</w:t>
      </w:r>
    </w:p>
    <w:p w14:paraId="0DB58165">
      <w:pPr>
        <w:pStyle w:val="5"/>
        <w:numPr>
          <w:ilvl w:val="2"/>
          <w:numId w:val="1"/>
        </w:numPr>
      </w:pPr>
      <w:bookmarkStart w:id="35" w:name="_Toc28356"/>
      <w:r>
        <w:rPr>
          <w:rFonts w:ascii="Arial" w:hAnsi="Arial" w:eastAsia="Arial" w:cs="Arial"/>
          <w:b w:val="0"/>
        </w:rPr>
        <w:t>Fluxo dos Dados</w:t>
      </w:r>
      <w:bookmarkEnd w:id="35"/>
    </w:p>
    <w:p w14:paraId="067CFA9E">
      <w:pPr>
        <w:pStyle w:val="3"/>
        <w:ind w:firstLine="0"/>
        <w:rPr>
          <w:color w:val="2E75B5"/>
        </w:rPr>
      </w:pPr>
      <w:r>
        <w:rPr>
          <w:rFonts w:ascii="Arial" w:hAnsi="Arial" w:eastAsia="Arial" w:cs="Arial"/>
          <w:b w:val="0"/>
        </w:rPr>
        <w:t>Os dados percorrem três estágios: originais, intermediários e finais. Os arquivos originais do INEP permanecem imutáveis. Cada etapa lê o artefato da etapa anterior e grava o seu, sempre em disco. Esse acoplamento fraco permite reexecutar qualquer etapa isoladamente, sem repetir o fluxo inteiro.</w:t>
      </w:r>
    </w:p>
    <w:p w14:paraId="79BA5652">
      <w:pPr>
        <w:pStyle w:val="5"/>
        <w:numPr>
          <w:ilvl w:val="2"/>
          <w:numId w:val="1"/>
        </w:numPr>
      </w:pPr>
      <w:bookmarkStart w:id="36" w:name="_Toc23468"/>
      <w:r>
        <w:rPr>
          <w:rFonts w:ascii="Arial" w:hAnsi="Arial" w:eastAsia="Arial" w:cs="Arial"/>
          <w:b w:val="0"/>
        </w:rPr>
        <w:t>Painel Interativo</w:t>
      </w:r>
      <w:bookmarkEnd w:id="36"/>
    </w:p>
    <w:p w14:paraId="314579C9">
      <w:pPr>
        <w:pStyle w:val="3"/>
        <w:ind w:firstLine="0"/>
        <w:rPr>
          <w:color w:val="2E75B5"/>
        </w:rPr>
      </w:pPr>
      <w:r>
        <w:rPr>
          <w:rFonts w:ascii="Arial" w:hAnsi="Arial" w:eastAsia="Arial" w:cs="Arial"/>
          <w:b w:val="0"/>
        </w:rPr>
        <w:t>O painel reforça a mesma disciplina de separação. A regra de negócio — lista de risco, explicação por escola e diagnóstico — fica na camada de serviço. A tradução dos nomes técnicos para linguagem de gestor fica em um módulo próprio. A interface apenas consome esses serviços. Assim, a regra é testada sem depender da tela.</w:t>
      </w:r>
    </w:p>
    <w:p w14:paraId="7F290BC8">
      <w:pPr>
        <w:pStyle w:val="5"/>
        <w:numPr>
          <w:ilvl w:val="2"/>
          <w:numId w:val="1"/>
        </w:numPr>
      </w:pPr>
      <w:bookmarkStart w:id="37" w:name="_Toc28299"/>
      <w:r>
        <w:rPr>
          <w:rFonts w:ascii="Arial" w:hAnsi="Arial" w:eastAsia="Arial" w:cs="Arial"/>
          <w:b w:val="0"/>
        </w:rPr>
        <w:t>Testes Automatizados</w:t>
      </w:r>
      <w:bookmarkEnd w:id="37"/>
    </w:p>
    <w:p w14:paraId="79F7FAEC">
      <w:pPr>
        <w:pStyle w:val="3"/>
        <w:ind w:firstLine="0"/>
        <w:rPr>
          <w:color w:val="2E75B5"/>
        </w:rPr>
      </w:pPr>
      <w:r>
        <w:rPr>
          <w:rFonts w:ascii="Arial" w:hAnsi="Arial" w:eastAsia="Arial" w:cs="Arial"/>
          <w:b w:val="0"/>
        </w:rPr>
        <w:t>A suíte cobre os filtros do universo de estudo, a integridade da base histórica, a leitura das planilhas de rendimento, o casamento no tempo entre as características e o abandono, a ausência de vazamento entre treino e teste, o cálculo das medidas de desempenho, a consistência das explicações e a ordenação da lista. Os riscos cobertos por cada módulo estão detalhados no Capítulo 6.</w:t>
      </w:r>
    </w:p>
    <w:p w14:paraId="5CDC61E9">
      <w:pPr>
        <w:pStyle w:val="5"/>
        <w:numPr>
          <w:ilvl w:val="2"/>
          <w:numId w:val="1"/>
        </w:numPr>
      </w:pPr>
      <w:bookmarkStart w:id="38" w:name="_Toc27037"/>
      <w:r>
        <w:rPr>
          <w:rFonts w:ascii="Arial" w:hAnsi="Arial" w:eastAsia="Arial" w:cs="Arial"/>
          <w:b w:val="0"/>
        </w:rPr>
        <w:t>Gerenciamento de Dependências</w:t>
      </w:r>
      <w:bookmarkEnd w:id="38"/>
    </w:p>
    <w:p w14:paraId="62EDA2F7">
      <w:pPr>
        <w:pStyle w:val="3"/>
        <w:ind w:firstLine="0"/>
        <w:rPr>
          <w:color w:val="2E75B5"/>
        </w:rPr>
      </w:pPr>
      <w:r>
        <w:rPr>
          <w:rFonts w:ascii="Arial" w:hAnsi="Arial" w:eastAsia="Arial" w:cs="Arial"/>
          <w:b w:val="0"/>
        </w:rPr>
        <w:t>Todas as bibliotecas usadas são declaradas com versão mínima em um único arquivo de dependências, instalado em um ambiente isolado. Isso garante que o sistema possa ser reconstruído em outra máquina com o mesmo comportamento — requisito de reprodutibilidade estabelecido na arquitetura.</w:t>
      </w:r>
    </w:p>
    <w:p w14:paraId="7A9D3065">
      <w:pPr>
        <w:pStyle w:val="2"/>
        <w:numPr>
          <w:ilvl w:val="0"/>
          <w:numId w:val="1"/>
        </w:numPr>
        <w:rPr>
          <w:color w:val="000000"/>
        </w:rPr>
      </w:pPr>
      <w:bookmarkStart w:id="39" w:name="_Toc23560"/>
      <w:r>
        <w:rPr>
          <w:rFonts w:ascii="Arial" w:hAnsi="Arial" w:eastAsia="Arial" w:cs="Arial"/>
          <w:b w:val="0"/>
        </w:rPr>
        <w:t>Testes e Análise dos Resultados</w:t>
      </w:r>
      <w:bookmarkEnd w:id="39"/>
    </w:p>
    <w:p w14:paraId="5264F51A">
      <w:pPr>
        <w:pStyle w:val="4"/>
        <w:numPr>
          <w:ilvl w:val="1"/>
          <w:numId w:val="1"/>
        </w:numPr>
      </w:pPr>
      <w:bookmarkStart w:id="40" w:name="_Toc7637"/>
      <w:r>
        <w:rPr>
          <w:rFonts w:ascii="Arial" w:hAnsi="Arial" w:eastAsia="Arial" w:cs="Arial"/>
          <w:b w:val="0"/>
        </w:rPr>
        <w:t>Testes de Software</w:t>
      </w:r>
      <w:bookmarkEnd w:id="40"/>
    </w:p>
    <w:p w14:paraId="6D115D9C">
      <w:pPr>
        <w:pStyle w:val="3"/>
        <w:ind w:firstLine="0"/>
        <w:rPr>
          <w:color w:val="2E75B5"/>
        </w:rPr>
      </w:pPr>
      <w:r>
        <w:rPr>
          <w:rFonts w:ascii="Arial" w:hAnsi="Arial" w:eastAsia="Arial" w:cs="Arial"/>
          <w:b w:val="0"/>
        </w:rPr>
        <w:t>A corretude do sistema é garantida por uma suíte de 98 testes automatizados, que roda por inteiro a cada alteração; todos passam na última execução. O ponto importante é o tipo de risco coberto. Em sistemas que aprendem a partir de dados, os erros de preparação em geral não interrompem a execução: eles produzem, em silêncio, um modelo inválido que continua respondendo normalmente. Um deslocamento de um ano no casamento entre as características e o abandono, por exemplo, destruiria todo o valor preditivo sem gerar qualquer sintoma. Por isso os testes se concentram nos riscos que comprometeriam a validade dos resultados.</w:t>
      </w:r>
    </w:p>
    <w:p w14:paraId="17D8C2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4 – Módulos de teste e riscos cobertos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535"/>
        <w:gridCol w:w="4535"/>
      </w:tblGrid>
      <w:tr w14:paraId="41A4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3C8AC52E">
            <w:r>
              <w:rPr>
                <w:rFonts w:ascii="Arial" w:hAnsi="Arial" w:eastAsia="Arial" w:cs="Arial"/>
                <w:b/>
                <w:sz w:val="18"/>
              </w:rPr>
              <w:t>Módulo de teste</w:t>
            </w:r>
          </w:p>
        </w:tc>
        <w:tc>
          <w:tcPr>
            <w:tcW w:w="6520" w:type="dxa"/>
          </w:tcPr>
          <w:p w14:paraId="7A249AF0">
            <w:r>
              <w:rPr>
                <w:rFonts w:ascii="Arial" w:hAnsi="Arial" w:eastAsia="Arial" w:cs="Arial"/>
                <w:b/>
                <w:sz w:val="18"/>
              </w:rPr>
              <w:t>Risco coberto</w:t>
            </w:r>
          </w:p>
        </w:tc>
      </w:tr>
      <w:tr w14:paraId="65E8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68A5A7F">
            <w:r>
              <w:rPr>
                <w:rFonts w:ascii="Arial" w:hAnsi="Arial" w:eastAsia="Arial" w:cs="Arial"/>
                <w:b w:val="0"/>
                <w:sz w:val="18"/>
              </w:rPr>
              <w:t>test_etl_filters.py</w:t>
            </w:r>
          </w:p>
        </w:tc>
        <w:tc>
          <w:tcPr>
            <w:tcW w:w="6520" w:type="dxa"/>
          </w:tcPr>
          <w:p w14:paraId="008B1CDA">
            <w:r>
              <w:rPr>
                <w:rFonts w:ascii="Arial" w:hAnsi="Arial" w:eastAsia="Arial" w:cs="Arial"/>
                <w:b w:val="0"/>
                <w:sz w:val="18"/>
              </w:rPr>
              <w:t>Filtros do universo: estado, rede estadual, escolas em atividade com Ensino Médio</w:t>
            </w:r>
          </w:p>
        </w:tc>
      </w:tr>
      <w:tr w14:paraId="19761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7F3FC3CF">
            <w:r>
              <w:rPr>
                <w:rFonts w:ascii="Arial" w:hAnsi="Arial" w:eastAsia="Arial" w:cs="Arial"/>
                <w:b w:val="0"/>
                <w:sz w:val="18"/>
              </w:rPr>
              <w:t>test_panel.py</w:t>
            </w:r>
          </w:p>
        </w:tc>
        <w:tc>
          <w:tcPr>
            <w:tcW w:w="6520" w:type="dxa"/>
          </w:tcPr>
          <w:p w14:paraId="0244D406">
            <w:r>
              <w:rPr>
                <w:rFonts w:ascii="Arial" w:hAnsi="Arial" w:eastAsia="Arial" w:cs="Arial"/>
                <w:b w:val="0"/>
                <w:sz w:val="18"/>
              </w:rPr>
              <w:t>Integridade da base histórica por escola e ano</w:t>
            </w:r>
          </w:p>
        </w:tc>
      </w:tr>
      <w:tr w14:paraId="1E54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682A366">
            <w:r>
              <w:rPr>
                <w:rFonts w:ascii="Arial" w:hAnsi="Arial" w:eastAsia="Arial" w:cs="Arial"/>
                <w:b w:val="0"/>
                <w:sz w:val="18"/>
              </w:rPr>
              <w:t>test_taxas.py</w:t>
            </w:r>
          </w:p>
        </w:tc>
        <w:tc>
          <w:tcPr>
            <w:tcW w:w="6520" w:type="dxa"/>
          </w:tcPr>
          <w:p w14:paraId="1A2F12DB">
            <w:r>
              <w:rPr>
                <w:rFonts w:ascii="Arial" w:hAnsi="Arial" w:eastAsia="Arial" w:cs="Arial"/>
                <w:b w:val="0"/>
                <w:sz w:val="18"/>
              </w:rPr>
              <w:t>Leitura das planilhas de rendimento do INEP: cabeçalhos não padronizados e marca de série não ofertada</w:t>
            </w:r>
          </w:p>
        </w:tc>
      </w:tr>
      <w:tr w14:paraId="0C091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88BBD20">
            <w:r>
              <w:rPr>
                <w:rFonts w:ascii="Arial" w:hAnsi="Arial" w:eastAsia="Arial" w:cs="Arial"/>
                <w:b w:val="0"/>
                <w:sz w:val="18"/>
              </w:rPr>
              <w:t>test_build_target.py</w:t>
            </w:r>
          </w:p>
        </w:tc>
        <w:tc>
          <w:tcPr>
            <w:tcW w:w="6520" w:type="dxa"/>
          </w:tcPr>
          <w:p w14:paraId="1599560A">
            <w:r>
              <w:rPr>
                <w:rFonts w:ascii="Arial" w:hAnsi="Arial" w:eastAsia="Arial" w:cs="Arial"/>
                <w:b w:val="0"/>
                <w:sz w:val="18"/>
              </w:rPr>
              <w:t>Casamento no tempo: características do ano corrente com o abandono do ano seguinte — um deslocamento de um ano não geraria erro visível</w:t>
            </w:r>
          </w:p>
        </w:tc>
      </w:tr>
      <w:tr w14:paraId="6D843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E3AA4ED">
            <w:r>
              <w:rPr>
                <w:rFonts w:ascii="Arial" w:hAnsi="Arial" w:eastAsia="Arial" w:cs="Arial"/>
                <w:b w:val="0"/>
                <w:sz w:val="18"/>
              </w:rPr>
              <w:t>test_models.py</w:t>
            </w:r>
          </w:p>
        </w:tc>
        <w:tc>
          <w:tcPr>
            <w:tcW w:w="6520" w:type="dxa"/>
          </w:tcPr>
          <w:p w14:paraId="257F5056">
            <w:r>
              <w:rPr>
                <w:rFonts w:ascii="Arial" w:hAnsi="Arial" w:eastAsia="Arial" w:cs="Arial"/>
                <w:b w:val="0"/>
                <w:sz w:val="18"/>
              </w:rPr>
              <w:t>Medidas de desempenho; ausência de vazamento de municípios entre treino e teste; separação temporal sem sobreposição</w:t>
            </w:r>
          </w:p>
        </w:tc>
      </w:tr>
      <w:tr w14:paraId="15B55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529C519">
            <w:r>
              <w:rPr>
                <w:rFonts w:ascii="Arial" w:hAnsi="Arial" w:eastAsia="Arial" w:cs="Arial"/>
                <w:b w:val="0"/>
                <w:sz w:val="18"/>
              </w:rPr>
              <w:t>test_explain.py</w:t>
            </w:r>
          </w:p>
        </w:tc>
        <w:tc>
          <w:tcPr>
            <w:tcW w:w="6520" w:type="dxa"/>
          </w:tcPr>
          <w:p w14:paraId="5FEFCE12">
            <w:r>
              <w:rPr>
                <w:rFonts w:ascii="Arial" w:hAnsi="Arial" w:eastAsia="Arial" w:cs="Arial"/>
                <w:b w:val="0"/>
                <w:sz w:val="18"/>
              </w:rPr>
              <w:t>Consistência da explicação: a soma das contribuições reproduz a previsão</w:t>
            </w:r>
          </w:p>
        </w:tc>
      </w:tr>
      <w:tr w14:paraId="15788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9390E32">
            <w:r>
              <w:rPr>
                <w:rFonts w:ascii="Arial" w:hAnsi="Arial" w:eastAsia="Arial" w:cs="Arial"/>
                <w:b w:val="0"/>
                <w:sz w:val="18"/>
              </w:rPr>
              <w:t>test_indicadores_gestao.py</w:t>
            </w:r>
          </w:p>
        </w:tc>
        <w:tc>
          <w:tcPr>
            <w:tcW w:w="6520" w:type="dxa"/>
          </w:tcPr>
          <w:p w14:paraId="2AEEADF0">
            <w:r>
              <w:rPr>
                <w:rFonts w:ascii="Arial" w:hAnsi="Arial" w:eastAsia="Arial" w:cs="Arial"/>
                <w:b w:val="0"/>
                <w:sz w:val="18"/>
              </w:rPr>
              <w:t>Leitura dos indicadores de esforço docente e de complexidade de gestão</w:t>
            </w:r>
          </w:p>
        </w:tc>
      </w:tr>
      <w:tr w14:paraId="4080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90548E5">
            <w:r>
              <w:rPr>
                <w:rFonts w:ascii="Arial" w:hAnsi="Arial" w:eastAsia="Arial" w:cs="Arial"/>
                <w:b w:val="0"/>
                <w:sz w:val="18"/>
              </w:rPr>
              <w:t>test_recommend.py</w:t>
            </w:r>
          </w:p>
        </w:tc>
        <w:tc>
          <w:tcPr>
            <w:tcW w:w="6520" w:type="dxa"/>
          </w:tcPr>
          <w:p w14:paraId="0A18B9B5">
            <w:r>
              <w:rPr>
                <w:rFonts w:ascii="Arial" w:hAnsi="Arial" w:eastAsia="Arial" w:cs="Arial"/>
                <w:b w:val="0"/>
                <w:sz w:val="18"/>
              </w:rPr>
              <w:t>Camada de serviço do painel: ordenação da lista, marcação de prioridade e diagnóstico</w:t>
            </w:r>
          </w:p>
        </w:tc>
      </w:tr>
    </w:tbl>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06BD26">
      <w:pPr>
        <w:pStyle w:val="4"/>
        <w:numPr>
          <w:ilvl w:val="1"/>
          <w:numId w:val="1"/>
        </w:numPr>
      </w:pPr>
      <w:bookmarkStart w:id="41" w:name="_Toc369"/>
      <w:r>
        <w:rPr>
          <w:rFonts w:ascii="Arial" w:hAnsi="Arial" w:eastAsia="Arial" w:cs="Arial"/>
          <w:b w:val="0"/>
        </w:rPr>
        <w:t>Caracterização dos Dados e Análise das Características Usadas</w:t>
      </w:r>
      <w:bookmarkEnd w:id="41"/>
    </w:p>
    <w:p w14:paraId="4D464269">
      <w:pPr>
        <w:pStyle w:val="5"/>
        <w:numPr>
          <w:ilvl w:val="2"/>
          <w:numId w:val="1"/>
        </w:numPr>
      </w:pPr>
      <w:bookmarkStart w:id="42" w:name="_Toc16135"/>
      <w:r>
        <w:rPr>
          <w:rFonts w:ascii="Arial" w:hAnsi="Arial" w:eastAsia="Arial" w:cs="Arial"/>
          <w:b w:val="0"/>
        </w:rPr>
        <w:t>Base Construída</w:t>
      </w:r>
      <w:bookmarkEnd w:id="42"/>
    </w:p>
    <w:p w14:paraId="4E588503">
      <w:pPr>
        <w:pStyle w:val="3"/>
        <w:ind w:firstLine="0"/>
        <w:rPr>
          <w:color w:val="2E75B5"/>
        </w:rPr>
      </w:pPr>
      <w:r>
        <w:rPr>
          <w:rFonts w:ascii="Arial" w:hAnsi="Arial" w:eastAsia="Arial" w:cs="Arial"/>
          <w:b w:val="0"/>
        </w:rPr>
        <w:t>A base histórica reúne 2.392 registros de 806 escolas, 97,4% delas presentes nos três anos — o que garante comparabilidade ao longo do tempo. A rede cobre 185 municípios; 86% das escolas são urbanas e a mediana é de cerca de 350 matrículas de Ensino Médio. Aplicada a regra de casamento no tempo, o conjunto usado na previsão tem 1.586 observações de escola e ano, com 39 características e nenhuma lacuna. O Quadro 6 detalha a passagem de um total ao outro.</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5 – Do painel histórico ao conjunto usado na previsão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3000"/>
        <w:gridCol w:w="1500"/>
        <w:gridCol w:w="1370"/>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18BB3842">
            <w:r>
              <w:rPr>
                <w:rFonts w:ascii="Arial" w:hAnsi="Arial" w:eastAsia="Arial" w:cs="Arial"/>
                <w:b/>
                <w:sz w:val="16"/>
              </w:rPr>
              <w:t>Etapa</w:t>
            </w:r>
          </w:p>
        </w:tc>
        <w:tc>
          <w:tcPr>
            <w:tcW w:w="5" w:type="dxa"/>
          </w:tcPr>
          <w:p w14:paraId="282597E9">
            <w:r>
              <w:rPr>
                <w:rFonts w:ascii="Arial" w:hAnsi="Arial" w:eastAsia="Arial" w:cs="Arial"/>
                <w:b/>
                <w:sz w:val="16"/>
              </w:rPr>
              <w:t>Critério</w:t>
            </w:r>
          </w:p>
        </w:tc>
        <w:tc>
          <w:tcPr>
            <w:tcW w:w="2" w:type="dxa"/>
          </w:tcPr>
          <w:p w14:paraId="1CEB1107">
            <w:r>
              <w:rPr>
                <w:rFonts w:ascii="Arial" w:hAnsi="Arial" w:eastAsia="Arial" w:cs="Arial"/>
                <w:b/>
                <w:sz w:val="16"/>
              </w:rPr>
              <w:t>Linhas</w:t>
            </w:r>
          </w:p>
        </w:tc>
        <w:tc>
          <w:tcPr>
            <w:tcW w:w="2" w:type="dxa"/>
          </w:tcPr>
          <w:p w14:paraId="5266E42C">
            <w:r>
              <w:rPr>
                <w:rFonts w:ascii="Arial" w:hAnsi="Arial" w:eastAsia="Arial" w:cs="Arial"/>
                <w:b/>
                <w:sz w:val="16"/>
              </w:rPr>
              <w:t>Escolas</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Painel histórico escola × ano</w:t>
            </w:r>
          </w:p>
        </w:tc>
        <w:tc>
          <w:tcPr>
            <w:tcW w:w="5" w:type="dxa"/>
          </w:tcPr>
          <w:p w14:paraId="189ADD07">
            <w:r>
              <w:rPr>
                <w:rFonts w:ascii="Arial" w:hAnsi="Arial" w:eastAsia="Arial" w:cs="Arial"/>
                <w:b w:val="0"/>
                <w:sz w:val="16"/>
              </w:rPr>
              <w:t>Escolas estaduais de EM em atividade, 2022 a 2024</w:t>
            </w:r>
          </w:p>
        </w:tc>
        <w:tc>
          <w:tcPr>
            <w:tcW w:w="2" w:type="dxa"/>
          </w:tcPr>
          <w:p w14:paraId="386F678D">
            <w:r>
              <w:rPr>
                <w:rFonts w:ascii="Arial" w:hAnsi="Arial" w:eastAsia="Arial" w:cs="Arial"/>
                <w:b w:val="0"/>
                <w:sz w:val="16"/>
              </w:rPr>
              <w:t>2.392</w:t>
            </w:r>
          </w:p>
        </w:tc>
        <w:tc>
          <w:tcPr>
            <w:tcW w:w="2" w:type="dxa"/>
          </w:tcPr>
          <w:p w14:paraId="63F28650">
            <w:r>
              <w:rPr>
                <w:rFonts w:ascii="Arial" w:hAnsi="Arial" w:eastAsia="Arial" w:cs="Arial"/>
                <w:b w:val="0"/>
                <w:sz w:val="16"/>
              </w:rPr>
              <w:t>806</w:t>
            </w:r>
          </w:p>
        </w:tc>
      </w:tr>
      <w:tr w14:paraId="69183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F39DABF">
            <w:r>
              <w:rPr>
                <w:rFonts w:ascii="Arial" w:hAnsi="Arial" w:eastAsia="Arial" w:cs="Arial"/>
                <w:b w:val="0"/>
                <w:sz w:val="16"/>
              </w:rPr>
              <w:t>Anos que podem servir de origem (t = 2022, 2023)</w:t>
            </w:r>
          </w:p>
        </w:tc>
        <w:tc>
          <w:tcPr>
            <w:tcW w:w="5" w:type="dxa"/>
          </w:tcPr>
          <w:p w14:paraId="51BF8F20">
            <w:r>
              <w:rPr>
                <w:rFonts w:ascii="Arial" w:hAnsi="Arial" w:eastAsia="Arial" w:cs="Arial"/>
                <w:b w:val="0"/>
                <w:sz w:val="16"/>
              </w:rPr>
              <w:t>O ano de 2024 não tem 2025 para observar: entra como alvo, não como origem</w:t>
            </w:r>
          </w:p>
        </w:tc>
        <w:tc>
          <w:tcPr>
            <w:tcW w:w="2" w:type="dxa"/>
          </w:tcPr>
          <w:p w14:paraId="56DD7238">
            <w:r>
              <w:rPr>
                <w:rFonts w:ascii="Arial" w:hAnsi="Arial" w:eastAsia="Arial" w:cs="Arial"/>
                <w:b w:val="0"/>
                <w:sz w:val="16"/>
              </w:rPr>
              <w:t>−791 → 1.601</w:t>
            </w:r>
          </w:p>
        </w:tc>
        <w:tc>
          <w:tcPr>
            <w:tcW w:w="2" w:type="dxa"/>
          </w:tcPr>
          <w:p w14:paraId="4DE2EDF7">
            <w:r>
              <w:rPr>
                <w:rFonts w:ascii="Arial" w:hAnsi="Arial" w:eastAsia="Arial" w:cs="Arial"/>
                <w:b w:val="0"/>
                <w:sz w:val="16"/>
              </w:rPr>
              <w:t>804</w:t>
            </w:r>
          </w:p>
        </w:tc>
      </w:tr>
      <w:tr w14:paraId="70C193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27B2A2A5">
            <w:r>
              <w:rPr>
                <w:rFonts w:ascii="Arial" w:hAnsi="Arial" w:eastAsia="Arial" w:cs="Arial"/>
                <w:b w:val="0"/>
                <w:sz w:val="16"/>
              </w:rPr>
              <w:t>Pares completos (t → t+1)</w:t>
            </w:r>
          </w:p>
        </w:tc>
        <w:tc>
          <w:tcPr>
            <w:tcW w:w="5" w:type="dxa"/>
          </w:tcPr>
          <w:p w14:paraId="51AC63FB">
            <w:r>
              <w:rPr>
                <w:rFonts w:ascii="Arial" w:hAnsi="Arial" w:eastAsia="Arial" w:cs="Arial"/>
                <w:b w:val="0"/>
                <w:sz w:val="16"/>
              </w:rPr>
              <w:t>Escola sem abandono observado no ano seguinte — saiu da rede ou deixou de ofertar Ensino Médio</w:t>
            </w:r>
          </w:p>
        </w:tc>
        <w:tc>
          <w:tcPr>
            <w:tcW w:w="2" w:type="dxa"/>
          </w:tcPr>
          <w:p w14:paraId="4FA16037">
            <w:r>
              <w:rPr>
                <w:rFonts w:ascii="Arial" w:hAnsi="Arial" w:eastAsia="Arial" w:cs="Arial"/>
                <w:b w:val="0"/>
                <w:sz w:val="16"/>
              </w:rPr>
              <w:t>−15 → 1.586</w:t>
            </w:r>
          </w:p>
        </w:tc>
        <w:tc>
          <w:tcPr>
            <w:tcW w:w="2" w:type="dxa"/>
          </w:tcPr>
          <w:p w14:paraId="66D1A3A9">
            <w:r>
              <w:rPr>
                <w:rFonts w:ascii="Arial" w:hAnsi="Arial" w:eastAsia="Arial" w:cs="Arial"/>
                <w:b w:val="0"/>
                <w:sz w:val="16"/>
              </w:rPr>
              <w:t>801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D9B71D0">
      <w:pPr>
        <w:pStyle w:val="3"/>
        <w:ind w:firstLine="0"/>
        <w:rPr>
          <w:color w:val="2E75B5"/>
        </w:rPr>
      </w:pPr>
      <w:r>
        <w:rPr>
          <w:rFonts w:ascii="Arial" w:hAnsi="Arial" w:eastAsia="Arial" w:cs="Arial"/>
          <w:b w:val="0"/>
        </w:rPr>
        <w:t>A diferença entre os dois totais não decorre de descarte por qualidade. O sistema aprende com pares: os atributos da escola em um ano e o abandono observado no ano seguinte. Com três anos de painel formam-se apenas dois pares por escola — 2022 para 2023 e 2023 para 2024 —, de modo que as 791 linhas de 2024 não servem de origem, por não haver 2025 a observar. Elas não são perdidas: são justamente o alvo das linhas de 2023. Descontadas essas, restam 1.601 pares potenciais, dos quais 15 não se completam porque a escola não aparece no ano seguinte, tendo saído da rede ou deixado de ofertar Ensino Médio. Chega-se assim às 1.586 observações de escola e ano usadas na previsão.</w:t>
      </w:r>
    </w:p>
    <w:p w14:paraId="79C78634">
      <w:pPr>
        <w:pStyle w:val="5"/>
        <w:numPr>
          <w:ilvl w:val="2"/>
          <w:numId w:val="1"/>
        </w:numPr>
      </w:pPr>
      <w:bookmarkStart w:id="43" w:name="_Toc25271"/>
      <w:r>
        <w:rPr>
          <w:rFonts w:ascii="Arial" w:hAnsi="Arial" w:eastAsia="Arial" w:cs="Arial"/>
          <w:b w:val="0"/>
        </w:rPr>
        <w:t>O Que o Sistema Prevê</w:t>
      </w:r>
      <w:bookmarkEnd w:id="43"/>
    </w:p>
    <w:p w14:paraId="5A81BC93">
      <w:pPr>
        <w:pStyle w:val="3"/>
        <w:ind w:firstLine="0"/>
        <w:rPr>
          <w:color w:val="2E75B5"/>
        </w:rPr>
      </w:pPr>
      <w:r>
        <w:rPr>
          <w:rFonts w:ascii="Arial" w:hAnsi="Arial" w:eastAsia="Arial" w:cs="Arial"/>
          <w:b w:val="0"/>
        </w:rPr>
        <w:t>O sistema prevê um único indicador: a taxa de abandono no Ensino Médio de cada escola no ano seguinte. Ela é publicada pelo INEP e indica o percentual de alunos matriculados que deixaram a escola durante o ano. Uma escola com 400 alunos e taxa de 5% perdeu 20 estudantes no período.</w:t>
      </w:r>
    </w:p>
    <w:p w14:paraId="5E05D40A">
      <w:pPr>
        <w:pStyle w:val="3"/>
        <w:ind w:firstLine="0"/>
        <w:rPr>
          <w:color w:val="2E75B5"/>
        </w:rPr>
      </w:pPr>
      <w:r>
        <w:rPr>
          <w:rFonts w:ascii="Arial" w:hAnsi="Arial" w:eastAsia="Arial" w:cs="Arial"/>
          <w:b w:val="0"/>
        </w:rPr>
        <w:t>Duas características desse indicador condicionam todo o projeto. A primeira: em 68% das observações a taxa é exatamente zero — a maioria das escolas não registra abandono no ano. A segunda: o risco é muito desigual entre grupos. Em 2024 a taxa média foi de 0,6% nas 680 escolas urbanas (desvio-padrão de 1,8 ponto), 0,9% nas 70 rurais (desvio-padrão de 1,8) e 6,6% nas 40 escolas indígenas e quilombolas (desvio-padrão de 9,0). O desvio elevado neste último grupo mostra que a média alta não é uniforme: convivem escolas sem abandono algum e escolas com taxas acima de 30%.</w:t>
      </w:r>
    </w:p>
    <w:p w14:paraId="19559515">
      <w:pPr>
        <w:pStyle w:val="3"/>
        <w:ind w:firstLine="0"/>
        <w:rPr>
          <w:color w:val="2E75B5"/>
        </w:rPr>
      </w:pPr>
      <w:r>
        <w:rPr>
          <w:rFonts w:ascii="Arial" w:hAnsi="Arial" w:eastAsia="Arial" w:cs="Arial"/>
          <w:b w:val="0"/>
        </w:rPr>
        <w:t>A Figura 7 resume esses dois traços. No painel da esquerda, as observações de escola e ano estão distribuídas por faixa de abandono: a barra “nenhum abandono” concentra 68% dos casos, e as faixas seguintes — de baixo a crítico — encolhem rapidamente, de modo que apenas 2% das observações superam 10% de abandono. No painel da direita está a taxa média de 2024 por grupo de localização, que torna visível a desigualdade descrita acima: as barras urbana e rural ficam próximas de zero, enquanto a das escolas indígenas e quilombolas se destaca, mais de dez vezes acima. Juntos, os dois painéis explicam por que o valor médio da taxa diz pouco e por que o esforço do sistema se volta para ordenar as escolas por risco.</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7 – Distribuição da taxa de abandono prevista e diferença de risco entre grupos de escolas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80000" cy="1981382"/>
                    </a:xfrm>
                    <a:prstGeom prst="rect">
                      <a:avLst/>
                    </a:prstGeom>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3D67557">
      <w:pPr>
        <w:pStyle w:val="5"/>
        <w:numPr>
          <w:ilvl w:val="2"/>
          <w:numId w:val="1"/>
        </w:numPr>
      </w:pPr>
      <w:bookmarkStart w:id="44" w:name="_Toc24893"/>
      <w:r>
        <w:rPr>
          <w:rFonts w:ascii="Arial" w:hAnsi="Arial" w:eastAsia="Arial" w:cs="Arial"/>
          <w:b w:val="0"/>
        </w:rPr>
        <w:t>Análise Estatística das Características Contínuas</w:t>
      </w:r>
      <w:bookmarkEnd w:id="44"/>
    </w:p>
    <w:p w14:paraId="3503798E">
      <w:pPr>
        <w:pStyle w:val="3"/>
        <w:ind w:firstLine="0"/>
        <w:rPr>
          <w:color w:val="2E75B5"/>
        </w:rPr>
      </w:pPr>
      <w:r>
        <w:rPr>
          <w:rFonts w:ascii="Arial" w:hAnsi="Arial" w:eastAsia="Arial" w:cs="Arial"/>
          <w:b w:val="0"/>
        </w:rPr>
        <w:t>Cada uma das 39 características foi analisada antes de entrar no sistema, com o tratamento adequado ao seu tipo: 23 são contínuas, 15 são de sim ou não e uma é categórica. As 23 contínuas estão no Quadro 6, com o valor típico da rede, a dispersão em torno dele e a relação de cada uma com o abandono do ano seguinte.</w:t>
      </w:r>
    </w:p>
    <w:p w14:paraId="38084458">
      <w:pPr>
        <w:pStyle w:val="3"/>
        <w:ind w:firstLine="0"/>
        <w:rPr>
          <w:color w:val="2E75B5"/>
        </w:rPr>
      </w:pPr>
      <w:r>
        <w:rPr>
          <w:rFonts w:ascii="Arial" w:hAnsi="Arial" w:eastAsia="Arial" w:cs="Arial"/>
          <w:b w:val="0"/>
        </w:rPr>
        <w:t>Quatro famílias de indicadores aparecem no quadro e merecem definição. As taxas de abandono e de reprovação do ano anterior são percentuais de matrículas publicados pelo INEP, apresentados para o Ensino Médio como um todo e para cada série. A distorção idade-série é o percentual de alunos com dois anos ou mais acima da idade esperada para a série que cursam. O nível socioeconômico (INSE) é uma escala contínua calculada pelo INEP a partir do perfil das famílias dos alunos — escolaridade dos pais, renda e bens do domicílio —, em que valores maiores indicam comunidades mais favorecidas: entre as 69.820 escolas brasileiras avaliadas em 2021 ela vai de 2,45 a 6,85, e nesta rede varia de 2,97 a 6,10, com média de 4,46. A adequação da formação docente reparte os professores da escola em cinco grupos que somam 100%: o Grupo 1 reúne os que têm licenciatura na própria disciplina que lecionam — a formação considerada ideal —, o Grupo 3 os que têm licenciatura em área diferente da que lecionam, e o Grupo 5 os que não têm ensino superior. Apenas esses três entram no sistema, por resumirem os dois extremos e o caso intermediário mais comum. Por fim, a regularidade do corpo docente (IRD) mede, numa escala de 0 a 5, a permanência dos mesmos professores na escola ao longo dos anos: valores altos indicam um quadro estável.</w:t>
      </w:r>
    </w:p>
    <w:p w14:paraId="69908339">
      <w:pPr>
        <w:pStyle w:val="3"/>
        <w:ind w:firstLine="0"/>
        <w:rPr>
          <w:color w:val="2E75B5"/>
        </w:rPr>
      </w:pPr>
      <w:r>
        <w:rPr>
          <w:rFonts w:ascii="Arial" w:hAnsi="Arial" w:eastAsia="Arial" w:cs="Arial"/>
          <w:b w:val="0"/>
        </w:rPr>
        <w:t>As colunas do quadro respondem a perguntas diferentes. A média é o valor típico da rede, e o desvio-padrão diz o quanto as escolas se afastam dele: quanto maior, mais desigual é a rede naquela característica. Mínimo, mediana e máximo descrevem a distribuição — a mediana é o valor que divide a rede ao meio e, quando fica muito abaixo da média, indica que poucas escolas com valores altos puxam o resultado para cima. A última coluna resume a relação de cada característica com o abandono do ano seguinte por um indicador que varia de −1 a +1: positivo significa que a característica acompanha o aumento do abandono; negativo, que acompanha a redução; e quanto mais distante de zero, mais forte a associação. Os asteriscos indicam a confiança do resultado (* 95%, ** 99%, *** 99,9%); sem asterisco, a relação não se distingue do acaso. As unidades variam conforme a linha: as taxas de abandono, de reprovação e de distorção idade-série, assim como as proporções de matrícula e de formação docente, estão em pontos percentuais; as demais seguem as escalas descritas acima. O porte é a única característica transformada: entra no sistema como logaritmo do número de matrículas, para que escolas muito grandes não dominem a comparação, de modo que a mediana de 5,87 do quadro corresponde a cerca de 350 matrículas.</w:t>
      </w:r>
    </w:p>
    <w:p w14:paraId="6977123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6 – Estatísticas descritivas das 23 características contínuas e relação de cada uma com o abandono do ano seguinte</w:t>
      </w:r>
    </w:p>
    <w:tbl>
      <w:tblPr>
        <w:tblStyle w:val="10"/>
        <w:tblW w:w="0" w:type="auto"/>
        <w:tblInd w:w="-48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64"/>
        <w:gridCol w:w="1254"/>
        <w:gridCol w:w="1246"/>
        <w:gridCol w:w="1318"/>
        <w:gridCol w:w="1373"/>
        <w:gridCol w:w="1327"/>
        <w:gridCol w:w="1073"/>
      </w:tblGrid>
      <w:tr w14:paraId="00AD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8FA7A52">
            <w:r>
              <w:rPr>
                <w:rFonts w:ascii="Arial" w:hAnsi="Arial" w:eastAsia="Arial" w:cs="Arial"/>
                <w:b/>
                <w:sz w:val="16"/>
              </w:rPr>
              <w:t>Característica</w:t>
            </w:r>
          </w:p>
        </w:tc>
        <w:tc>
          <w:tcPr>
            <w:tcW w:w="1254" w:type="dxa"/>
          </w:tcPr>
          <w:p w14:paraId="36E474CC">
            <w:r>
              <w:rPr>
                <w:rFonts w:ascii="Arial" w:hAnsi="Arial" w:eastAsia="Arial" w:cs="Arial"/>
                <w:b/>
                <w:sz w:val="16"/>
              </w:rPr>
              <w:t>Média</w:t>
            </w:r>
          </w:p>
        </w:tc>
        <w:tc>
          <w:tcPr>
            <w:tcW w:w="1246" w:type="dxa"/>
          </w:tcPr>
          <w:p w14:paraId="33FF9E33">
            <w:r>
              <w:rPr>
                <w:rFonts w:ascii="Arial" w:hAnsi="Arial" w:eastAsia="Arial" w:cs="Arial"/>
                <w:b/>
                <w:sz w:val="16"/>
              </w:rPr>
              <w:t>Desvio-padrão</w:t>
            </w:r>
          </w:p>
        </w:tc>
        <w:tc>
          <w:tcPr>
            <w:tcW w:w="1318" w:type="dxa"/>
          </w:tcPr>
          <w:p w14:paraId="35D09765">
            <w:r>
              <w:rPr>
                <w:rFonts w:ascii="Arial" w:hAnsi="Arial" w:eastAsia="Arial" w:cs="Arial"/>
                <w:b/>
                <w:sz w:val="16"/>
              </w:rPr>
              <w:t>Mínimo</w:t>
            </w:r>
          </w:p>
        </w:tc>
        <w:tc>
          <w:tcPr>
            <w:tcW w:w="1373" w:type="dxa"/>
          </w:tcPr>
          <w:p w14:paraId="3807E580">
            <w:r>
              <w:rPr>
                <w:rFonts w:ascii="Arial" w:hAnsi="Arial" w:eastAsia="Arial" w:cs="Arial"/>
                <w:b/>
                <w:sz w:val="16"/>
              </w:rPr>
              <w:t>Mediana</w:t>
            </w:r>
          </w:p>
        </w:tc>
        <w:tc>
          <w:tcPr>
            <w:tcW w:w="1327" w:type="dxa"/>
          </w:tcPr>
          <w:p w14:paraId="05B3C73B">
            <w:r>
              <w:rPr>
                <w:rFonts w:ascii="Arial" w:hAnsi="Arial" w:eastAsia="Arial" w:cs="Arial"/>
                <w:b/>
                <w:sz w:val="16"/>
              </w:rPr>
              <w:t>Máximo</w:t>
            </w:r>
          </w:p>
        </w:tc>
        <w:tc>
          <w:tcPr>
            <w:tcW w:w="1073" w:type="dxa"/>
          </w:tcPr>
          <w:p w14:paraId="6DBF6739">
            <w:r>
              <w:rPr>
                <w:rFonts w:ascii="Arial" w:hAnsi="Arial" w:eastAsia="Arial" w:cs="Arial"/>
                <w:b/>
                <w:sz w:val="16"/>
              </w:rPr>
              <w:t>Relação com o abandono</w:t>
            </w:r>
          </w:p>
        </w:tc>
      </w:tr>
      <w:tr w14:paraId="7F99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E80E70E">
            <w:r>
              <w:rPr>
                <w:rFonts w:ascii="Arial" w:hAnsi="Arial" w:eastAsia="Arial" w:cs="Arial"/>
                <w:b w:val="0"/>
                <w:sz w:val="16"/>
              </w:rPr>
              <w:t>Abandono no ano anterior (Ensino Médio)</w:t>
            </w:r>
          </w:p>
        </w:tc>
        <w:tc>
          <w:tcPr>
            <w:tcW w:w="1254" w:type="dxa"/>
          </w:tcPr>
          <w:p w14:paraId="2386D5A4">
            <w:r>
              <w:rPr>
                <w:rFonts w:ascii="Arial" w:hAnsi="Arial" w:eastAsia="Arial" w:cs="Arial"/>
                <w:b w:val="0"/>
                <w:sz w:val="16"/>
              </w:rPr>
              <w:t>1,72</w:t>
            </w:r>
          </w:p>
        </w:tc>
        <w:tc>
          <w:tcPr>
            <w:tcW w:w="1246" w:type="dxa"/>
          </w:tcPr>
          <w:p w14:paraId="2BE37C41">
            <w:r>
              <w:rPr>
                <w:rFonts w:ascii="Arial" w:hAnsi="Arial" w:eastAsia="Arial" w:cs="Arial"/>
                <w:b w:val="0"/>
                <w:sz w:val="16"/>
              </w:rPr>
              <w:t>4,80</w:t>
            </w:r>
          </w:p>
        </w:tc>
        <w:tc>
          <w:tcPr>
            <w:tcW w:w="1318" w:type="dxa"/>
          </w:tcPr>
          <w:p w14:paraId="17213F98">
            <w:r>
              <w:rPr>
                <w:rFonts w:ascii="Arial" w:hAnsi="Arial" w:eastAsia="Arial" w:cs="Arial"/>
                <w:b w:val="0"/>
                <w:sz w:val="16"/>
              </w:rPr>
              <w:t>0,00</w:t>
            </w:r>
          </w:p>
        </w:tc>
        <w:tc>
          <w:tcPr>
            <w:tcW w:w="1373" w:type="dxa"/>
          </w:tcPr>
          <w:p w14:paraId="49C0BBE9">
            <w:r>
              <w:rPr>
                <w:rFonts w:ascii="Arial" w:hAnsi="Arial" w:eastAsia="Arial" w:cs="Arial"/>
                <w:b w:val="0"/>
                <w:sz w:val="16"/>
              </w:rPr>
              <w:t>0,00</w:t>
            </w:r>
          </w:p>
        </w:tc>
        <w:tc>
          <w:tcPr>
            <w:tcW w:w="1327" w:type="dxa"/>
          </w:tcPr>
          <w:p w14:paraId="4F8280AF">
            <w:r>
              <w:rPr>
                <w:rFonts w:ascii="Arial" w:hAnsi="Arial" w:eastAsia="Arial" w:cs="Arial"/>
                <w:b w:val="0"/>
                <w:sz w:val="16"/>
              </w:rPr>
              <w:t>43,60</w:t>
            </w:r>
          </w:p>
        </w:tc>
        <w:tc>
          <w:tcPr>
            <w:tcW w:w="1073" w:type="dxa"/>
          </w:tcPr>
          <w:p w14:paraId="55EE17F2">
            <w:r>
              <w:rPr>
                <w:rFonts w:ascii="Arial" w:hAnsi="Arial" w:eastAsia="Arial" w:cs="Arial"/>
                <w:b w:val="0"/>
                <w:sz w:val="16"/>
              </w:rPr>
              <w:t>0,48***</w:t>
            </w:r>
          </w:p>
        </w:tc>
      </w:tr>
      <w:tr w14:paraId="69591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A7D027B">
            <w:r>
              <w:rPr>
                <w:rFonts w:ascii="Arial" w:hAnsi="Arial" w:eastAsia="Arial" w:cs="Arial"/>
                <w:b w:val="0"/>
                <w:sz w:val="16"/>
              </w:rPr>
              <w:t>Abandono no ano anterior — 1ª série</w:t>
            </w:r>
          </w:p>
        </w:tc>
        <w:tc>
          <w:tcPr>
            <w:tcW w:w="1254" w:type="dxa"/>
          </w:tcPr>
          <w:p w14:paraId="42D19A75">
            <w:r>
              <w:rPr>
                <w:rFonts w:ascii="Arial" w:hAnsi="Arial" w:eastAsia="Arial" w:cs="Arial"/>
                <w:b w:val="0"/>
                <w:sz w:val="16"/>
              </w:rPr>
              <w:t>2,19</w:t>
            </w:r>
          </w:p>
        </w:tc>
        <w:tc>
          <w:tcPr>
            <w:tcW w:w="1246" w:type="dxa"/>
          </w:tcPr>
          <w:p w14:paraId="1D714219">
            <w:r>
              <w:rPr>
                <w:rFonts w:ascii="Arial" w:hAnsi="Arial" w:eastAsia="Arial" w:cs="Arial"/>
                <w:b w:val="0"/>
                <w:sz w:val="16"/>
              </w:rPr>
              <w:t>5,97</w:t>
            </w:r>
          </w:p>
        </w:tc>
        <w:tc>
          <w:tcPr>
            <w:tcW w:w="1318" w:type="dxa"/>
          </w:tcPr>
          <w:p w14:paraId="6F842CF0">
            <w:r>
              <w:rPr>
                <w:rFonts w:ascii="Arial" w:hAnsi="Arial" w:eastAsia="Arial" w:cs="Arial"/>
                <w:b w:val="0"/>
                <w:sz w:val="16"/>
              </w:rPr>
              <w:t>0,00</w:t>
            </w:r>
          </w:p>
        </w:tc>
        <w:tc>
          <w:tcPr>
            <w:tcW w:w="1373" w:type="dxa"/>
          </w:tcPr>
          <w:p w14:paraId="24868040">
            <w:r>
              <w:rPr>
                <w:rFonts w:ascii="Arial" w:hAnsi="Arial" w:eastAsia="Arial" w:cs="Arial"/>
                <w:b w:val="0"/>
                <w:sz w:val="16"/>
              </w:rPr>
              <w:t>0,00</w:t>
            </w:r>
          </w:p>
        </w:tc>
        <w:tc>
          <w:tcPr>
            <w:tcW w:w="1327" w:type="dxa"/>
          </w:tcPr>
          <w:p w14:paraId="4CD1E25B">
            <w:r>
              <w:rPr>
                <w:rFonts w:ascii="Arial" w:hAnsi="Arial" w:eastAsia="Arial" w:cs="Arial"/>
                <w:b w:val="0"/>
                <w:sz w:val="16"/>
              </w:rPr>
              <w:t>52,60</w:t>
            </w:r>
          </w:p>
        </w:tc>
        <w:tc>
          <w:tcPr>
            <w:tcW w:w="1073" w:type="dxa"/>
          </w:tcPr>
          <w:p w14:paraId="787EADD1">
            <w:r>
              <w:rPr>
                <w:rFonts w:ascii="Arial" w:hAnsi="Arial" w:eastAsia="Arial" w:cs="Arial"/>
                <w:b w:val="0"/>
                <w:sz w:val="16"/>
              </w:rPr>
              <w:t>0,46***</w:t>
            </w:r>
          </w:p>
        </w:tc>
      </w:tr>
      <w:tr w14:paraId="701A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E21E5F8">
            <w:r>
              <w:rPr>
                <w:rFonts w:ascii="Arial" w:hAnsi="Arial" w:eastAsia="Arial" w:cs="Arial"/>
                <w:b w:val="0"/>
                <w:sz w:val="16"/>
              </w:rPr>
              <w:t>Abandono no ano anterior — 2ª série</w:t>
            </w:r>
          </w:p>
        </w:tc>
        <w:tc>
          <w:tcPr>
            <w:tcW w:w="1254" w:type="dxa"/>
          </w:tcPr>
          <w:p w14:paraId="44965174">
            <w:r>
              <w:rPr>
                <w:rFonts w:ascii="Arial" w:hAnsi="Arial" w:eastAsia="Arial" w:cs="Arial"/>
                <w:b w:val="0"/>
                <w:sz w:val="16"/>
              </w:rPr>
              <w:t>1,51</w:t>
            </w:r>
          </w:p>
        </w:tc>
        <w:tc>
          <w:tcPr>
            <w:tcW w:w="1246" w:type="dxa"/>
          </w:tcPr>
          <w:p w14:paraId="29B4846E">
            <w:r>
              <w:rPr>
                <w:rFonts w:ascii="Arial" w:hAnsi="Arial" w:eastAsia="Arial" w:cs="Arial"/>
                <w:b w:val="0"/>
                <w:sz w:val="16"/>
              </w:rPr>
              <w:t>4,48</w:t>
            </w:r>
          </w:p>
        </w:tc>
        <w:tc>
          <w:tcPr>
            <w:tcW w:w="1318" w:type="dxa"/>
          </w:tcPr>
          <w:p w14:paraId="0C8E841F">
            <w:r>
              <w:rPr>
                <w:rFonts w:ascii="Arial" w:hAnsi="Arial" w:eastAsia="Arial" w:cs="Arial"/>
                <w:b w:val="0"/>
                <w:sz w:val="16"/>
              </w:rPr>
              <w:t>0,00</w:t>
            </w:r>
          </w:p>
        </w:tc>
        <w:tc>
          <w:tcPr>
            <w:tcW w:w="1373" w:type="dxa"/>
          </w:tcPr>
          <w:p w14:paraId="4724F298">
            <w:r>
              <w:rPr>
                <w:rFonts w:ascii="Arial" w:hAnsi="Arial" w:eastAsia="Arial" w:cs="Arial"/>
                <w:b w:val="0"/>
                <w:sz w:val="16"/>
              </w:rPr>
              <w:t>0,00</w:t>
            </w:r>
          </w:p>
        </w:tc>
        <w:tc>
          <w:tcPr>
            <w:tcW w:w="1327" w:type="dxa"/>
          </w:tcPr>
          <w:p w14:paraId="33A654EA">
            <w:r>
              <w:rPr>
                <w:rFonts w:ascii="Arial" w:hAnsi="Arial" w:eastAsia="Arial" w:cs="Arial"/>
                <w:b w:val="0"/>
                <w:sz w:val="16"/>
              </w:rPr>
              <w:t>47,90</w:t>
            </w:r>
          </w:p>
        </w:tc>
        <w:tc>
          <w:tcPr>
            <w:tcW w:w="1073" w:type="dxa"/>
          </w:tcPr>
          <w:p w14:paraId="51E5561A">
            <w:r>
              <w:rPr>
                <w:rFonts w:ascii="Arial" w:hAnsi="Arial" w:eastAsia="Arial" w:cs="Arial"/>
                <w:b w:val="0"/>
                <w:sz w:val="16"/>
              </w:rPr>
              <w:t>0,45***</w:t>
            </w:r>
          </w:p>
        </w:tc>
      </w:tr>
      <w:tr w14:paraId="1388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9AAC42E">
            <w:r>
              <w:rPr>
                <w:rFonts w:ascii="Arial" w:hAnsi="Arial" w:eastAsia="Arial" w:cs="Arial"/>
                <w:b w:val="0"/>
                <w:sz w:val="16"/>
              </w:rPr>
              <w:t>Abandono no ano anterior — 3ª série</w:t>
            </w:r>
          </w:p>
        </w:tc>
        <w:tc>
          <w:tcPr>
            <w:tcW w:w="1254" w:type="dxa"/>
          </w:tcPr>
          <w:p w14:paraId="63704E4C">
            <w:r>
              <w:rPr>
                <w:rFonts w:ascii="Arial" w:hAnsi="Arial" w:eastAsia="Arial" w:cs="Arial"/>
                <w:b w:val="0"/>
                <w:sz w:val="16"/>
              </w:rPr>
              <w:t>0,94</w:t>
            </w:r>
          </w:p>
        </w:tc>
        <w:tc>
          <w:tcPr>
            <w:tcW w:w="1246" w:type="dxa"/>
          </w:tcPr>
          <w:p w14:paraId="3F2402B4">
            <w:r>
              <w:rPr>
                <w:rFonts w:ascii="Arial" w:hAnsi="Arial" w:eastAsia="Arial" w:cs="Arial"/>
                <w:b w:val="0"/>
                <w:sz w:val="16"/>
              </w:rPr>
              <w:t>3,98</w:t>
            </w:r>
          </w:p>
        </w:tc>
        <w:tc>
          <w:tcPr>
            <w:tcW w:w="1318" w:type="dxa"/>
          </w:tcPr>
          <w:p w14:paraId="1E8BE491">
            <w:r>
              <w:rPr>
                <w:rFonts w:ascii="Arial" w:hAnsi="Arial" w:eastAsia="Arial" w:cs="Arial"/>
                <w:b w:val="0"/>
                <w:sz w:val="16"/>
              </w:rPr>
              <w:t>0,00</w:t>
            </w:r>
          </w:p>
        </w:tc>
        <w:tc>
          <w:tcPr>
            <w:tcW w:w="1373" w:type="dxa"/>
          </w:tcPr>
          <w:p w14:paraId="6EE2A57C">
            <w:r>
              <w:rPr>
                <w:rFonts w:ascii="Arial" w:hAnsi="Arial" w:eastAsia="Arial" w:cs="Arial"/>
                <w:b w:val="0"/>
                <w:sz w:val="16"/>
              </w:rPr>
              <w:t>0,00</w:t>
            </w:r>
          </w:p>
        </w:tc>
        <w:tc>
          <w:tcPr>
            <w:tcW w:w="1327" w:type="dxa"/>
          </w:tcPr>
          <w:p w14:paraId="3DC0224F">
            <w:r>
              <w:rPr>
                <w:rFonts w:ascii="Arial" w:hAnsi="Arial" w:eastAsia="Arial" w:cs="Arial"/>
                <w:b w:val="0"/>
                <w:sz w:val="16"/>
              </w:rPr>
              <w:t>50,00</w:t>
            </w:r>
          </w:p>
        </w:tc>
        <w:tc>
          <w:tcPr>
            <w:tcW w:w="1073" w:type="dxa"/>
          </w:tcPr>
          <w:p w14:paraId="68A76E3C">
            <w:r>
              <w:rPr>
                <w:rFonts w:ascii="Arial" w:hAnsi="Arial" w:eastAsia="Arial" w:cs="Arial"/>
                <w:b w:val="0"/>
                <w:sz w:val="16"/>
              </w:rPr>
              <w:t>0,37***</w:t>
            </w:r>
          </w:p>
        </w:tc>
      </w:tr>
      <w:tr w14:paraId="7228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4DFEB97">
            <w:r>
              <w:rPr>
                <w:rFonts w:ascii="Arial" w:hAnsi="Arial" w:eastAsia="Arial" w:cs="Arial"/>
                <w:b w:val="0"/>
                <w:sz w:val="16"/>
              </w:rPr>
              <w:t>Distorção idade-série — 1ª série</w:t>
            </w:r>
          </w:p>
        </w:tc>
        <w:tc>
          <w:tcPr>
            <w:tcW w:w="1254" w:type="dxa"/>
          </w:tcPr>
          <w:p w14:paraId="55E584EC">
            <w:r>
              <w:rPr>
                <w:rFonts w:ascii="Arial" w:hAnsi="Arial" w:eastAsia="Arial" w:cs="Arial"/>
                <w:b w:val="0"/>
                <w:sz w:val="16"/>
              </w:rPr>
              <w:t>26,89</w:t>
            </w:r>
          </w:p>
        </w:tc>
        <w:tc>
          <w:tcPr>
            <w:tcW w:w="1246" w:type="dxa"/>
          </w:tcPr>
          <w:p w14:paraId="6341F49C">
            <w:r>
              <w:rPr>
                <w:rFonts w:ascii="Arial" w:hAnsi="Arial" w:eastAsia="Arial" w:cs="Arial"/>
                <w:b w:val="0"/>
                <w:sz w:val="16"/>
              </w:rPr>
              <w:t>14,33</w:t>
            </w:r>
          </w:p>
        </w:tc>
        <w:tc>
          <w:tcPr>
            <w:tcW w:w="1318" w:type="dxa"/>
          </w:tcPr>
          <w:p w14:paraId="5FA79E66">
            <w:r>
              <w:rPr>
                <w:rFonts w:ascii="Arial" w:hAnsi="Arial" w:eastAsia="Arial" w:cs="Arial"/>
                <w:b w:val="0"/>
                <w:sz w:val="16"/>
              </w:rPr>
              <w:t>0,00</w:t>
            </w:r>
          </w:p>
        </w:tc>
        <w:tc>
          <w:tcPr>
            <w:tcW w:w="1373" w:type="dxa"/>
          </w:tcPr>
          <w:p w14:paraId="4CA86537">
            <w:r>
              <w:rPr>
                <w:rFonts w:ascii="Arial" w:hAnsi="Arial" w:eastAsia="Arial" w:cs="Arial"/>
                <w:b w:val="0"/>
                <w:sz w:val="16"/>
              </w:rPr>
              <w:t>25,20</w:t>
            </w:r>
          </w:p>
        </w:tc>
        <w:tc>
          <w:tcPr>
            <w:tcW w:w="1327" w:type="dxa"/>
          </w:tcPr>
          <w:p w14:paraId="50081FEE">
            <w:r>
              <w:rPr>
                <w:rFonts w:ascii="Arial" w:hAnsi="Arial" w:eastAsia="Arial" w:cs="Arial"/>
                <w:b w:val="0"/>
                <w:sz w:val="16"/>
              </w:rPr>
              <w:t>97,80</w:t>
            </w:r>
          </w:p>
        </w:tc>
        <w:tc>
          <w:tcPr>
            <w:tcW w:w="1073" w:type="dxa"/>
          </w:tcPr>
          <w:p w14:paraId="46C75E64">
            <w:r>
              <w:rPr>
                <w:rFonts w:ascii="Arial" w:hAnsi="Arial" w:eastAsia="Arial" w:cs="Arial"/>
                <w:b w:val="0"/>
                <w:sz w:val="16"/>
              </w:rPr>
              <w:t>0,27***</w:t>
            </w:r>
          </w:p>
        </w:tc>
      </w:tr>
      <w:tr w14:paraId="34E0E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DE64C51">
            <w:r>
              <w:rPr>
                <w:rFonts w:ascii="Arial" w:hAnsi="Arial" w:eastAsia="Arial" w:cs="Arial"/>
                <w:b w:val="0"/>
                <w:sz w:val="16"/>
              </w:rPr>
              <w:t>Distorção idade-série (Ensino Médio)</w:t>
            </w:r>
          </w:p>
        </w:tc>
        <w:tc>
          <w:tcPr>
            <w:tcW w:w="1254" w:type="dxa"/>
          </w:tcPr>
          <w:p w14:paraId="1EF3A1CA">
            <w:r>
              <w:rPr>
                <w:rFonts w:ascii="Arial" w:hAnsi="Arial" w:eastAsia="Arial" w:cs="Arial"/>
                <w:b w:val="0"/>
                <w:sz w:val="16"/>
              </w:rPr>
              <w:t>23,29</w:t>
            </w:r>
          </w:p>
        </w:tc>
        <w:tc>
          <w:tcPr>
            <w:tcW w:w="1246" w:type="dxa"/>
          </w:tcPr>
          <w:p w14:paraId="11D8BFC2">
            <w:r>
              <w:rPr>
                <w:rFonts w:ascii="Arial" w:hAnsi="Arial" w:eastAsia="Arial" w:cs="Arial"/>
                <w:b w:val="0"/>
                <w:sz w:val="16"/>
              </w:rPr>
              <w:t>12,96</w:t>
            </w:r>
          </w:p>
        </w:tc>
        <w:tc>
          <w:tcPr>
            <w:tcW w:w="1318" w:type="dxa"/>
          </w:tcPr>
          <w:p w14:paraId="3B641EA3">
            <w:r>
              <w:rPr>
                <w:rFonts w:ascii="Arial" w:hAnsi="Arial" w:eastAsia="Arial" w:cs="Arial"/>
                <w:b w:val="0"/>
                <w:sz w:val="16"/>
              </w:rPr>
              <w:t>1,30</w:t>
            </w:r>
          </w:p>
        </w:tc>
        <w:tc>
          <w:tcPr>
            <w:tcW w:w="1373" w:type="dxa"/>
          </w:tcPr>
          <w:p w14:paraId="3A91C06F">
            <w:r>
              <w:rPr>
                <w:rFonts w:ascii="Arial" w:hAnsi="Arial" w:eastAsia="Arial" w:cs="Arial"/>
                <w:b w:val="0"/>
                <w:sz w:val="16"/>
              </w:rPr>
              <w:t>21,35</w:t>
            </w:r>
          </w:p>
        </w:tc>
        <w:tc>
          <w:tcPr>
            <w:tcW w:w="1327" w:type="dxa"/>
          </w:tcPr>
          <w:p w14:paraId="572D7796">
            <w:r>
              <w:rPr>
                <w:rFonts w:ascii="Arial" w:hAnsi="Arial" w:eastAsia="Arial" w:cs="Arial"/>
                <w:b w:val="0"/>
                <w:sz w:val="16"/>
              </w:rPr>
              <w:t>97,40</w:t>
            </w:r>
          </w:p>
        </w:tc>
        <w:tc>
          <w:tcPr>
            <w:tcW w:w="1073" w:type="dxa"/>
          </w:tcPr>
          <w:p w14:paraId="4D66AFBB">
            <w:r>
              <w:rPr>
                <w:rFonts w:ascii="Arial" w:hAnsi="Arial" w:eastAsia="Arial" w:cs="Arial"/>
                <w:b w:val="0"/>
                <w:sz w:val="16"/>
              </w:rPr>
              <w:t>0,27***</w:t>
            </w:r>
          </w:p>
        </w:tc>
      </w:tr>
      <w:tr w14:paraId="16ECD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9DD3CE">
            <w:r>
              <w:rPr>
                <w:rFonts w:ascii="Arial" w:hAnsi="Arial" w:eastAsia="Arial" w:cs="Arial"/>
                <w:b w:val="0"/>
                <w:sz w:val="16"/>
              </w:rPr>
              <w:t>Distorção idade-série — 2ª série</w:t>
            </w:r>
          </w:p>
        </w:tc>
        <w:tc>
          <w:tcPr>
            <w:tcW w:w="1254" w:type="dxa"/>
          </w:tcPr>
          <w:p w14:paraId="17C69978">
            <w:r>
              <w:rPr>
                <w:rFonts w:ascii="Arial" w:hAnsi="Arial" w:eastAsia="Arial" w:cs="Arial"/>
                <w:b w:val="0"/>
                <w:sz w:val="16"/>
              </w:rPr>
              <w:t>22,22</w:t>
            </w:r>
          </w:p>
        </w:tc>
        <w:tc>
          <w:tcPr>
            <w:tcW w:w="1246" w:type="dxa"/>
          </w:tcPr>
          <w:p w14:paraId="26BAC910">
            <w:r>
              <w:rPr>
                <w:rFonts w:ascii="Arial" w:hAnsi="Arial" w:eastAsia="Arial" w:cs="Arial"/>
                <w:b w:val="0"/>
                <w:sz w:val="16"/>
              </w:rPr>
              <w:t>12,97</w:t>
            </w:r>
          </w:p>
        </w:tc>
        <w:tc>
          <w:tcPr>
            <w:tcW w:w="1318" w:type="dxa"/>
          </w:tcPr>
          <w:p w14:paraId="70520348">
            <w:r>
              <w:rPr>
                <w:rFonts w:ascii="Arial" w:hAnsi="Arial" w:eastAsia="Arial" w:cs="Arial"/>
                <w:b w:val="0"/>
                <w:sz w:val="16"/>
              </w:rPr>
              <w:t>0,00</w:t>
            </w:r>
          </w:p>
        </w:tc>
        <w:tc>
          <w:tcPr>
            <w:tcW w:w="1373" w:type="dxa"/>
          </w:tcPr>
          <w:p w14:paraId="21D231DD">
            <w:r>
              <w:rPr>
                <w:rFonts w:ascii="Arial" w:hAnsi="Arial" w:eastAsia="Arial" w:cs="Arial"/>
                <w:b w:val="0"/>
                <w:sz w:val="16"/>
              </w:rPr>
              <w:t>20,25</w:t>
            </w:r>
          </w:p>
        </w:tc>
        <w:tc>
          <w:tcPr>
            <w:tcW w:w="1327" w:type="dxa"/>
          </w:tcPr>
          <w:p w14:paraId="0EA4675B">
            <w:r>
              <w:rPr>
                <w:rFonts w:ascii="Arial" w:hAnsi="Arial" w:eastAsia="Arial" w:cs="Arial"/>
                <w:b w:val="0"/>
                <w:sz w:val="16"/>
              </w:rPr>
              <w:t>100,00</w:t>
            </w:r>
          </w:p>
        </w:tc>
        <w:tc>
          <w:tcPr>
            <w:tcW w:w="1073" w:type="dxa"/>
          </w:tcPr>
          <w:p w14:paraId="30D52825">
            <w:r>
              <w:rPr>
                <w:rFonts w:ascii="Arial" w:hAnsi="Arial" w:eastAsia="Arial" w:cs="Arial"/>
                <w:b w:val="0"/>
                <w:sz w:val="16"/>
              </w:rPr>
              <w:t>0,25***</w:t>
            </w:r>
          </w:p>
        </w:tc>
      </w:tr>
      <w:tr w14:paraId="234DE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5552821">
            <w:r>
              <w:rPr>
                <w:rFonts w:ascii="Arial" w:hAnsi="Arial" w:eastAsia="Arial" w:cs="Arial"/>
                <w:b w:val="0"/>
                <w:sz w:val="16"/>
              </w:rPr>
              <w:t>Adequação da formação docente — Grupo 5</w:t>
            </w:r>
          </w:p>
        </w:tc>
        <w:tc>
          <w:tcPr>
            <w:tcW w:w="1254" w:type="dxa"/>
          </w:tcPr>
          <w:p w14:paraId="41C8798B">
            <w:r>
              <w:rPr>
                <w:rFonts w:ascii="Arial" w:hAnsi="Arial" w:eastAsia="Arial" w:cs="Arial"/>
                <w:b w:val="0"/>
                <w:sz w:val="16"/>
              </w:rPr>
              <w:t>3,06</w:t>
            </w:r>
          </w:p>
        </w:tc>
        <w:tc>
          <w:tcPr>
            <w:tcW w:w="1246" w:type="dxa"/>
          </w:tcPr>
          <w:p w14:paraId="0648D480">
            <w:r>
              <w:rPr>
                <w:rFonts w:ascii="Arial" w:hAnsi="Arial" w:eastAsia="Arial" w:cs="Arial"/>
                <w:b w:val="0"/>
                <w:sz w:val="16"/>
              </w:rPr>
              <w:t>14,38</w:t>
            </w:r>
          </w:p>
        </w:tc>
        <w:tc>
          <w:tcPr>
            <w:tcW w:w="1318" w:type="dxa"/>
          </w:tcPr>
          <w:p w14:paraId="2BF9518D">
            <w:r>
              <w:rPr>
                <w:rFonts w:ascii="Arial" w:hAnsi="Arial" w:eastAsia="Arial" w:cs="Arial"/>
                <w:b w:val="0"/>
                <w:sz w:val="16"/>
              </w:rPr>
              <w:t>0,00</w:t>
            </w:r>
          </w:p>
        </w:tc>
        <w:tc>
          <w:tcPr>
            <w:tcW w:w="1373" w:type="dxa"/>
          </w:tcPr>
          <w:p w14:paraId="72D4CBD1">
            <w:r>
              <w:rPr>
                <w:rFonts w:ascii="Arial" w:hAnsi="Arial" w:eastAsia="Arial" w:cs="Arial"/>
                <w:b w:val="0"/>
                <w:sz w:val="16"/>
              </w:rPr>
              <w:t>0,00</w:t>
            </w:r>
          </w:p>
        </w:tc>
        <w:tc>
          <w:tcPr>
            <w:tcW w:w="1327" w:type="dxa"/>
          </w:tcPr>
          <w:p w14:paraId="69A19DA3">
            <w:r>
              <w:rPr>
                <w:rFonts w:ascii="Arial" w:hAnsi="Arial" w:eastAsia="Arial" w:cs="Arial"/>
                <w:b w:val="0"/>
                <w:sz w:val="16"/>
              </w:rPr>
              <w:t>100,00</w:t>
            </w:r>
          </w:p>
        </w:tc>
        <w:tc>
          <w:tcPr>
            <w:tcW w:w="1073" w:type="dxa"/>
          </w:tcPr>
          <w:p w14:paraId="6819B8AD">
            <w:r>
              <w:rPr>
                <w:rFonts w:ascii="Arial" w:hAnsi="Arial" w:eastAsia="Arial" w:cs="Arial"/>
                <w:b w:val="0"/>
                <w:sz w:val="16"/>
              </w:rPr>
              <w:t>0,21***</w:t>
            </w:r>
          </w:p>
        </w:tc>
      </w:tr>
      <w:tr w14:paraId="60F6A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A706BFE">
            <w:r>
              <w:rPr>
                <w:rFonts w:ascii="Arial" w:hAnsi="Arial" w:eastAsia="Arial" w:cs="Arial"/>
                <w:b w:val="0"/>
                <w:sz w:val="16"/>
              </w:rPr>
              <w:t>% de matrículas em tempo integral</w:t>
            </w:r>
          </w:p>
        </w:tc>
        <w:tc>
          <w:tcPr>
            <w:tcW w:w="1254" w:type="dxa"/>
          </w:tcPr>
          <w:p w14:paraId="5FB4943C">
            <w:r>
              <w:rPr>
                <w:rFonts w:ascii="Arial" w:hAnsi="Arial" w:eastAsia="Arial" w:cs="Arial"/>
                <w:b w:val="0"/>
                <w:sz w:val="16"/>
              </w:rPr>
              <w:t>59,63</w:t>
            </w:r>
          </w:p>
        </w:tc>
        <w:tc>
          <w:tcPr>
            <w:tcW w:w="1246" w:type="dxa"/>
          </w:tcPr>
          <w:p w14:paraId="47025689">
            <w:r>
              <w:rPr>
                <w:rFonts w:ascii="Arial" w:hAnsi="Arial" w:eastAsia="Arial" w:cs="Arial"/>
                <w:b w:val="0"/>
                <w:sz w:val="16"/>
              </w:rPr>
              <w:t>44,87</w:t>
            </w:r>
          </w:p>
        </w:tc>
        <w:tc>
          <w:tcPr>
            <w:tcW w:w="1318" w:type="dxa"/>
          </w:tcPr>
          <w:p w14:paraId="23780CFF">
            <w:r>
              <w:rPr>
                <w:rFonts w:ascii="Arial" w:hAnsi="Arial" w:eastAsia="Arial" w:cs="Arial"/>
                <w:b w:val="0"/>
                <w:sz w:val="16"/>
              </w:rPr>
              <w:t>0,00</w:t>
            </w:r>
          </w:p>
        </w:tc>
        <w:tc>
          <w:tcPr>
            <w:tcW w:w="1373" w:type="dxa"/>
          </w:tcPr>
          <w:p w14:paraId="64C76461">
            <w:r>
              <w:rPr>
                <w:rFonts w:ascii="Arial" w:hAnsi="Arial" w:eastAsia="Arial" w:cs="Arial"/>
                <w:b w:val="0"/>
                <w:sz w:val="16"/>
              </w:rPr>
              <w:t>88,24</w:t>
            </w:r>
          </w:p>
        </w:tc>
        <w:tc>
          <w:tcPr>
            <w:tcW w:w="1327" w:type="dxa"/>
          </w:tcPr>
          <w:p w14:paraId="13E1A7C9">
            <w:r>
              <w:rPr>
                <w:rFonts w:ascii="Arial" w:hAnsi="Arial" w:eastAsia="Arial" w:cs="Arial"/>
                <w:b w:val="0"/>
                <w:sz w:val="16"/>
              </w:rPr>
              <w:t>100,00</w:t>
            </w:r>
          </w:p>
        </w:tc>
        <w:tc>
          <w:tcPr>
            <w:tcW w:w="1073" w:type="dxa"/>
          </w:tcPr>
          <w:p w14:paraId="4F053BD5">
            <w:r>
              <w:rPr>
                <w:rFonts w:ascii="Arial" w:hAnsi="Arial" w:eastAsia="Arial" w:cs="Arial"/>
                <w:b w:val="0"/>
                <w:sz w:val="16"/>
              </w:rPr>
              <w:t>-0,21***</w:t>
            </w:r>
          </w:p>
        </w:tc>
      </w:tr>
      <w:tr w14:paraId="30A22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2A64672">
            <w:r>
              <w:rPr>
                <w:rFonts w:ascii="Arial" w:hAnsi="Arial" w:eastAsia="Arial" w:cs="Arial"/>
                <w:b w:val="0"/>
                <w:sz w:val="16"/>
              </w:rPr>
              <w:t>Distorção idade-série — 3ª série</w:t>
            </w:r>
          </w:p>
        </w:tc>
        <w:tc>
          <w:tcPr>
            <w:tcW w:w="1254" w:type="dxa"/>
          </w:tcPr>
          <w:p w14:paraId="24FF352B">
            <w:r>
              <w:rPr>
                <w:rFonts w:ascii="Arial" w:hAnsi="Arial" w:eastAsia="Arial" w:cs="Arial"/>
                <w:b w:val="0"/>
                <w:sz w:val="16"/>
              </w:rPr>
              <w:t>18,29</w:t>
            </w:r>
          </w:p>
        </w:tc>
        <w:tc>
          <w:tcPr>
            <w:tcW w:w="1246" w:type="dxa"/>
          </w:tcPr>
          <w:p w14:paraId="248E06E1">
            <w:r>
              <w:rPr>
                <w:rFonts w:ascii="Arial" w:hAnsi="Arial" w:eastAsia="Arial" w:cs="Arial"/>
                <w:b w:val="0"/>
                <w:sz w:val="16"/>
              </w:rPr>
              <w:t>12,80</w:t>
            </w:r>
          </w:p>
        </w:tc>
        <w:tc>
          <w:tcPr>
            <w:tcW w:w="1318" w:type="dxa"/>
          </w:tcPr>
          <w:p w14:paraId="633EF69C">
            <w:r>
              <w:rPr>
                <w:rFonts w:ascii="Arial" w:hAnsi="Arial" w:eastAsia="Arial" w:cs="Arial"/>
                <w:b w:val="0"/>
                <w:sz w:val="16"/>
              </w:rPr>
              <w:t>0,00</w:t>
            </w:r>
          </w:p>
        </w:tc>
        <w:tc>
          <w:tcPr>
            <w:tcW w:w="1373" w:type="dxa"/>
          </w:tcPr>
          <w:p w14:paraId="6A5CC259">
            <w:r>
              <w:rPr>
                <w:rFonts w:ascii="Arial" w:hAnsi="Arial" w:eastAsia="Arial" w:cs="Arial"/>
                <w:b w:val="0"/>
                <w:sz w:val="16"/>
              </w:rPr>
              <w:t>15,50</w:t>
            </w:r>
          </w:p>
        </w:tc>
        <w:tc>
          <w:tcPr>
            <w:tcW w:w="1327" w:type="dxa"/>
          </w:tcPr>
          <w:p w14:paraId="19184F0E">
            <w:r>
              <w:rPr>
                <w:rFonts w:ascii="Arial" w:hAnsi="Arial" w:eastAsia="Arial" w:cs="Arial"/>
                <w:b w:val="0"/>
                <w:sz w:val="16"/>
              </w:rPr>
              <w:t>100,00</w:t>
            </w:r>
          </w:p>
        </w:tc>
        <w:tc>
          <w:tcPr>
            <w:tcW w:w="1073" w:type="dxa"/>
          </w:tcPr>
          <w:p w14:paraId="7A62757F">
            <w:r>
              <w:rPr>
                <w:rFonts w:ascii="Arial" w:hAnsi="Arial" w:eastAsia="Arial" w:cs="Arial"/>
                <w:b w:val="0"/>
                <w:sz w:val="16"/>
              </w:rPr>
              <w:t>0,19***</w:t>
            </w:r>
          </w:p>
        </w:tc>
      </w:tr>
      <w:tr w14:paraId="2A6FA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FC4186">
            <w:r>
              <w:rPr>
                <w:rFonts w:ascii="Arial" w:hAnsi="Arial" w:eastAsia="Arial" w:cs="Arial"/>
                <w:b w:val="0"/>
                <w:sz w:val="16"/>
              </w:rPr>
              <w:t>Reprovação no ano anterior (Ensino Médio)</w:t>
            </w:r>
          </w:p>
        </w:tc>
        <w:tc>
          <w:tcPr>
            <w:tcW w:w="1254" w:type="dxa"/>
          </w:tcPr>
          <w:p w14:paraId="3DAF0176">
            <w:r>
              <w:rPr>
                <w:rFonts w:ascii="Arial" w:hAnsi="Arial" w:eastAsia="Arial" w:cs="Arial"/>
                <w:b w:val="0"/>
                <w:sz w:val="16"/>
              </w:rPr>
              <w:t>4,55</w:t>
            </w:r>
          </w:p>
        </w:tc>
        <w:tc>
          <w:tcPr>
            <w:tcW w:w="1246" w:type="dxa"/>
          </w:tcPr>
          <w:p w14:paraId="784EF7E2">
            <w:r>
              <w:rPr>
                <w:rFonts w:ascii="Arial" w:hAnsi="Arial" w:eastAsia="Arial" w:cs="Arial"/>
                <w:b w:val="0"/>
                <w:sz w:val="16"/>
              </w:rPr>
              <w:t>4,68</w:t>
            </w:r>
          </w:p>
        </w:tc>
        <w:tc>
          <w:tcPr>
            <w:tcW w:w="1318" w:type="dxa"/>
          </w:tcPr>
          <w:p w14:paraId="02BF4465">
            <w:r>
              <w:rPr>
                <w:rFonts w:ascii="Arial" w:hAnsi="Arial" w:eastAsia="Arial" w:cs="Arial"/>
                <w:b w:val="0"/>
                <w:sz w:val="16"/>
              </w:rPr>
              <w:t>0,00</w:t>
            </w:r>
          </w:p>
        </w:tc>
        <w:tc>
          <w:tcPr>
            <w:tcW w:w="1373" w:type="dxa"/>
          </w:tcPr>
          <w:p w14:paraId="0936A368">
            <w:r>
              <w:rPr>
                <w:rFonts w:ascii="Arial" w:hAnsi="Arial" w:eastAsia="Arial" w:cs="Arial"/>
                <w:b w:val="0"/>
                <w:sz w:val="16"/>
              </w:rPr>
              <w:t>3,50</w:t>
            </w:r>
          </w:p>
        </w:tc>
        <w:tc>
          <w:tcPr>
            <w:tcW w:w="1327" w:type="dxa"/>
          </w:tcPr>
          <w:p w14:paraId="15C31129">
            <w:r>
              <w:rPr>
                <w:rFonts w:ascii="Arial" w:hAnsi="Arial" w:eastAsia="Arial" w:cs="Arial"/>
                <w:b w:val="0"/>
                <w:sz w:val="16"/>
              </w:rPr>
              <w:t>55,30</w:t>
            </w:r>
          </w:p>
        </w:tc>
        <w:tc>
          <w:tcPr>
            <w:tcW w:w="1073" w:type="dxa"/>
          </w:tcPr>
          <w:p w14:paraId="79F1A5B7">
            <w:r>
              <w:rPr>
                <w:rFonts w:ascii="Arial" w:hAnsi="Arial" w:eastAsia="Arial" w:cs="Arial"/>
                <w:b w:val="0"/>
                <w:sz w:val="16"/>
              </w:rPr>
              <w:t>0,18***</w:t>
            </w:r>
          </w:p>
        </w:tc>
      </w:tr>
      <w:tr w14:paraId="1914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546A141">
            <w:r>
              <w:rPr>
                <w:rFonts w:ascii="Arial" w:hAnsi="Arial" w:eastAsia="Arial" w:cs="Arial"/>
                <w:b w:val="0"/>
                <w:sz w:val="16"/>
              </w:rPr>
              <w:t>Adequação da formação docente — Grupo 1</w:t>
            </w:r>
          </w:p>
        </w:tc>
        <w:tc>
          <w:tcPr>
            <w:tcW w:w="1254" w:type="dxa"/>
          </w:tcPr>
          <w:p w14:paraId="180B6F69">
            <w:r>
              <w:rPr>
                <w:rFonts w:ascii="Arial" w:hAnsi="Arial" w:eastAsia="Arial" w:cs="Arial"/>
                <w:b w:val="0"/>
                <w:sz w:val="16"/>
              </w:rPr>
              <w:t>54,31</w:t>
            </w:r>
          </w:p>
        </w:tc>
        <w:tc>
          <w:tcPr>
            <w:tcW w:w="1246" w:type="dxa"/>
          </w:tcPr>
          <w:p w14:paraId="3401B663">
            <w:r>
              <w:rPr>
                <w:rFonts w:ascii="Arial" w:hAnsi="Arial" w:eastAsia="Arial" w:cs="Arial"/>
                <w:b w:val="0"/>
                <w:sz w:val="16"/>
              </w:rPr>
              <w:t>14,64</w:t>
            </w:r>
          </w:p>
        </w:tc>
        <w:tc>
          <w:tcPr>
            <w:tcW w:w="1318" w:type="dxa"/>
          </w:tcPr>
          <w:p w14:paraId="75C74B04">
            <w:r>
              <w:rPr>
                <w:rFonts w:ascii="Arial" w:hAnsi="Arial" w:eastAsia="Arial" w:cs="Arial"/>
                <w:b w:val="0"/>
                <w:sz w:val="16"/>
              </w:rPr>
              <w:t>0,00</w:t>
            </w:r>
          </w:p>
        </w:tc>
        <w:tc>
          <w:tcPr>
            <w:tcW w:w="1373" w:type="dxa"/>
          </w:tcPr>
          <w:p w14:paraId="01E976FA">
            <w:r>
              <w:rPr>
                <w:rFonts w:ascii="Arial" w:hAnsi="Arial" w:eastAsia="Arial" w:cs="Arial"/>
                <w:b w:val="0"/>
                <w:sz w:val="16"/>
              </w:rPr>
              <w:t>55,25</w:t>
            </w:r>
          </w:p>
        </w:tc>
        <w:tc>
          <w:tcPr>
            <w:tcW w:w="1327" w:type="dxa"/>
          </w:tcPr>
          <w:p w14:paraId="1D08D5BD">
            <w:r>
              <w:rPr>
                <w:rFonts w:ascii="Arial" w:hAnsi="Arial" w:eastAsia="Arial" w:cs="Arial"/>
                <w:b w:val="0"/>
                <w:sz w:val="16"/>
              </w:rPr>
              <w:t>92,10</w:t>
            </w:r>
          </w:p>
        </w:tc>
        <w:tc>
          <w:tcPr>
            <w:tcW w:w="1073" w:type="dxa"/>
          </w:tcPr>
          <w:p w14:paraId="05A5FDA5">
            <w:r>
              <w:rPr>
                <w:rFonts w:ascii="Arial" w:hAnsi="Arial" w:eastAsia="Arial" w:cs="Arial"/>
                <w:b w:val="0"/>
                <w:sz w:val="16"/>
              </w:rPr>
              <w:t>-0,17***</w:t>
            </w:r>
          </w:p>
        </w:tc>
      </w:tr>
      <w:tr w14:paraId="235F5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7E8EFDE">
            <w:r>
              <w:rPr>
                <w:rFonts w:ascii="Arial" w:hAnsi="Arial" w:eastAsia="Arial" w:cs="Arial"/>
                <w:b w:val="0"/>
                <w:sz w:val="16"/>
              </w:rPr>
              <w:t>Nível socioeconômico (INSE)</w:t>
            </w:r>
          </w:p>
        </w:tc>
        <w:tc>
          <w:tcPr>
            <w:tcW w:w="1254" w:type="dxa"/>
          </w:tcPr>
          <w:p w14:paraId="520C7BFF">
            <w:r>
              <w:rPr>
                <w:rFonts w:ascii="Arial" w:hAnsi="Arial" w:eastAsia="Arial" w:cs="Arial"/>
                <w:b w:val="0"/>
                <w:sz w:val="16"/>
              </w:rPr>
              <w:t>4,46</w:t>
            </w:r>
          </w:p>
        </w:tc>
        <w:tc>
          <w:tcPr>
            <w:tcW w:w="1246" w:type="dxa"/>
          </w:tcPr>
          <w:p w14:paraId="6581376D">
            <w:r>
              <w:rPr>
                <w:rFonts w:ascii="Arial" w:hAnsi="Arial" w:eastAsia="Arial" w:cs="Arial"/>
                <w:b w:val="0"/>
                <w:sz w:val="16"/>
              </w:rPr>
              <w:t>0,30</w:t>
            </w:r>
          </w:p>
        </w:tc>
        <w:tc>
          <w:tcPr>
            <w:tcW w:w="1318" w:type="dxa"/>
          </w:tcPr>
          <w:p w14:paraId="2A1A2074">
            <w:r>
              <w:rPr>
                <w:rFonts w:ascii="Arial" w:hAnsi="Arial" w:eastAsia="Arial" w:cs="Arial"/>
                <w:b w:val="0"/>
                <w:sz w:val="16"/>
              </w:rPr>
              <w:t>2,97</w:t>
            </w:r>
          </w:p>
        </w:tc>
        <w:tc>
          <w:tcPr>
            <w:tcW w:w="1373" w:type="dxa"/>
          </w:tcPr>
          <w:p w14:paraId="3FA44BEA">
            <w:r>
              <w:rPr>
                <w:rFonts w:ascii="Arial" w:hAnsi="Arial" w:eastAsia="Arial" w:cs="Arial"/>
                <w:b w:val="0"/>
                <w:sz w:val="16"/>
              </w:rPr>
              <w:t>4,45</w:t>
            </w:r>
          </w:p>
        </w:tc>
        <w:tc>
          <w:tcPr>
            <w:tcW w:w="1327" w:type="dxa"/>
          </w:tcPr>
          <w:p w14:paraId="6B3C6702">
            <w:r>
              <w:rPr>
                <w:rFonts w:ascii="Arial" w:hAnsi="Arial" w:eastAsia="Arial" w:cs="Arial"/>
                <w:b w:val="0"/>
                <w:sz w:val="16"/>
              </w:rPr>
              <w:t>6,10</w:t>
            </w:r>
          </w:p>
        </w:tc>
        <w:tc>
          <w:tcPr>
            <w:tcW w:w="1073" w:type="dxa"/>
          </w:tcPr>
          <w:p w14:paraId="31C252DB">
            <w:r>
              <w:rPr>
                <w:rFonts w:ascii="Arial" w:hAnsi="Arial" w:eastAsia="Arial" w:cs="Arial"/>
                <w:b w:val="0"/>
                <w:sz w:val="16"/>
              </w:rPr>
              <w:t>-0,17***</w:t>
            </w:r>
          </w:p>
        </w:tc>
      </w:tr>
      <w:tr w14:paraId="15D51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468D829">
            <w:r>
              <w:rPr>
                <w:rFonts w:ascii="Arial" w:hAnsi="Arial" w:eastAsia="Arial" w:cs="Arial"/>
                <w:b w:val="0"/>
                <w:sz w:val="16"/>
              </w:rPr>
              <w:t>Reprovação no ano anterior — 1ª série</w:t>
            </w:r>
          </w:p>
        </w:tc>
        <w:tc>
          <w:tcPr>
            <w:tcW w:w="1254" w:type="dxa"/>
          </w:tcPr>
          <w:p w14:paraId="6B36DA1E">
            <w:r>
              <w:rPr>
                <w:rFonts w:ascii="Arial" w:hAnsi="Arial" w:eastAsia="Arial" w:cs="Arial"/>
                <w:b w:val="0"/>
                <w:sz w:val="16"/>
              </w:rPr>
              <w:t>6,05</w:t>
            </w:r>
          </w:p>
        </w:tc>
        <w:tc>
          <w:tcPr>
            <w:tcW w:w="1246" w:type="dxa"/>
          </w:tcPr>
          <w:p w14:paraId="429AC005">
            <w:r>
              <w:rPr>
                <w:rFonts w:ascii="Arial" w:hAnsi="Arial" w:eastAsia="Arial" w:cs="Arial"/>
                <w:b w:val="0"/>
                <w:sz w:val="16"/>
              </w:rPr>
              <w:t>5,65</w:t>
            </w:r>
          </w:p>
        </w:tc>
        <w:tc>
          <w:tcPr>
            <w:tcW w:w="1318" w:type="dxa"/>
          </w:tcPr>
          <w:p w14:paraId="0BB1FF26">
            <w:r>
              <w:rPr>
                <w:rFonts w:ascii="Arial" w:hAnsi="Arial" w:eastAsia="Arial" w:cs="Arial"/>
                <w:b w:val="0"/>
                <w:sz w:val="16"/>
              </w:rPr>
              <w:t>0,00</w:t>
            </w:r>
          </w:p>
        </w:tc>
        <w:tc>
          <w:tcPr>
            <w:tcW w:w="1373" w:type="dxa"/>
          </w:tcPr>
          <w:p w14:paraId="6073766B">
            <w:r>
              <w:rPr>
                <w:rFonts w:ascii="Arial" w:hAnsi="Arial" w:eastAsia="Arial" w:cs="Arial"/>
                <w:b w:val="0"/>
                <w:sz w:val="16"/>
              </w:rPr>
              <w:t>4,80</w:t>
            </w:r>
          </w:p>
        </w:tc>
        <w:tc>
          <w:tcPr>
            <w:tcW w:w="1327" w:type="dxa"/>
          </w:tcPr>
          <w:p w14:paraId="5AB5F2C2">
            <w:r>
              <w:rPr>
                <w:rFonts w:ascii="Arial" w:hAnsi="Arial" w:eastAsia="Arial" w:cs="Arial"/>
                <w:b w:val="0"/>
                <w:sz w:val="16"/>
              </w:rPr>
              <w:t>50,00</w:t>
            </w:r>
          </w:p>
        </w:tc>
        <w:tc>
          <w:tcPr>
            <w:tcW w:w="1073" w:type="dxa"/>
          </w:tcPr>
          <w:p w14:paraId="1EB4DD37">
            <w:r>
              <w:rPr>
                <w:rFonts w:ascii="Arial" w:hAnsi="Arial" w:eastAsia="Arial" w:cs="Arial"/>
                <w:b w:val="0"/>
                <w:sz w:val="16"/>
              </w:rPr>
              <w:t>0,16***</w:t>
            </w:r>
          </w:p>
        </w:tc>
      </w:tr>
      <w:tr w14:paraId="0F52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7AD17AC">
            <w:r>
              <w:rPr>
                <w:rFonts w:ascii="Arial" w:hAnsi="Arial" w:eastAsia="Arial" w:cs="Arial"/>
                <w:b w:val="0"/>
                <w:sz w:val="16"/>
              </w:rPr>
              <w:t>Alunos por turma</w:t>
            </w:r>
          </w:p>
        </w:tc>
        <w:tc>
          <w:tcPr>
            <w:tcW w:w="1254" w:type="dxa"/>
          </w:tcPr>
          <w:p w14:paraId="02151672">
            <w:r>
              <w:rPr>
                <w:rFonts w:ascii="Arial" w:hAnsi="Arial" w:eastAsia="Arial" w:cs="Arial"/>
                <w:b w:val="0"/>
                <w:sz w:val="16"/>
              </w:rPr>
              <w:t>33,10</w:t>
            </w:r>
          </w:p>
        </w:tc>
        <w:tc>
          <w:tcPr>
            <w:tcW w:w="1246" w:type="dxa"/>
          </w:tcPr>
          <w:p w14:paraId="64315F4B">
            <w:r>
              <w:rPr>
                <w:rFonts w:ascii="Arial" w:hAnsi="Arial" w:eastAsia="Arial" w:cs="Arial"/>
                <w:b w:val="0"/>
                <w:sz w:val="16"/>
              </w:rPr>
              <w:t>6,96</w:t>
            </w:r>
          </w:p>
        </w:tc>
        <w:tc>
          <w:tcPr>
            <w:tcW w:w="1318" w:type="dxa"/>
          </w:tcPr>
          <w:p w14:paraId="4BB3B32C">
            <w:r>
              <w:rPr>
                <w:rFonts w:ascii="Arial" w:hAnsi="Arial" w:eastAsia="Arial" w:cs="Arial"/>
                <w:b w:val="0"/>
                <w:sz w:val="16"/>
              </w:rPr>
              <w:t>5,00</w:t>
            </w:r>
          </w:p>
        </w:tc>
        <w:tc>
          <w:tcPr>
            <w:tcW w:w="1373" w:type="dxa"/>
          </w:tcPr>
          <w:p w14:paraId="138807E7">
            <w:r>
              <w:rPr>
                <w:rFonts w:ascii="Arial" w:hAnsi="Arial" w:eastAsia="Arial" w:cs="Arial"/>
                <w:b w:val="0"/>
                <w:sz w:val="16"/>
              </w:rPr>
              <w:t>34,22</w:t>
            </w:r>
          </w:p>
        </w:tc>
        <w:tc>
          <w:tcPr>
            <w:tcW w:w="1327" w:type="dxa"/>
          </w:tcPr>
          <w:p w14:paraId="13B3E6ED">
            <w:r>
              <w:rPr>
                <w:rFonts w:ascii="Arial" w:hAnsi="Arial" w:eastAsia="Arial" w:cs="Arial"/>
                <w:b w:val="0"/>
                <w:sz w:val="16"/>
              </w:rPr>
              <w:t>50,00</w:t>
            </w:r>
          </w:p>
        </w:tc>
        <w:tc>
          <w:tcPr>
            <w:tcW w:w="1073" w:type="dxa"/>
          </w:tcPr>
          <w:p w14:paraId="4419F1E9">
            <w:r>
              <w:rPr>
                <w:rFonts w:ascii="Arial" w:hAnsi="Arial" w:eastAsia="Arial" w:cs="Arial"/>
                <w:b w:val="0"/>
                <w:sz w:val="16"/>
              </w:rPr>
              <w:t>-0,16***</w:t>
            </w:r>
          </w:p>
        </w:tc>
      </w:tr>
      <w:tr w14:paraId="18ED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D64C328">
            <w:r>
              <w:rPr>
                <w:rFonts w:ascii="Arial" w:hAnsi="Arial" w:eastAsia="Arial" w:cs="Arial"/>
                <w:b w:val="0"/>
                <w:sz w:val="16"/>
              </w:rPr>
              <w:t>Reprovação no ano anterior — 2ª série</w:t>
            </w:r>
          </w:p>
        </w:tc>
        <w:tc>
          <w:tcPr>
            <w:tcW w:w="1254" w:type="dxa"/>
          </w:tcPr>
          <w:p w14:paraId="647C1301">
            <w:r>
              <w:rPr>
                <w:rFonts w:ascii="Arial" w:hAnsi="Arial" w:eastAsia="Arial" w:cs="Arial"/>
                <w:b w:val="0"/>
                <w:sz w:val="16"/>
              </w:rPr>
              <w:t>4,51</w:t>
            </w:r>
          </w:p>
        </w:tc>
        <w:tc>
          <w:tcPr>
            <w:tcW w:w="1246" w:type="dxa"/>
          </w:tcPr>
          <w:p w14:paraId="2569F8E4">
            <w:r>
              <w:rPr>
                <w:rFonts w:ascii="Arial" w:hAnsi="Arial" w:eastAsia="Arial" w:cs="Arial"/>
                <w:b w:val="0"/>
                <w:sz w:val="16"/>
              </w:rPr>
              <w:t>4,66</w:t>
            </w:r>
          </w:p>
        </w:tc>
        <w:tc>
          <w:tcPr>
            <w:tcW w:w="1318" w:type="dxa"/>
          </w:tcPr>
          <w:p w14:paraId="203A2DD2">
            <w:r>
              <w:rPr>
                <w:rFonts w:ascii="Arial" w:hAnsi="Arial" w:eastAsia="Arial" w:cs="Arial"/>
                <w:b w:val="0"/>
                <w:sz w:val="16"/>
              </w:rPr>
              <w:t>0,00</w:t>
            </w:r>
          </w:p>
        </w:tc>
        <w:tc>
          <w:tcPr>
            <w:tcW w:w="1373" w:type="dxa"/>
          </w:tcPr>
          <w:p w14:paraId="394E688C">
            <w:r>
              <w:rPr>
                <w:rFonts w:ascii="Arial" w:hAnsi="Arial" w:eastAsia="Arial" w:cs="Arial"/>
                <w:b w:val="0"/>
                <w:sz w:val="16"/>
              </w:rPr>
              <w:t>3,40</w:t>
            </w:r>
          </w:p>
        </w:tc>
        <w:tc>
          <w:tcPr>
            <w:tcW w:w="1327" w:type="dxa"/>
          </w:tcPr>
          <w:p w14:paraId="1154F9D3">
            <w:r>
              <w:rPr>
                <w:rFonts w:ascii="Arial" w:hAnsi="Arial" w:eastAsia="Arial" w:cs="Arial"/>
                <w:b w:val="0"/>
                <w:sz w:val="16"/>
              </w:rPr>
              <w:t>32,10</w:t>
            </w:r>
          </w:p>
        </w:tc>
        <w:tc>
          <w:tcPr>
            <w:tcW w:w="1073" w:type="dxa"/>
          </w:tcPr>
          <w:p w14:paraId="4E896370">
            <w:r>
              <w:rPr>
                <w:rFonts w:ascii="Arial" w:hAnsi="Arial" w:eastAsia="Arial" w:cs="Arial"/>
                <w:b w:val="0"/>
                <w:sz w:val="16"/>
              </w:rPr>
              <w:t>0,13***</w:t>
            </w:r>
          </w:p>
        </w:tc>
      </w:tr>
      <w:tr w14:paraId="7BD41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046876E">
            <w:r>
              <w:rPr>
                <w:rFonts w:ascii="Arial" w:hAnsi="Arial" w:eastAsia="Arial" w:cs="Arial"/>
                <w:b w:val="0"/>
                <w:sz w:val="16"/>
              </w:rPr>
              <w:t>Índice de infraestrutura</w:t>
            </w:r>
          </w:p>
        </w:tc>
        <w:tc>
          <w:tcPr>
            <w:tcW w:w="1254" w:type="dxa"/>
          </w:tcPr>
          <w:p w14:paraId="0993C183">
            <w:r>
              <w:rPr>
                <w:rFonts w:ascii="Arial" w:hAnsi="Arial" w:eastAsia="Arial" w:cs="Arial"/>
                <w:b w:val="0"/>
                <w:sz w:val="16"/>
              </w:rPr>
              <w:t>0,64</w:t>
            </w:r>
          </w:p>
        </w:tc>
        <w:tc>
          <w:tcPr>
            <w:tcW w:w="1246" w:type="dxa"/>
          </w:tcPr>
          <w:p w14:paraId="3461BCB8">
            <w:r>
              <w:rPr>
                <w:rFonts w:ascii="Arial" w:hAnsi="Arial" w:eastAsia="Arial" w:cs="Arial"/>
                <w:b w:val="0"/>
                <w:sz w:val="16"/>
              </w:rPr>
              <w:t>0,18</w:t>
            </w:r>
          </w:p>
        </w:tc>
        <w:tc>
          <w:tcPr>
            <w:tcW w:w="1318" w:type="dxa"/>
          </w:tcPr>
          <w:p w14:paraId="67495CA9">
            <w:r>
              <w:rPr>
                <w:rFonts w:ascii="Arial" w:hAnsi="Arial" w:eastAsia="Arial" w:cs="Arial"/>
                <w:b w:val="0"/>
                <w:sz w:val="16"/>
              </w:rPr>
              <w:t>0,09</w:t>
            </w:r>
          </w:p>
        </w:tc>
        <w:tc>
          <w:tcPr>
            <w:tcW w:w="1373" w:type="dxa"/>
          </w:tcPr>
          <w:p w14:paraId="4929A07F">
            <w:r>
              <w:rPr>
                <w:rFonts w:ascii="Arial" w:hAnsi="Arial" w:eastAsia="Arial" w:cs="Arial"/>
                <w:b w:val="0"/>
                <w:sz w:val="16"/>
              </w:rPr>
              <w:t>0,67</w:t>
            </w:r>
          </w:p>
        </w:tc>
        <w:tc>
          <w:tcPr>
            <w:tcW w:w="1327" w:type="dxa"/>
          </w:tcPr>
          <w:p w14:paraId="1C95FF20">
            <w:r>
              <w:rPr>
                <w:rFonts w:ascii="Arial" w:hAnsi="Arial" w:eastAsia="Arial" w:cs="Arial"/>
                <w:b w:val="0"/>
                <w:sz w:val="16"/>
              </w:rPr>
              <w:t>1,00</w:t>
            </w:r>
          </w:p>
        </w:tc>
        <w:tc>
          <w:tcPr>
            <w:tcW w:w="1073" w:type="dxa"/>
          </w:tcPr>
          <w:p w14:paraId="2CDD6668">
            <w:r>
              <w:rPr>
                <w:rFonts w:ascii="Arial" w:hAnsi="Arial" w:eastAsia="Arial" w:cs="Arial"/>
                <w:b w:val="0"/>
                <w:sz w:val="16"/>
              </w:rPr>
              <w:t>-0,12***</w:t>
            </w:r>
          </w:p>
        </w:tc>
      </w:tr>
      <w:tr w14:paraId="547A6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C8367AE">
            <w:r>
              <w:rPr>
                <w:rFonts w:ascii="Arial" w:hAnsi="Arial" w:eastAsia="Arial" w:cs="Arial"/>
                <w:b w:val="0"/>
                <w:sz w:val="16"/>
              </w:rPr>
              <w:t>Reprovação no ano anterior — 3ª série</w:t>
            </w:r>
          </w:p>
        </w:tc>
        <w:tc>
          <w:tcPr>
            <w:tcW w:w="1254" w:type="dxa"/>
          </w:tcPr>
          <w:p w14:paraId="10EEACDF">
            <w:r>
              <w:rPr>
                <w:rFonts w:ascii="Arial" w:hAnsi="Arial" w:eastAsia="Arial" w:cs="Arial"/>
                <w:b w:val="0"/>
                <w:sz w:val="16"/>
              </w:rPr>
              <w:t>1,70</w:t>
            </w:r>
          </w:p>
        </w:tc>
        <w:tc>
          <w:tcPr>
            <w:tcW w:w="1246" w:type="dxa"/>
          </w:tcPr>
          <w:p w14:paraId="05BD3EB5">
            <w:r>
              <w:rPr>
                <w:rFonts w:ascii="Arial" w:hAnsi="Arial" w:eastAsia="Arial" w:cs="Arial"/>
                <w:b w:val="0"/>
                <w:sz w:val="16"/>
              </w:rPr>
              <w:t>3,15</w:t>
            </w:r>
          </w:p>
        </w:tc>
        <w:tc>
          <w:tcPr>
            <w:tcW w:w="1318" w:type="dxa"/>
          </w:tcPr>
          <w:p w14:paraId="1B50522A">
            <w:r>
              <w:rPr>
                <w:rFonts w:ascii="Arial" w:hAnsi="Arial" w:eastAsia="Arial" w:cs="Arial"/>
                <w:b w:val="0"/>
                <w:sz w:val="16"/>
              </w:rPr>
              <w:t>0,00</w:t>
            </w:r>
          </w:p>
        </w:tc>
        <w:tc>
          <w:tcPr>
            <w:tcW w:w="1373" w:type="dxa"/>
          </w:tcPr>
          <w:p w14:paraId="716B00DD">
            <w:r>
              <w:rPr>
                <w:rFonts w:ascii="Arial" w:hAnsi="Arial" w:eastAsia="Arial" w:cs="Arial"/>
                <w:b w:val="0"/>
                <w:sz w:val="16"/>
              </w:rPr>
              <w:t>0,55</w:t>
            </w:r>
          </w:p>
        </w:tc>
        <w:tc>
          <w:tcPr>
            <w:tcW w:w="1327" w:type="dxa"/>
          </w:tcPr>
          <w:p w14:paraId="4CBAB16F">
            <w:r>
              <w:rPr>
                <w:rFonts w:ascii="Arial" w:hAnsi="Arial" w:eastAsia="Arial" w:cs="Arial"/>
                <w:b w:val="0"/>
                <w:sz w:val="16"/>
              </w:rPr>
              <w:t>38,50</w:t>
            </w:r>
          </w:p>
        </w:tc>
        <w:tc>
          <w:tcPr>
            <w:tcW w:w="1073" w:type="dxa"/>
          </w:tcPr>
          <w:p w14:paraId="61AD91CC">
            <w:r>
              <w:rPr>
                <w:rFonts w:ascii="Arial" w:hAnsi="Arial" w:eastAsia="Arial" w:cs="Arial"/>
                <w:b w:val="0"/>
                <w:sz w:val="16"/>
              </w:rPr>
              <w:t>0,12***</w:t>
            </w:r>
          </w:p>
        </w:tc>
      </w:tr>
      <w:tr w14:paraId="6F5C0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55152B4">
            <w:r>
              <w:rPr>
                <w:rFonts w:ascii="Arial" w:hAnsi="Arial" w:eastAsia="Arial" w:cs="Arial"/>
                <w:b w:val="0"/>
                <w:sz w:val="16"/>
              </w:rPr>
              <w:t>Alunos por docente</w:t>
            </w:r>
          </w:p>
        </w:tc>
        <w:tc>
          <w:tcPr>
            <w:tcW w:w="1254" w:type="dxa"/>
          </w:tcPr>
          <w:p w14:paraId="2185DE25">
            <w:r>
              <w:rPr>
                <w:rFonts w:ascii="Arial" w:hAnsi="Arial" w:eastAsia="Arial" w:cs="Arial"/>
                <w:b w:val="0"/>
                <w:sz w:val="16"/>
              </w:rPr>
              <w:t>18,29</w:t>
            </w:r>
          </w:p>
        </w:tc>
        <w:tc>
          <w:tcPr>
            <w:tcW w:w="1246" w:type="dxa"/>
          </w:tcPr>
          <w:p w14:paraId="162ADDBA">
            <w:r>
              <w:rPr>
                <w:rFonts w:ascii="Arial" w:hAnsi="Arial" w:eastAsia="Arial" w:cs="Arial"/>
                <w:b w:val="0"/>
                <w:sz w:val="16"/>
              </w:rPr>
              <w:t>5,95</w:t>
            </w:r>
          </w:p>
        </w:tc>
        <w:tc>
          <w:tcPr>
            <w:tcW w:w="1318" w:type="dxa"/>
          </w:tcPr>
          <w:p w14:paraId="73884017">
            <w:r>
              <w:rPr>
                <w:rFonts w:ascii="Arial" w:hAnsi="Arial" w:eastAsia="Arial" w:cs="Arial"/>
                <w:b w:val="0"/>
                <w:sz w:val="16"/>
              </w:rPr>
              <w:t>1,00</w:t>
            </w:r>
          </w:p>
        </w:tc>
        <w:tc>
          <w:tcPr>
            <w:tcW w:w="1373" w:type="dxa"/>
          </w:tcPr>
          <w:p w14:paraId="4E9D7854">
            <w:r>
              <w:rPr>
                <w:rFonts w:ascii="Arial" w:hAnsi="Arial" w:eastAsia="Arial" w:cs="Arial"/>
                <w:b w:val="0"/>
                <w:sz w:val="16"/>
              </w:rPr>
              <w:t>18,82</w:t>
            </w:r>
          </w:p>
        </w:tc>
        <w:tc>
          <w:tcPr>
            <w:tcW w:w="1327" w:type="dxa"/>
          </w:tcPr>
          <w:p w14:paraId="74E1E79F">
            <w:r>
              <w:rPr>
                <w:rFonts w:ascii="Arial" w:hAnsi="Arial" w:eastAsia="Arial" w:cs="Arial"/>
                <w:b w:val="0"/>
                <w:sz w:val="16"/>
              </w:rPr>
              <w:t>34,25</w:t>
            </w:r>
          </w:p>
        </w:tc>
        <w:tc>
          <w:tcPr>
            <w:tcW w:w="1073" w:type="dxa"/>
          </w:tcPr>
          <w:p w14:paraId="4F5580E4">
            <w:r>
              <w:rPr>
                <w:rFonts w:ascii="Arial" w:hAnsi="Arial" w:eastAsia="Arial" w:cs="Arial"/>
                <w:b w:val="0"/>
                <w:sz w:val="16"/>
              </w:rPr>
              <w:t>-0,09***</w:t>
            </w:r>
          </w:p>
        </w:tc>
      </w:tr>
      <w:tr w14:paraId="68776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C4FE424">
            <w:r>
              <w:rPr>
                <w:rFonts w:ascii="Arial" w:hAnsi="Arial" w:eastAsia="Arial" w:cs="Arial"/>
                <w:b w:val="0"/>
                <w:sz w:val="16"/>
              </w:rPr>
              <w:t>Regularidade do corpo docente (IRD)</w:t>
            </w:r>
          </w:p>
        </w:tc>
        <w:tc>
          <w:tcPr>
            <w:tcW w:w="1254" w:type="dxa"/>
          </w:tcPr>
          <w:p w14:paraId="2D2F0743">
            <w:r>
              <w:rPr>
                <w:rFonts w:ascii="Arial" w:hAnsi="Arial" w:eastAsia="Arial" w:cs="Arial"/>
                <w:b w:val="0"/>
                <w:sz w:val="16"/>
              </w:rPr>
              <w:t>3,36</w:t>
            </w:r>
          </w:p>
        </w:tc>
        <w:tc>
          <w:tcPr>
            <w:tcW w:w="1246" w:type="dxa"/>
          </w:tcPr>
          <w:p w14:paraId="2CE583F0">
            <w:r>
              <w:rPr>
                <w:rFonts w:ascii="Arial" w:hAnsi="Arial" w:eastAsia="Arial" w:cs="Arial"/>
                <w:b w:val="0"/>
                <w:sz w:val="16"/>
              </w:rPr>
              <w:t>0,49</w:t>
            </w:r>
          </w:p>
        </w:tc>
        <w:tc>
          <w:tcPr>
            <w:tcW w:w="1318" w:type="dxa"/>
          </w:tcPr>
          <w:p w14:paraId="73A56C77">
            <w:r>
              <w:rPr>
                <w:rFonts w:ascii="Arial" w:hAnsi="Arial" w:eastAsia="Arial" w:cs="Arial"/>
                <w:b w:val="0"/>
                <w:sz w:val="16"/>
              </w:rPr>
              <w:t>1,84</w:t>
            </w:r>
          </w:p>
        </w:tc>
        <w:tc>
          <w:tcPr>
            <w:tcW w:w="1373" w:type="dxa"/>
          </w:tcPr>
          <w:p w14:paraId="255D6015">
            <w:r>
              <w:rPr>
                <w:rFonts w:ascii="Arial" w:hAnsi="Arial" w:eastAsia="Arial" w:cs="Arial"/>
                <w:b w:val="0"/>
                <w:sz w:val="16"/>
              </w:rPr>
              <w:t>3,36</w:t>
            </w:r>
          </w:p>
        </w:tc>
        <w:tc>
          <w:tcPr>
            <w:tcW w:w="1327" w:type="dxa"/>
          </w:tcPr>
          <w:p w14:paraId="04261BB5">
            <w:r>
              <w:rPr>
                <w:rFonts w:ascii="Arial" w:hAnsi="Arial" w:eastAsia="Arial" w:cs="Arial"/>
                <w:b w:val="0"/>
                <w:sz w:val="16"/>
              </w:rPr>
              <w:t>4,86</w:t>
            </w:r>
          </w:p>
        </w:tc>
        <w:tc>
          <w:tcPr>
            <w:tcW w:w="1073" w:type="dxa"/>
          </w:tcPr>
          <w:p w14:paraId="5C450C4B">
            <w:r>
              <w:rPr>
                <w:rFonts w:ascii="Arial" w:hAnsi="Arial" w:eastAsia="Arial" w:cs="Arial"/>
                <w:b w:val="0"/>
                <w:sz w:val="16"/>
              </w:rPr>
              <w:t>0,08**</w:t>
            </w:r>
          </w:p>
        </w:tc>
      </w:tr>
      <w:tr w14:paraId="4C144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8CA928C">
            <w:r>
              <w:rPr>
                <w:rFonts w:ascii="Arial" w:hAnsi="Arial" w:eastAsia="Arial" w:cs="Arial"/>
                <w:b w:val="0"/>
                <w:sz w:val="16"/>
              </w:rPr>
              <w:t>Computadores por aluno</w:t>
            </w:r>
          </w:p>
        </w:tc>
        <w:tc>
          <w:tcPr>
            <w:tcW w:w="1254" w:type="dxa"/>
          </w:tcPr>
          <w:p w14:paraId="26A911A1">
            <w:r>
              <w:rPr>
                <w:rFonts w:ascii="Arial" w:hAnsi="Arial" w:eastAsia="Arial" w:cs="Arial"/>
                <w:b w:val="0"/>
                <w:sz w:val="16"/>
              </w:rPr>
              <w:t>0,07</w:t>
            </w:r>
          </w:p>
        </w:tc>
        <w:tc>
          <w:tcPr>
            <w:tcW w:w="1246" w:type="dxa"/>
          </w:tcPr>
          <w:p w14:paraId="00F600EC">
            <w:r>
              <w:rPr>
                <w:rFonts w:ascii="Arial" w:hAnsi="Arial" w:eastAsia="Arial" w:cs="Arial"/>
                <w:b w:val="0"/>
                <w:sz w:val="16"/>
              </w:rPr>
              <w:t>0,11</w:t>
            </w:r>
          </w:p>
        </w:tc>
        <w:tc>
          <w:tcPr>
            <w:tcW w:w="1318" w:type="dxa"/>
          </w:tcPr>
          <w:p w14:paraId="0CCDB7F2">
            <w:r>
              <w:rPr>
                <w:rFonts w:ascii="Arial" w:hAnsi="Arial" w:eastAsia="Arial" w:cs="Arial"/>
                <w:b w:val="0"/>
                <w:sz w:val="16"/>
              </w:rPr>
              <w:t>0,00</w:t>
            </w:r>
          </w:p>
        </w:tc>
        <w:tc>
          <w:tcPr>
            <w:tcW w:w="1373" w:type="dxa"/>
          </w:tcPr>
          <w:p w14:paraId="6550D693">
            <w:r>
              <w:rPr>
                <w:rFonts w:ascii="Arial" w:hAnsi="Arial" w:eastAsia="Arial" w:cs="Arial"/>
                <w:b w:val="0"/>
                <w:sz w:val="16"/>
              </w:rPr>
              <w:t>0,04</w:t>
            </w:r>
          </w:p>
        </w:tc>
        <w:tc>
          <w:tcPr>
            <w:tcW w:w="1327" w:type="dxa"/>
          </w:tcPr>
          <w:p w14:paraId="6BB028D5">
            <w:r>
              <w:rPr>
                <w:rFonts w:ascii="Arial" w:hAnsi="Arial" w:eastAsia="Arial" w:cs="Arial"/>
                <w:b w:val="0"/>
                <w:sz w:val="16"/>
              </w:rPr>
              <w:t>2,00</w:t>
            </w:r>
          </w:p>
        </w:tc>
        <w:tc>
          <w:tcPr>
            <w:tcW w:w="1073" w:type="dxa"/>
          </w:tcPr>
          <w:p w14:paraId="6A88CFA6">
            <w:r>
              <w:rPr>
                <w:rFonts w:ascii="Arial" w:hAnsi="Arial" w:eastAsia="Arial" w:cs="Arial"/>
                <w:b w:val="0"/>
                <w:sz w:val="16"/>
              </w:rPr>
              <w:t>-0,08**</w:t>
            </w:r>
          </w:p>
        </w:tc>
      </w:tr>
      <w:tr w14:paraId="219AF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2B0DBEB">
            <w:r>
              <w:rPr>
                <w:rFonts w:ascii="Arial" w:hAnsi="Arial" w:eastAsia="Arial" w:cs="Arial"/>
                <w:b w:val="0"/>
                <w:sz w:val="16"/>
              </w:rPr>
              <w:t>Porte (logaritmo do nº de matrículas)</w:t>
            </w:r>
          </w:p>
        </w:tc>
        <w:tc>
          <w:tcPr>
            <w:tcW w:w="1254" w:type="dxa"/>
          </w:tcPr>
          <w:p w14:paraId="1874AE33">
            <w:r>
              <w:rPr>
                <w:rFonts w:ascii="Arial" w:hAnsi="Arial" w:eastAsia="Arial" w:cs="Arial"/>
                <w:b w:val="0"/>
                <w:sz w:val="16"/>
              </w:rPr>
              <w:t>5,73</w:t>
            </w:r>
          </w:p>
        </w:tc>
        <w:tc>
          <w:tcPr>
            <w:tcW w:w="1246" w:type="dxa"/>
          </w:tcPr>
          <w:p w14:paraId="465F1450">
            <w:r>
              <w:rPr>
                <w:rFonts w:ascii="Arial" w:hAnsi="Arial" w:eastAsia="Arial" w:cs="Arial"/>
                <w:b w:val="0"/>
                <w:sz w:val="16"/>
              </w:rPr>
              <w:t>0,71</w:t>
            </w:r>
          </w:p>
        </w:tc>
        <w:tc>
          <w:tcPr>
            <w:tcW w:w="1318" w:type="dxa"/>
          </w:tcPr>
          <w:p w14:paraId="2BDD4193">
            <w:r>
              <w:rPr>
                <w:rFonts w:ascii="Arial" w:hAnsi="Arial" w:eastAsia="Arial" w:cs="Arial"/>
                <w:b w:val="0"/>
                <w:sz w:val="16"/>
              </w:rPr>
              <w:t>2,08</w:t>
            </w:r>
          </w:p>
        </w:tc>
        <w:tc>
          <w:tcPr>
            <w:tcW w:w="1373" w:type="dxa"/>
          </w:tcPr>
          <w:p w14:paraId="303DF2AB">
            <w:r>
              <w:rPr>
                <w:rFonts w:ascii="Arial" w:hAnsi="Arial" w:eastAsia="Arial" w:cs="Arial"/>
                <w:b w:val="0"/>
                <w:sz w:val="16"/>
              </w:rPr>
              <w:t>5,87</w:t>
            </w:r>
          </w:p>
        </w:tc>
        <w:tc>
          <w:tcPr>
            <w:tcW w:w="1327" w:type="dxa"/>
          </w:tcPr>
          <w:p w14:paraId="5A0FF2CF">
            <w:r>
              <w:rPr>
                <w:rFonts w:ascii="Arial" w:hAnsi="Arial" w:eastAsia="Arial" w:cs="Arial"/>
                <w:b w:val="0"/>
                <w:sz w:val="16"/>
              </w:rPr>
              <w:t>7,23</w:t>
            </w:r>
          </w:p>
        </w:tc>
        <w:tc>
          <w:tcPr>
            <w:tcW w:w="1073" w:type="dxa"/>
          </w:tcPr>
          <w:p w14:paraId="150ECADF">
            <w:r>
              <w:rPr>
                <w:rFonts w:ascii="Arial" w:hAnsi="Arial" w:eastAsia="Arial" w:cs="Arial"/>
                <w:b w:val="0"/>
                <w:sz w:val="16"/>
              </w:rPr>
              <w:t>-0,04</w:t>
            </w:r>
          </w:p>
        </w:tc>
      </w:tr>
      <w:tr w14:paraId="2FF0A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5BDD1DC">
            <w:r>
              <w:rPr>
                <w:rFonts w:ascii="Arial" w:hAnsi="Arial" w:eastAsia="Arial" w:cs="Arial"/>
                <w:b w:val="0"/>
                <w:sz w:val="16"/>
              </w:rPr>
              <w:t>Adequação da formação docente — Grupo 3</w:t>
            </w:r>
          </w:p>
        </w:tc>
        <w:tc>
          <w:tcPr>
            <w:tcW w:w="1254" w:type="dxa"/>
          </w:tcPr>
          <w:p w14:paraId="147F73AF">
            <w:r>
              <w:rPr>
                <w:rFonts w:ascii="Arial" w:hAnsi="Arial" w:eastAsia="Arial" w:cs="Arial"/>
                <w:b w:val="0"/>
                <w:sz w:val="16"/>
              </w:rPr>
              <w:t>39,44</w:t>
            </w:r>
          </w:p>
        </w:tc>
        <w:tc>
          <w:tcPr>
            <w:tcW w:w="1246" w:type="dxa"/>
          </w:tcPr>
          <w:p w14:paraId="142263EE">
            <w:r>
              <w:rPr>
                <w:rFonts w:ascii="Arial" w:hAnsi="Arial" w:eastAsia="Arial" w:cs="Arial"/>
                <w:b w:val="0"/>
                <w:sz w:val="16"/>
              </w:rPr>
              <w:t>13,06</w:t>
            </w:r>
          </w:p>
        </w:tc>
        <w:tc>
          <w:tcPr>
            <w:tcW w:w="1318" w:type="dxa"/>
          </w:tcPr>
          <w:p w14:paraId="61C36AFD">
            <w:r>
              <w:rPr>
                <w:rFonts w:ascii="Arial" w:hAnsi="Arial" w:eastAsia="Arial" w:cs="Arial"/>
                <w:b w:val="0"/>
                <w:sz w:val="16"/>
              </w:rPr>
              <w:t>0,00</w:t>
            </w:r>
          </w:p>
        </w:tc>
        <w:tc>
          <w:tcPr>
            <w:tcW w:w="1373" w:type="dxa"/>
          </w:tcPr>
          <w:p w14:paraId="424B1875">
            <w:r>
              <w:rPr>
                <w:rFonts w:ascii="Arial" w:hAnsi="Arial" w:eastAsia="Arial" w:cs="Arial"/>
                <w:b w:val="0"/>
                <w:sz w:val="16"/>
              </w:rPr>
              <w:t>40,20</w:t>
            </w:r>
          </w:p>
        </w:tc>
        <w:tc>
          <w:tcPr>
            <w:tcW w:w="1327" w:type="dxa"/>
          </w:tcPr>
          <w:p w14:paraId="0244A675">
            <w:r>
              <w:rPr>
                <w:rFonts w:ascii="Arial" w:hAnsi="Arial" w:eastAsia="Arial" w:cs="Arial"/>
                <w:b w:val="0"/>
                <w:sz w:val="16"/>
              </w:rPr>
              <w:t>100,00</w:t>
            </w:r>
          </w:p>
        </w:tc>
        <w:tc>
          <w:tcPr>
            <w:tcW w:w="1073" w:type="dxa"/>
          </w:tcPr>
          <w:p w14:paraId="73C21BB6">
            <w:r>
              <w:rPr>
                <w:rFonts w:ascii="Arial" w:hAnsi="Arial" w:eastAsia="Arial" w:cs="Arial"/>
                <w:b w:val="0"/>
                <w:sz w:val="16"/>
              </w:rPr>
              <w:t>0,01</w:t>
            </w:r>
          </w:p>
        </w:tc>
      </w:tr>
    </w:tbl>
    <w:p w14:paraId="6DD543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835210E">
      <w:pPr>
        <w:pStyle w:val="3"/>
        <w:ind w:firstLine="0"/>
        <w:rPr>
          <w:color w:val="2E75B5"/>
        </w:rPr>
      </w:pPr>
      <w:r>
        <w:rPr>
          <w:rFonts w:ascii="Arial" w:hAnsi="Arial" w:eastAsia="Arial" w:cs="Arial"/>
          <w:b w:val="0"/>
        </w:rPr>
        <w:t>Nota: as taxas de Ensino Médio publicadas pelo INEP agregam a 1ª, 2ª e 3ª séries, a 4ª série e a matrícula não seriada (educação de jovens e adultos e organização modular). Por isso o valor da rede pode superar o máximo observado em qualquer série isolada: o máximo de 55,3% na reprovação corresponde a uma escola cuja matrícula de Ensino Médio é integralmente não seriada. As 283 observações nessa situação — 17,8% do conjunto — estão identificadas pelo atributo “Oferta de EM fora das séries regulares”, no Quadro 7. Nessas escolas, os valores por série são estimados pela média da mesorregião no mesmo ano, e não devem ser lidos como observação direta.</w:t>
      </w:r>
    </w:p>
    <w:p w14:paraId="383842E1">
      <w:pPr>
        <w:pStyle w:val="3"/>
        <w:ind w:firstLine="0"/>
        <w:rPr>
          <w:color w:val="2E75B5"/>
        </w:rPr>
      </w:pPr>
      <w:r>
        <w:rPr>
          <w:rFonts w:ascii="Arial" w:hAnsi="Arial" w:eastAsia="Arial" w:cs="Arial"/>
          <w:b w:val="0"/>
        </w:rPr>
        <w:t>O quadro revela três padrões que condicionam o restante do trabalho. O primeiro é a concentração em zero das características de fluxo: metade das escolas não registrou abandono no ano anterior, e a média de 1,72% é puxada por poucas escolas com valores muito altos, até 43,6%. O segundo é o comportamento quase binário do tempo integral: a rede se divide entre escolas totalmente integrais e escolas sem nenhuma matrícula nessa modalidade, com pouca coisa no meio. O terceiro é a distribuição equilibrada da defasagem idade-série, em torno de 23%, o que a torna especialmente útil para diferenciar escolas.</w:t>
      </w:r>
    </w:p>
    <w:p w14:paraId="40E2264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8 – Distribuição das 23 características contínuas na rede estadual</w:t>
      </w:r>
    </w:p>
    <w:p w14:paraId="14322AF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759450" cy="6416675"/>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760000" cy="6417181"/>
                    </a:xfrm>
                    <a:prstGeom prst="rect">
                      <a:avLst/>
                    </a:prstGeom>
                  </pic:spPr>
                </pic:pic>
              </a:graphicData>
            </a:graphic>
          </wp:inline>
        </w:drawing>
      </w:r>
    </w:p>
    <w:p w14:paraId="6EB9C23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9D914D">
      <w:pPr>
        <w:pStyle w:val="5"/>
        <w:numPr>
          <w:ilvl w:val="2"/>
          <w:numId w:val="1"/>
        </w:numPr>
      </w:pPr>
      <w:bookmarkStart w:id="45" w:name="_Toc27671"/>
      <w:r>
        <w:rPr>
          <w:rFonts w:ascii="Arial" w:hAnsi="Arial" w:eastAsia="Arial" w:cs="Arial"/>
          <w:b w:val="0"/>
        </w:rPr>
        <w:t>Análise Estatística das Características de Sim ou Não</w:t>
      </w:r>
      <w:bookmarkEnd w:id="45"/>
    </w:p>
    <w:p w14:paraId="5679240A">
      <w:pPr>
        <w:pStyle w:val="3"/>
        <w:ind w:firstLine="0"/>
        <w:rPr>
          <w:color w:val="2E75B5"/>
        </w:rPr>
      </w:pPr>
      <w:r>
        <w:rPr>
          <w:rFonts w:ascii="Arial" w:hAnsi="Arial" w:eastAsia="Arial" w:cs="Arial"/>
          <w:b w:val="0"/>
        </w:rPr>
        <w:t>As 15 características de sim ou não são comparadas de outra forma: qual o abandono médio das escolas que têm o atributo e das que não têm. A maior diferença não vem da infraestrutura, e sim da localização. Escolas indígenas e quilombolas têm abandono médio de 8,95%, contra 0,70% das demais; as rurais, 3,74% contra 0,70%. Os itens de infraestrutura produzem diferenças bem menores, de 0,5 a 2 pontos percentuais, mas todas na mesma direção: escolas com biblioteca, laboratórios, quadra e internet para alunos abandonam menos.</w:t>
      </w:r>
    </w:p>
    <w:p w14:paraId="7AA9F113">
      <w:pPr>
        <w:pStyle w:val="3"/>
        <w:ind w:firstLine="0"/>
        <w:rPr>
          <w:color w:val="2E75B5"/>
        </w:rPr>
      </w:pPr>
      <w:r>
        <w:rPr>
          <w:rFonts w:ascii="Arial" w:hAnsi="Arial" w:eastAsia="Arial" w:cs="Arial"/>
          <w:b w:val="0"/>
        </w:rPr>
        <w:t>O Quadro 7 reúne duas leituras distintas de cada atributo, e vale distingui-las. As duas primeiras colunas repartem as 1.586 observações em dois grupos — as escolas que têm o atributo e as que não têm — e por isso se completam: somadas, dão o total da rede. As duas colunas seguintes são de outra natureza: cada uma traz a taxa média de abandono no ano seguinte dentro de um desses grupos. São duas médias do mesmo indicador, medidas em conjuntos diferentes de escolas, e não há razão para que se somem a 100% — o que interessa nelas é a distância entre uma e outra, registrada na última coluna. As contagens aparecem ao lado dos percentuais porque a comparação só se sustenta quando os dois grupos têm tamanho suficiente.</w:t>
      </w:r>
    </w:p>
    <w:p w14:paraId="27C16D8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7 – Repartição das escolas por atributo de sim ou não e abandono médio de cada grupo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400"/>
        <w:gridCol w:w="1360"/>
        <w:gridCol w:w="1360"/>
        <w:gridCol w:w="1330"/>
        <w:gridCol w:w="1330"/>
        <w:gridCol w:w="1290"/>
      </w:tblGrid>
      <w:tr w14:paraId="579655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7C17F56">
            <w:r>
              <w:rPr>
                <w:rFonts w:ascii="Arial" w:hAnsi="Arial" w:eastAsia="Arial" w:cs="Arial"/>
                <w:b/>
                <w:sz w:val="16"/>
              </w:rPr>
              <w:t>Atributo</w:t>
            </w:r>
          </w:p>
        </w:tc>
        <w:tc>
          <w:tcPr>
            <w:tcW w:w="2" w:type="dxa"/>
          </w:tcPr>
          <w:p w14:paraId="5FAADEDF">
            <w:r>
              <w:rPr>
                <w:rFonts w:ascii="Arial" w:hAnsi="Arial" w:eastAsia="Arial" w:cs="Arial"/>
                <w:b/>
                <w:sz w:val="16"/>
              </w:rPr>
              <w:t>Escolas que têm</w:t>
            </w:r>
          </w:p>
        </w:tc>
        <w:tc>
          <w:tcPr>
            <w:tcW w:w="2" w:type="dxa"/>
          </w:tcPr>
          <w:p w14:paraId="5DE225C5">
            <w:r>
              <w:rPr>
                <w:rFonts w:ascii="Arial" w:hAnsi="Arial" w:eastAsia="Arial" w:cs="Arial"/>
                <w:b/>
                <w:sz w:val="16"/>
              </w:rPr>
              <w:t>Escolas que não têm</w:t>
            </w:r>
          </w:p>
        </w:tc>
        <w:tc>
          <w:tcPr>
            <w:tcW w:w="2" w:type="dxa"/>
          </w:tcPr>
          <w:p w14:paraId="60F7DF19">
            <w:r>
              <w:rPr>
                <w:rFonts w:ascii="Arial" w:hAnsi="Arial" w:eastAsia="Arial" w:cs="Arial"/>
                <w:b/>
                <w:sz w:val="16"/>
              </w:rPr>
              <w:t>Abandono médio se tem</w:t>
            </w:r>
          </w:p>
        </w:tc>
        <w:tc>
          <w:tcPr>
            <w:tcW w:w="2" w:type="dxa"/>
          </w:tcPr>
          <w:p w14:paraId="08A04792">
            <w:r>
              <w:rPr>
                <w:rFonts w:ascii="Arial" w:hAnsi="Arial" w:eastAsia="Arial" w:cs="Arial"/>
                <w:b/>
                <w:sz w:val="16"/>
              </w:rPr>
              <w:t>Abandono médio se não tem</w:t>
            </w:r>
          </w:p>
        </w:tc>
        <w:tc>
          <w:tcPr>
            <w:tcW w:w="2" w:type="dxa"/>
          </w:tcPr>
          <w:p w14:paraId="098BCD70">
            <w:r>
              <w:rPr>
                <w:rFonts w:ascii="Arial" w:hAnsi="Arial" w:eastAsia="Arial" w:cs="Arial"/>
                <w:b/>
                <w:sz w:val="16"/>
              </w:rPr>
              <w:t>Diferença (p.p.)</w:t>
            </w:r>
          </w:p>
        </w:tc>
      </w:tr>
      <w:tr w14:paraId="2B1A0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24B628D">
            <w:r>
              <w:rPr>
                <w:rFonts w:ascii="Arial" w:hAnsi="Arial" w:eastAsia="Arial" w:cs="Arial"/>
                <w:b w:val="0"/>
                <w:sz w:val="16"/>
              </w:rPr>
              <w:t>Localização diferenciada (indígena/quilombola)</w:t>
            </w:r>
          </w:p>
        </w:tc>
        <w:tc>
          <w:tcPr>
            <w:tcW w:w="2" w:type="dxa"/>
          </w:tcPr>
          <w:p w14:paraId="7AE071E1">
            <w:r>
              <w:rPr>
                <w:rFonts w:ascii="Arial" w:hAnsi="Arial" w:eastAsia="Arial" w:cs="Arial"/>
                <w:b w:val="0"/>
                <w:sz w:val="16"/>
              </w:rPr>
              <w:t>81 (5,1%)</w:t>
            </w:r>
          </w:p>
        </w:tc>
        <w:tc>
          <w:tcPr>
            <w:tcW w:w="2" w:type="dxa"/>
          </w:tcPr>
          <w:p w14:paraId="0ABD7409">
            <w:r>
              <w:rPr>
                <w:rFonts w:ascii="Arial" w:hAnsi="Arial" w:eastAsia="Arial" w:cs="Arial"/>
                <w:b w:val="0"/>
                <w:sz w:val="16"/>
              </w:rPr>
              <w:t>1.505 (94,9%)</w:t>
            </w:r>
          </w:p>
        </w:tc>
        <w:tc>
          <w:tcPr>
            <w:tcW w:w="2" w:type="dxa"/>
          </w:tcPr>
          <w:p w14:paraId="62878B2B">
            <w:r>
              <w:rPr>
                <w:rFonts w:ascii="Arial" w:hAnsi="Arial" w:eastAsia="Arial" w:cs="Arial"/>
                <w:b w:val="0"/>
                <w:sz w:val="16"/>
              </w:rPr>
              <w:t>8,95%</w:t>
            </w:r>
          </w:p>
        </w:tc>
        <w:tc>
          <w:tcPr>
            <w:tcW w:w="2" w:type="dxa"/>
          </w:tcPr>
          <w:p w14:paraId="086C4CE4">
            <w:r>
              <w:rPr>
                <w:rFonts w:ascii="Arial" w:hAnsi="Arial" w:eastAsia="Arial" w:cs="Arial"/>
                <w:b w:val="0"/>
                <w:sz w:val="16"/>
              </w:rPr>
              <w:t>0,70%</w:t>
            </w:r>
          </w:p>
        </w:tc>
        <w:tc>
          <w:tcPr>
            <w:tcW w:w="2" w:type="dxa"/>
          </w:tcPr>
          <w:p w14:paraId="7118E521">
            <w:r>
              <w:rPr>
                <w:rFonts w:ascii="Arial" w:hAnsi="Arial" w:eastAsia="Arial" w:cs="Arial"/>
                <w:b w:val="0"/>
                <w:sz w:val="16"/>
              </w:rPr>
              <w:t>8,25***</w:t>
            </w:r>
          </w:p>
        </w:tc>
      </w:tr>
      <w:tr w14:paraId="5CA78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134C5FC">
            <w:r>
              <w:rPr>
                <w:rFonts w:ascii="Arial" w:hAnsi="Arial" w:eastAsia="Arial" w:cs="Arial"/>
                <w:b w:val="0"/>
                <w:sz w:val="16"/>
              </w:rPr>
              <w:t>Localização rural</w:t>
            </w:r>
          </w:p>
        </w:tc>
        <w:tc>
          <w:tcPr>
            <w:tcW w:w="2" w:type="dxa"/>
          </w:tcPr>
          <w:p w14:paraId="712CFE50">
            <w:r>
              <w:rPr>
                <w:rFonts w:ascii="Arial" w:hAnsi="Arial" w:eastAsia="Arial" w:cs="Arial"/>
                <w:b w:val="0"/>
                <w:sz w:val="16"/>
              </w:rPr>
              <w:t>218 (13,7%)</w:t>
            </w:r>
          </w:p>
        </w:tc>
        <w:tc>
          <w:tcPr>
            <w:tcW w:w="2" w:type="dxa"/>
          </w:tcPr>
          <w:p w14:paraId="1E759E4B">
            <w:r>
              <w:rPr>
                <w:rFonts w:ascii="Arial" w:hAnsi="Arial" w:eastAsia="Arial" w:cs="Arial"/>
                <w:b w:val="0"/>
                <w:sz w:val="16"/>
              </w:rPr>
              <w:t>1.368 (86,3%)</w:t>
            </w:r>
          </w:p>
        </w:tc>
        <w:tc>
          <w:tcPr>
            <w:tcW w:w="2" w:type="dxa"/>
          </w:tcPr>
          <w:p w14:paraId="218C6F28">
            <w:r>
              <w:rPr>
                <w:rFonts w:ascii="Arial" w:hAnsi="Arial" w:eastAsia="Arial" w:cs="Arial"/>
                <w:b w:val="0"/>
                <w:sz w:val="16"/>
              </w:rPr>
              <w:t>3,74%</w:t>
            </w:r>
          </w:p>
        </w:tc>
        <w:tc>
          <w:tcPr>
            <w:tcW w:w="2" w:type="dxa"/>
          </w:tcPr>
          <w:p w14:paraId="21187962">
            <w:r>
              <w:rPr>
                <w:rFonts w:ascii="Arial" w:hAnsi="Arial" w:eastAsia="Arial" w:cs="Arial"/>
                <w:b w:val="0"/>
                <w:sz w:val="16"/>
              </w:rPr>
              <w:t>0,70%</w:t>
            </w:r>
          </w:p>
        </w:tc>
        <w:tc>
          <w:tcPr>
            <w:tcW w:w="2" w:type="dxa"/>
          </w:tcPr>
          <w:p w14:paraId="278EBA90">
            <w:r>
              <w:rPr>
                <w:rFonts w:ascii="Arial" w:hAnsi="Arial" w:eastAsia="Arial" w:cs="Arial"/>
                <w:b w:val="0"/>
                <w:sz w:val="16"/>
              </w:rPr>
              <w:t>3,04***</w:t>
            </w:r>
          </w:p>
        </w:tc>
      </w:tr>
      <w:tr w14:paraId="5E0EB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8EAF01B">
            <w:r>
              <w:rPr>
                <w:rFonts w:ascii="Arial" w:hAnsi="Arial" w:eastAsia="Arial" w:cs="Arial"/>
                <w:b w:val="0"/>
                <w:sz w:val="16"/>
              </w:rPr>
              <w:t>Biblioteca</w:t>
            </w:r>
          </w:p>
        </w:tc>
        <w:tc>
          <w:tcPr>
            <w:tcW w:w="2" w:type="dxa"/>
          </w:tcPr>
          <w:p w14:paraId="5B2484A2">
            <w:r>
              <w:rPr>
                <w:rFonts w:ascii="Arial" w:hAnsi="Arial" w:eastAsia="Arial" w:cs="Arial"/>
                <w:b w:val="0"/>
                <w:sz w:val="16"/>
              </w:rPr>
              <w:t>1.438 (90,7%)</w:t>
            </w:r>
          </w:p>
        </w:tc>
        <w:tc>
          <w:tcPr>
            <w:tcW w:w="2" w:type="dxa"/>
          </w:tcPr>
          <w:p w14:paraId="23C89318">
            <w:r>
              <w:rPr>
                <w:rFonts w:ascii="Arial" w:hAnsi="Arial" w:eastAsia="Arial" w:cs="Arial"/>
                <w:b w:val="0"/>
                <w:sz w:val="16"/>
              </w:rPr>
              <w:t>148 (9,3%)</w:t>
            </w:r>
          </w:p>
        </w:tc>
        <w:tc>
          <w:tcPr>
            <w:tcW w:w="2" w:type="dxa"/>
          </w:tcPr>
          <w:p w14:paraId="557B1DFA">
            <w:r>
              <w:rPr>
                <w:rFonts w:ascii="Arial" w:hAnsi="Arial" w:eastAsia="Arial" w:cs="Arial"/>
                <w:b w:val="0"/>
                <w:sz w:val="16"/>
              </w:rPr>
              <w:t>0,93%</w:t>
            </w:r>
          </w:p>
        </w:tc>
        <w:tc>
          <w:tcPr>
            <w:tcW w:w="2" w:type="dxa"/>
          </w:tcPr>
          <w:p w14:paraId="04F9A852">
            <w:r>
              <w:rPr>
                <w:rFonts w:ascii="Arial" w:hAnsi="Arial" w:eastAsia="Arial" w:cs="Arial"/>
                <w:b w:val="0"/>
                <w:sz w:val="16"/>
              </w:rPr>
              <w:t>3,01%</w:t>
            </w:r>
          </w:p>
        </w:tc>
        <w:tc>
          <w:tcPr>
            <w:tcW w:w="2" w:type="dxa"/>
          </w:tcPr>
          <w:p w14:paraId="0641BD45">
            <w:r>
              <w:rPr>
                <w:rFonts w:ascii="Arial" w:hAnsi="Arial" w:eastAsia="Arial" w:cs="Arial"/>
                <w:b w:val="0"/>
                <w:sz w:val="16"/>
              </w:rPr>
              <w:t>−2,08**</w:t>
            </w:r>
          </w:p>
        </w:tc>
      </w:tr>
      <w:tr w14:paraId="50199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C4CCEBE">
            <w:r>
              <w:rPr>
                <w:rFonts w:ascii="Arial" w:hAnsi="Arial" w:eastAsia="Arial" w:cs="Arial"/>
                <w:b w:val="0"/>
                <w:sz w:val="16"/>
              </w:rPr>
              <w:t>Laboratório de informática</w:t>
            </w:r>
          </w:p>
        </w:tc>
        <w:tc>
          <w:tcPr>
            <w:tcW w:w="2" w:type="dxa"/>
          </w:tcPr>
          <w:p w14:paraId="4A2AA84F">
            <w:r>
              <w:rPr>
                <w:rFonts w:ascii="Arial" w:hAnsi="Arial" w:eastAsia="Arial" w:cs="Arial"/>
                <w:b w:val="0"/>
                <w:sz w:val="16"/>
              </w:rPr>
              <w:t>1.228 (77,4%)</w:t>
            </w:r>
          </w:p>
        </w:tc>
        <w:tc>
          <w:tcPr>
            <w:tcW w:w="2" w:type="dxa"/>
          </w:tcPr>
          <w:p w14:paraId="7705BC9D">
            <w:r>
              <w:rPr>
                <w:rFonts w:ascii="Arial" w:hAnsi="Arial" w:eastAsia="Arial" w:cs="Arial"/>
                <w:b w:val="0"/>
                <w:sz w:val="16"/>
              </w:rPr>
              <w:t>358 (22,6%)</w:t>
            </w:r>
          </w:p>
        </w:tc>
        <w:tc>
          <w:tcPr>
            <w:tcW w:w="2" w:type="dxa"/>
          </w:tcPr>
          <w:p w14:paraId="72C7D5B8">
            <w:r>
              <w:rPr>
                <w:rFonts w:ascii="Arial" w:hAnsi="Arial" w:eastAsia="Arial" w:cs="Arial"/>
                <w:b w:val="0"/>
                <w:sz w:val="16"/>
              </w:rPr>
              <w:t>0,74%</w:t>
            </w:r>
          </w:p>
        </w:tc>
        <w:tc>
          <w:tcPr>
            <w:tcW w:w="2" w:type="dxa"/>
          </w:tcPr>
          <w:p w14:paraId="50D41E90">
            <w:r>
              <w:rPr>
                <w:rFonts w:ascii="Arial" w:hAnsi="Arial" w:eastAsia="Arial" w:cs="Arial"/>
                <w:b w:val="0"/>
                <w:sz w:val="16"/>
              </w:rPr>
              <w:t>2,44%</w:t>
            </w:r>
          </w:p>
        </w:tc>
        <w:tc>
          <w:tcPr>
            <w:tcW w:w="2" w:type="dxa"/>
          </w:tcPr>
          <w:p w14:paraId="1CE43156">
            <w:r>
              <w:rPr>
                <w:rFonts w:ascii="Arial" w:hAnsi="Arial" w:eastAsia="Arial" w:cs="Arial"/>
                <w:b w:val="0"/>
                <w:sz w:val="16"/>
              </w:rPr>
              <w:t>−1,71***</w:t>
            </w:r>
          </w:p>
        </w:tc>
      </w:tr>
      <w:tr w14:paraId="7A22F1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76FD924">
            <w:r>
              <w:rPr>
                <w:rFonts w:ascii="Arial" w:hAnsi="Arial" w:eastAsia="Arial" w:cs="Arial"/>
                <w:b w:val="0"/>
                <w:sz w:val="16"/>
              </w:rPr>
              <w:t>Banda larga</w:t>
            </w:r>
          </w:p>
        </w:tc>
        <w:tc>
          <w:tcPr>
            <w:tcW w:w="2" w:type="dxa"/>
          </w:tcPr>
          <w:p w14:paraId="6EEE047A">
            <w:r>
              <w:rPr>
                <w:rFonts w:ascii="Arial" w:hAnsi="Arial" w:eastAsia="Arial" w:cs="Arial"/>
                <w:b w:val="0"/>
                <w:sz w:val="16"/>
              </w:rPr>
              <w:t>1.393 (87,8%)</w:t>
            </w:r>
          </w:p>
        </w:tc>
        <w:tc>
          <w:tcPr>
            <w:tcW w:w="2" w:type="dxa"/>
          </w:tcPr>
          <w:p w14:paraId="12A7865B">
            <w:r>
              <w:rPr>
                <w:rFonts w:ascii="Arial" w:hAnsi="Arial" w:eastAsia="Arial" w:cs="Arial"/>
                <w:b w:val="0"/>
                <w:sz w:val="16"/>
              </w:rPr>
              <w:t>193 (12,2%)</w:t>
            </w:r>
          </w:p>
        </w:tc>
        <w:tc>
          <w:tcPr>
            <w:tcW w:w="2" w:type="dxa"/>
          </w:tcPr>
          <w:p w14:paraId="5268E86F">
            <w:r>
              <w:rPr>
                <w:rFonts w:ascii="Arial" w:hAnsi="Arial" w:eastAsia="Arial" w:cs="Arial"/>
                <w:b w:val="0"/>
                <w:sz w:val="16"/>
              </w:rPr>
              <w:t>0,95%</w:t>
            </w:r>
          </w:p>
        </w:tc>
        <w:tc>
          <w:tcPr>
            <w:tcW w:w="2" w:type="dxa"/>
          </w:tcPr>
          <w:p w14:paraId="668FF2A0">
            <w:r>
              <w:rPr>
                <w:rFonts w:ascii="Arial" w:hAnsi="Arial" w:eastAsia="Arial" w:cs="Arial"/>
                <w:b w:val="0"/>
                <w:sz w:val="16"/>
              </w:rPr>
              <w:t>2,34%</w:t>
            </w:r>
          </w:p>
        </w:tc>
        <w:tc>
          <w:tcPr>
            <w:tcW w:w="2" w:type="dxa"/>
          </w:tcPr>
          <w:p w14:paraId="537A77D6">
            <w:r>
              <w:rPr>
                <w:rFonts w:ascii="Arial" w:hAnsi="Arial" w:eastAsia="Arial" w:cs="Arial"/>
                <w:b w:val="0"/>
                <w:sz w:val="16"/>
              </w:rPr>
              <w:t>−1,39</w:t>
            </w:r>
          </w:p>
        </w:tc>
      </w:tr>
      <w:tr w14:paraId="03E2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50F92EB">
            <w:r>
              <w:rPr>
                <w:rFonts w:ascii="Arial" w:hAnsi="Arial" w:eastAsia="Arial" w:cs="Arial"/>
                <w:b w:val="0"/>
                <w:sz w:val="16"/>
              </w:rPr>
              <w:t>Quadra de esportes</w:t>
            </w:r>
          </w:p>
        </w:tc>
        <w:tc>
          <w:tcPr>
            <w:tcW w:w="2" w:type="dxa"/>
          </w:tcPr>
          <w:p w14:paraId="53901962">
            <w:r>
              <w:rPr>
                <w:rFonts w:ascii="Arial" w:hAnsi="Arial" w:eastAsia="Arial" w:cs="Arial"/>
                <w:b w:val="0"/>
                <w:sz w:val="16"/>
              </w:rPr>
              <w:t>1.120 (70,6%)</w:t>
            </w:r>
          </w:p>
        </w:tc>
        <w:tc>
          <w:tcPr>
            <w:tcW w:w="2" w:type="dxa"/>
          </w:tcPr>
          <w:p w14:paraId="2EC6625A">
            <w:r>
              <w:rPr>
                <w:rFonts w:ascii="Arial" w:hAnsi="Arial" w:eastAsia="Arial" w:cs="Arial"/>
                <w:b w:val="0"/>
                <w:sz w:val="16"/>
              </w:rPr>
              <w:t>466 (29,4%)</w:t>
            </w:r>
          </w:p>
        </w:tc>
        <w:tc>
          <w:tcPr>
            <w:tcW w:w="2" w:type="dxa"/>
          </w:tcPr>
          <w:p w14:paraId="351AB75D">
            <w:r>
              <w:rPr>
                <w:rFonts w:ascii="Arial" w:hAnsi="Arial" w:eastAsia="Arial" w:cs="Arial"/>
                <w:b w:val="0"/>
                <w:sz w:val="16"/>
              </w:rPr>
              <w:t>0,79%</w:t>
            </w:r>
          </w:p>
        </w:tc>
        <w:tc>
          <w:tcPr>
            <w:tcW w:w="2" w:type="dxa"/>
          </w:tcPr>
          <w:p w14:paraId="43C667E6">
            <w:r>
              <w:rPr>
                <w:rFonts w:ascii="Arial" w:hAnsi="Arial" w:eastAsia="Arial" w:cs="Arial"/>
                <w:b w:val="0"/>
                <w:sz w:val="16"/>
              </w:rPr>
              <w:t>1,93%</w:t>
            </w:r>
          </w:p>
        </w:tc>
        <w:tc>
          <w:tcPr>
            <w:tcW w:w="2" w:type="dxa"/>
          </w:tcPr>
          <w:p w14:paraId="52C4BE65">
            <w:r>
              <w:rPr>
                <w:rFonts w:ascii="Arial" w:hAnsi="Arial" w:eastAsia="Arial" w:cs="Arial"/>
                <w:b w:val="0"/>
                <w:sz w:val="16"/>
              </w:rPr>
              <w:t>−1,14*</w:t>
            </w:r>
          </w:p>
        </w:tc>
      </w:tr>
      <w:tr w14:paraId="71AF4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414688A">
            <w:r>
              <w:rPr>
                <w:rFonts w:ascii="Arial" w:hAnsi="Arial" w:eastAsia="Arial" w:cs="Arial"/>
                <w:b w:val="0"/>
                <w:sz w:val="16"/>
              </w:rPr>
              <w:t>Laboratório de ciências</w:t>
            </w:r>
          </w:p>
        </w:tc>
        <w:tc>
          <w:tcPr>
            <w:tcW w:w="2" w:type="dxa"/>
          </w:tcPr>
          <w:p w14:paraId="13AF6A17">
            <w:r>
              <w:rPr>
                <w:rFonts w:ascii="Arial" w:hAnsi="Arial" w:eastAsia="Arial" w:cs="Arial"/>
                <w:b w:val="0"/>
                <w:sz w:val="16"/>
              </w:rPr>
              <w:t>705 (44,5%)</w:t>
            </w:r>
          </w:p>
        </w:tc>
        <w:tc>
          <w:tcPr>
            <w:tcW w:w="2" w:type="dxa"/>
          </w:tcPr>
          <w:p w14:paraId="5C32A366">
            <w:r>
              <w:rPr>
                <w:rFonts w:ascii="Arial" w:hAnsi="Arial" w:eastAsia="Arial" w:cs="Arial"/>
                <w:b w:val="0"/>
                <w:sz w:val="16"/>
              </w:rPr>
              <w:t>881 (55,5%)</w:t>
            </w:r>
          </w:p>
        </w:tc>
        <w:tc>
          <w:tcPr>
            <w:tcW w:w="2" w:type="dxa"/>
          </w:tcPr>
          <w:p w14:paraId="7F17AA90">
            <w:r>
              <w:rPr>
                <w:rFonts w:ascii="Arial" w:hAnsi="Arial" w:eastAsia="Arial" w:cs="Arial"/>
                <w:b w:val="0"/>
                <w:sz w:val="16"/>
              </w:rPr>
              <w:t>0,53%</w:t>
            </w:r>
          </w:p>
        </w:tc>
        <w:tc>
          <w:tcPr>
            <w:tcW w:w="2" w:type="dxa"/>
          </w:tcPr>
          <w:p w14:paraId="7972EEDC">
            <w:r>
              <w:rPr>
                <w:rFonts w:ascii="Arial" w:hAnsi="Arial" w:eastAsia="Arial" w:cs="Arial"/>
                <w:b w:val="0"/>
                <w:sz w:val="16"/>
              </w:rPr>
              <w:t>1,59%</w:t>
            </w:r>
          </w:p>
        </w:tc>
        <w:tc>
          <w:tcPr>
            <w:tcW w:w="2" w:type="dxa"/>
          </w:tcPr>
          <w:p w14:paraId="7BAC6853">
            <w:r>
              <w:rPr>
                <w:rFonts w:ascii="Arial" w:hAnsi="Arial" w:eastAsia="Arial" w:cs="Arial"/>
                <w:b w:val="0"/>
                <w:sz w:val="16"/>
              </w:rPr>
              <w:t>−1,06***</w:t>
            </w:r>
          </w:p>
        </w:tc>
      </w:tr>
      <w:tr w14:paraId="54E4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1FD0F90">
            <w:r>
              <w:rPr>
                <w:rFonts w:ascii="Arial" w:hAnsi="Arial" w:eastAsia="Arial" w:cs="Arial"/>
                <w:b w:val="0"/>
                <w:sz w:val="16"/>
              </w:rPr>
              <w:t>Esgoto em rede pública</w:t>
            </w:r>
          </w:p>
        </w:tc>
        <w:tc>
          <w:tcPr>
            <w:tcW w:w="2" w:type="dxa"/>
          </w:tcPr>
          <w:p w14:paraId="471BF9AB">
            <w:r>
              <w:rPr>
                <w:rFonts w:ascii="Arial" w:hAnsi="Arial" w:eastAsia="Arial" w:cs="Arial"/>
                <w:b w:val="0"/>
                <w:sz w:val="16"/>
              </w:rPr>
              <w:t>952 (60,0%)</w:t>
            </w:r>
          </w:p>
        </w:tc>
        <w:tc>
          <w:tcPr>
            <w:tcW w:w="2" w:type="dxa"/>
          </w:tcPr>
          <w:p w14:paraId="259979FF">
            <w:r>
              <w:rPr>
                <w:rFonts w:ascii="Arial" w:hAnsi="Arial" w:eastAsia="Arial" w:cs="Arial"/>
                <w:b w:val="0"/>
                <w:sz w:val="16"/>
              </w:rPr>
              <w:t>634 (40,0%)</w:t>
            </w:r>
          </w:p>
        </w:tc>
        <w:tc>
          <w:tcPr>
            <w:tcW w:w="2" w:type="dxa"/>
          </w:tcPr>
          <w:p w14:paraId="7DA5C2F0">
            <w:r>
              <w:rPr>
                <w:rFonts w:ascii="Arial" w:hAnsi="Arial" w:eastAsia="Arial" w:cs="Arial"/>
                <w:b w:val="0"/>
                <w:sz w:val="16"/>
              </w:rPr>
              <w:t>0,74%</w:t>
            </w:r>
          </w:p>
        </w:tc>
        <w:tc>
          <w:tcPr>
            <w:tcW w:w="2" w:type="dxa"/>
          </w:tcPr>
          <w:p w14:paraId="4A410FB7">
            <w:r>
              <w:rPr>
                <w:rFonts w:ascii="Arial" w:hAnsi="Arial" w:eastAsia="Arial" w:cs="Arial"/>
                <w:b w:val="0"/>
                <w:sz w:val="16"/>
              </w:rPr>
              <w:t>1,70%</w:t>
            </w:r>
          </w:p>
        </w:tc>
        <w:tc>
          <w:tcPr>
            <w:tcW w:w="2" w:type="dxa"/>
          </w:tcPr>
          <w:p w14:paraId="341904B8">
            <w:r>
              <w:rPr>
                <w:rFonts w:ascii="Arial" w:hAnsi="Arial" w:eastAsia="Arial" w:cs="Arial"/>
                <w:b w:val="0"/>
                <w:sz w:val="16"/>
              </w:rPr>
              <w:t>−0,96</w:t>
            </w:r>
          </w:p>
        </w:tc>
      </w:tr>
      <w:tr w14:paraId="039B7A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0C46211">
            <w:r>
              <w:rPr>
                <w:rFonts w:ascii="Arial" w:hAnsi="Arial" w:eastAsia="Arial" w:cs="Arial"/>
                <w:b w:val="0"/>
                <w:sz w:val="16"/>
              </w:rPr>
              <w:t>Água potável</w:t>
            </w:r>
          </w:p>
        </w:tc>
        <w:tc>
          <w:tcPr>
            <w:tcW w:w="2" w:type="dxa"/>
          </w:tcPr>
          <w:p w14:paraId="1AE36F74">
            <w:r>
              <w:rPr>
                <w:rFonts w:ascii="Arial" w:hAnsi="Arial" w:eastAsia="Arial" w:cs="Arial"/>
                <w:b w:val="0"/>
                <w:sz w:val="16"/>
              </w:rPr>
              <w:t>1.509 (95,1%)</w:t>
            </w:r>
          </w:p>
        </w:tc>
        <w:tc>
          <w:tcPr>
            <w:tcW w:w="2" w:type="dxa"/>
          </w:tcPr>
          <w:p w14:paraId="70762993">
            <w:r>
              <w:rPr>
                <w:rFonts w:ascii="Arial" w:hAnsi="Arial" w:eastAsia="Arial" w:cs="Arial"/>
                <w:b w:val="0"/>
                <w:sz w:val="16"/>
              </w:rPr>
              <w:t>77 (4,9%)</w:t>
            </w:r>
          </w:p>
        </w:tc>
        <w:tc>
          <w:tcPr>
            <w:tcW w:w="2" w:type="dxa"/>
          </w:tcPr>
          <w:p w14:paraId="24FD7072">
            <w:r>
              <w:rPr>
                <w:rFonts w:ascii="Arial" w:hAnsi="Arial" w:eastAsia="Arial" w:cs="Arial"/>
                <w:b w:val="0"/>
                <w:sz w:val="16"/>
              </w:rPr>
              <w:t>1,08%</w:t>
            </w:r>
          </w:p>
        </w:tc>
        <w:tc>
          <w:tcPr>
            <w:tcW w:w="2" w:type="dxa"/>
          </w:tcPr>
          <w:p w14:paraId="470E9311">
            <w:r>
              <w:rPr>
                <w:rFonts w:ascii="Arial" w:hAnsi="Arial" w:eastAsia="Arial" w:cs="Arial"/>
                <w:b w:val="0"/>
                <w:sz w:val="16"/>
              </w:rPr>
              <w:t>1,91%</w:t>
            </w:r>
          </w:p>
        </w:tc>
        <w:tc>
          <w:tcPr>
            <w:tcW w:w="2" w:type="dxa"/>
          </w:tcPr>
          <w:p w14:paraId="16F0A1ED">
            <w:r>
              <w:rPr>
                <w:rFonts w:ascii="Arial" w:hAnsi="Arial" w:eastAsia="Arial" w:cs="Arial"/>
                <w:b w:val="0"/>
                <w:sz w:val="16"/>
              </w:rPr>
              <w:t>−0,83</w:t>
            </w:r>
          </w:p>
        </w:tc>
      </w:tr>
      <w:tr w14:paraId="282C7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3AE8EB93">
            <w:r>
              <w:rPr>
                <w:rFonts w:ascii="Arial" w:hAnsi="Arial" w:eastAsia="Arial" w:cs="Arial"/>
                <w:b w:val="0"/>
                <w:sz w:val="16"/>
              </w:rPr>
              <w:t>Internet para alunos</w:t>
            </w:r>
          </w:p>
        </w:tc>
        <w:tc>
          <w:tcPr>
            <w:tcW w:w="2" w:type="dxa"/>
          </w:tcPr>
          <w:p w14:paraId="648FA6B2">
            <w:r>
              <w:rPr>
                <w:rFonts w:ascii="Arial" w:hAnsi="Arial" w:eastAsia="Arial" w:cs="Arial"/>
                <w:b w:val="0"/>
                <w:sz w:val="16"/>
              </w:rPr>
              <w:t>1.170 (73,8%)</w:t>
            </w:r>
          </w:p>
        </w:tc>
        <w:tc>
          <w:tcPr>
            <w:tcW w:w="2" w:type="dxa"/>
          </w:tcPr>
          <w:p w14:paraId="541910CE">
            <w:r>
              <w:rPr>
                <w:rFonts w:ascii="Arial" w:hAnsi="Arial" w:eastAsia="Arial" w:cs="Arial"/>
                <w:b w:val="0"/>
                <w:sz w:val="16"/>
              </w:rPr>
              <w:t>416 (26,2%)</w:t>
            </w:r>
          </w:p>
        </w:tc>
        <w:tc>
          <w:tcPr>
            <w:tcW w:w="2" w:type="dxa"/>
          </w:tcPr>
          <w:p w14:paraId="09C2D069">
            <w:r>
              <w:rPr>
                <w:rFonts w:ascii="Arial" w:hAnsi="Arial" w:eastAsia="Arial" w:cs="Arial"/>
                <w:b w:val="0"/>
                <w:sz w:val="16"/>
              </w:rPr>
              <w:t>0,92%</w:t>
            </w:r>
          </w:p>
        </w:tc>
        <w:tc>
          <w:tcPr>
            <w:tcW w:w="2" w:type="dxa"/>
          </w:tcPr>
          <w:p w14:paraId="0A43F359">
            <w:r>
              <w:rPr>
                <w:rFonts w:ascii="Arial" w:hAnsi="Arial" w:eastAsia="Arial" w:cs="Arial"/>
                <w:b w:val="0"/>
                <w:sz w:val="16"/>
              </w:rPr>
              <w:t>1,69%</w:t>
            </w:r>
          </w:p>
        </w:tc>
        <w:tc>
          <w:tcPr>
            <w:tcW w:w="2" w:type="dxa"/>
          </w:tcPr>
          <w:p w14:paraId="6BF1FDE6">
            <w:r>
              <w:rPr>
                <w:rFonts w:ascii="Arial" w:hAnsi="Arial" w:eastAsia="Arial" w:cs="Arial"/>
                <w:b w:val="0"/>
                <w:sz w:val="16"/>
              </w:rPr>
              <w:t>−0,77***</w:t>
            </w:r>
          </w:p>
        </w:tc>
      </w:tr>
      <w:tr w14:paraId="4AB34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F7E1C54">
            <w:r>
              <w:rPr>
                <w:rFonts w:ascii="Arial" w:hAnsi="Arial" w:eastAsia="Arial" w:cs="Arial"/>
                <w:b w:val="0"/>
                <w:sz w:val="16"/>
              </w:rPr>
              <w:t>Internet</w:t>
            </w:r>
          </w:p>
        </w:tc>
        <w:tc>
          <w:tcPr>
            <w:tcW w:w="2" w:type="dxa"/>
          </w:tcPr>
          <w:p w14:paraId="38DE4B83">
            <w:r>
              <w:rPr>
                <w:rFonts w:ascii="Arial" w:hAnsi="Arial" w:eastAsia="Arial" w:cs="Arial"/>
                <w:b w:val="0"/>
                <w:sz w:val="16"/>
              </w:rPr>
              <w:t>1.574 (99,2%)</w:t>
            </w:r>
          </w:p>
        </w:tc>
        <w:tc>
          <w:tcPr>
            <w:tcW w:w="2" w:type="dxa"/>
          </w:tcPr>
          <w:p w14:paraId="16A6C731">
            <w:r>
              <w:rPr>
                <w:rFonts w:ascii="Arial" w:hAnsi="Arial" w:eastAsia="Arial" w:cs="Arial"/>
                <w:b w:val="0"/>
                <w:sz w:val="16"/>
              </w:rPr>
              <w:t>12 (0,8%)</w:t>
            </w:r>
          </w:p>
        </w:tc>
        <w:tc>
          <w:tcPr>
            <w:tcW w:w="2" w:type="dxa"/>
          </w:tcPr>
          <w:p w14:paraId="57946399">
            <w:r>
              <w:rPr>
                <w:rFonts w:ascii="Arial" w:hAnsi="Arial" w:eastAsia="Arial" w:cs="Arial"/>
                <w:b w:val="0"/>
                <w:sz w:val="16"/>
              </w:rPr>
              <w:t>1,12%</w:t>
            </w:r>
          </w:p>
        </w:tc>
        <w:tc>
          <w:tcPr>
            <w:tcW w:w="2" w:type="dxa"/>
          </w:tcPr>
          <w:p w14:paraId="24DDF014">
            <w:r>
              <w:rPr>
                <w:rFonts w:ascii="Arial" w:hAnsi="Arial" w:eastAsia="Arial" w:cs="Arial"/>
                <w:b w:val="0"/>
                <w:sz w:val="16"/>
              </w:rPr>
              <w:t>1,84%</w:t>
            </w:r>
          </w:p>
        </w:tc>
        <w:tc>
          <w:tcPr>
            <w:tcW w:w="2" w:type="dxa"/>
          </w:tcPr>
          <w:p w14:paraId="43EBCDA3">
            <w:r>
              <w:rPr>
                <w:rFonts w:ascii="Arial" w:hAnsi="Arial" w:eastAsia="Arial" w:cs="Arial"/>
                <w:b w:val="0"/>
                <w:sz w:val="16"/>
              </w:rPr>
              <w:t>−0,73</w:t>
            </w:r>
          </w:p>
        </w:tc>
      </w:tr>
      <w:tr w14:paraId="42922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3CCC4E9">
            <w:r>
              <w:rPr>
                <w:rFonts w:ascii="Arial" w:hAnsi="Arial" w:eastAsia="Arial" w:cs="Arial"/>
                <w:b w:val="0"/>
                <w:sz w:val="16"/>
              </w:rPr>
              <w:t>Refeitório</w:t>
            </w:r>
          </w:p>
        </w:tc>
        <w:tc>
          <w:tcPr>
            <w:tcW w:w="2" w:type="dxa"/>
          </w:tcPr>
          <w:p w14:paraId="115A7FDA">
            <w:r>
              <w:rPr>
                <w:rFonts w:ascii="Arial" w:hAnsi="Arial" w:eastAsia="Arial" w:cs="Arial"/>
                <w:b w:val="0"/>
                <w:sz w:val="16"/>
              </w:rPr>
              <w:t>511 (32,2%)</w:t>
            </w:r>
          </w:p>
        </w:tc>
        <w:tc>
          <w:tcPr>
            <w:tcW w:w="2" w:type="dxa"/>
          </w:tcPr>
          <w:p w14:paraId="42838729">
            <w:r>
              <w:rPr>
                <w:rFonts w:ascii="Arial" w:hAnsi="Arial" w:eastAsia="Arial" w:cs="Arial"/>
                <w:b w:val="0"/>
                <w:sz w:val="16"/>
              </w:rPr>
              <w:t>1.075 (67,8%)</w:t>
            </w:r>
          </w:p>
        </w:tc>
        <w:tc>
          <w:tcPr>
            <w:tcW w:w="2" w:type="dxa"/>
          </w:tcPr>
          <w:p w14:paraId="6FDA4E2F">
            <w:r>
              <w:rPr>
                <w:rFonts w:ascii="Arial" w:hAnsi="Arial" w:eastAsia="Arial" w:cs="Arial"/>
                <w:b w:val="0"/>
                <w:sz w:val="16"/>
              </w:rPr>
              <w:t>0,73%</w:t>
            </w:r>
          </w:p>
        </w:tc>
        <w:tc>
          <w:tcPr>
            <w:tcW w:w="2" w:type="dxa"/>
          </w:tcPr>
          <w:p w14:paraId="3FE6E161">
            <w:r>
              <w:rPr>
                <w:rFonts w:ascii="Arial" w:hAnsi="Arial" w:eastAsia="Arial" w:cs="Arial"/>
                <w:b w:val="0"/>
                <w:sz w:val="16"/>
              </w:rPr>
              <w:t>1,31%</w:t>
            </w:r>
          </w:p>
        </w:tc>
        <w:tc>
          <w:tcPr>
            <w:tcW w:w="2" w:type="dxa"/>
          </w:tcPr>
          <w:p w14:paraId="3C60373D">
            <w:r>
              <w:rPr>
                <w:rFonts w:ascii="Arial" w:hAnsi="Arial" w:eastAsia="Arial" w:cs="Arial"/>
                <w:b w:val="0"/>
                <w:sz w:val="16"/>
              </w:rPr>
              <w:t>−0,58*</w:t>
            </w:r>
          </w:p>
        </w:tc>
      </w:tr>
      <w:tr w14:paraId="725ED5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69C92BD">
            <w:r>
              <w:rPr>
                <w:rFonts w:ascii="Arial" w:hAnsi="Arial" w:eastAsia="Arial" w:cs="Arial"/>
                <w:b w:val="0"/>
                <w:sz w:val="16"/>
              </w:rPr>
              <w:t>Auditório</w:t>
            </w:r>
          </w:p>
        </w:tc>
        <w:tc>
          <w:tcPr>
            <w:tcW w:w="2" w:type="dxa"/>
          </w:tcPr>
          <w:p w14:paraId="6AAA9B83">
            <w:r>
              <w:rPr>
                <w:rFonts w:ascii="Arial" w:hAnsi="Arial" w:eastAsia="Arial" w:cs="Arial"/>
                <w:b w:val="0"/>
                <w:sz w:val="16"/>
              </w:rPr>
              <w:t>438 (27,6%)</w:t>
            </w:r>
          </w:p>
        </w:tc>
        <w:tc>
          <w:tcPr>
            <w:tcW w:w="2" w:type="dxa"/>
          </w:tcPr>
          <w:p w14:paraId="3CED1A49">
            <w:r>
              <w:rPr>
                <w:rFonts w:ascii="Arial" w:hAnsi="Arial" w:eastAsia="Arial" w:cs="Arial"/>
                <w:b w:val="0"/>
                <w:sz w:val="16"/>
              </w:rPr>
              <w:t>1.148 (72,4%)</w:t>
            </w:r>
          </w:p>
        </w:tc>
        <w:tc>
          <w:tcPr>
            <w:tcW w:w="2" w:type="dxa"/>
          </w:tcPr>
          <w:p w14:paraId="35E67D92">
            <w:r>
              <w:rPr>
                <w:rFonts w:ascii="Arial" w:hAnsi="Arial" w:eastAsia="Arial" w:cs="Arial"/>
                <w:b w:val="0"/>
                <w:sz w:val="16"/>
              </w:rPr>
              <w:t>0,75%</w:t>
            </w:r>
          </w:p>
        </w:tc>
        <w:tc>
          <w:tcPr>
            <w:tcW w:w="2" w:type="dxa"/>
          </w:tcPr>
          <w:p w14:paraId="7874F878">
            <w:r>
              <w:rPr>
                <w:rFonts w:ascii="Arial" w:hAnsi="Arial" w:eastAsia="Arial" w:cs="Arial"/>
                <w:b w:val="0"/>
                <w:sz w:val="16"/>
              </w:rPr>
              <w:t>1,26%</w:t>
            </w:r>
          </w:p>
        </w:tc>
        <w:tc>
          <w:tcPr>
            <w:tcW w:w="2" w:type="dxa"/>
          </w:tcPr>
          <w:p w14:paraId="030643EE">
            <w:r>
              <w:rPr>
                <w:rFonts w:ascii="Arial" w:hAnsi="Arial" w:eastAsia="Arial" w:cs="Arial"/>
                <w:b w:val="0"/>
                <w:sz w:val="16"/>
              </w:rPr>
              <w:t>−0,52</w:t>
            </w:r>
          </w:p>
        </w:tc>
      </w:tr>
      <w:tr w14:paraId="30C14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F566240">
            <w:r>
              <w:rPr>
                <w:rFonts w:ascii="Arial" w:hAnsi="Arial" w:eastAsia="Arial" w:cs="Arial"/>
                <w:b w:val="0"/>
                <w:sz w:val="16"/>
              </w:rPr>
              <w:t>Oferta de EM fora das séries regulares (EJA/modular)</w:t>
            </w:r>
          </w:p>
        </w:tc>
        <w:tc>
          <w:tcPr>
            <w:tcW w:w="2" w:type="dxa"/>
          </w:tcPr>
          <w:p w14:paraId="2593F919">
            <w:r>
              <w:rPr>
                <w:rFonts w:ascii="Arial" w:hAnsi="Arial" w:eastAsia="Arial" w:cs="Arial"/>
                <w:b w:val="0"/>
                <w:sz w:val="16"/>
              </w:rPr>
              <w:t>283 (17,8%)</w:t>
            </w:r>
          </w:p>
        </w:tc>
        <w:tc>
          <w:tcPr>
            <w:tcW w:w="2" w:type="dxa"/>
          </w:tcPr>
          <w:p w14:paraId="787474C7">
            <w:r>
              <w:rPr>
                <w:rFonts w:ascii="Arial" w:hAnsi="Arial" w:eastAsia="Arial" w:cs="Arial"/>
                <w:b w:val="0"/>
                <w:sz w:val="16"/>
              </w:rPr>
              <w:t>1.303 (82,2%)</w:t>
            </w:r>
          </w:p>
        </w:tc>
        <w:tc>
          <w:tcPr>
            <w:tcW w:w="2" w:type="dxa"/>
          </w:tcPr>
          <w:p w14:paraId="19BF7906">
            <w:r>
              <w:rPr>
                <w:rFonts w:ascii="Arial" w:hAnsi="Arial" w:eastAsia="Arial" w:cs="Arial"/>
                <w:b w:val="0"/>
                <w:sz w:val="16"/>
              </w:rPr>
              <w:t>1,49%</w:t>
            </w:r>
          </w:p>
        </w:tc>
        <w:tc>
          <w:tcPr>
            <w:tcW w:w="2" w:type="dxa"/>
          </w:tcPr>
          <w:p w14:paraId="2E867822">
            <w:r>
              <w:rPr>
                <w:rFonts w:ascii="Arial" w:hAnsi="Arial" w:eastAsia="Arial" w:cs="Arial"/>
                <w:b w:val="0"/>
                <w:sz w:val="16"/>
              </w:rPr>
              <w:t>1,04%</w:t>
            </w:r>
          </w:p>
        </w:tc>
        <w:tc>
          <w:tcPr>
            <w:tcW w:w="2" w:type="dxa"/>
          </w:tcPr>
          <w:p w14:paraId="5566ECD6">
            <w:r>
              <w:rPr>
                <w:rFonts w:ascii="Arial" w:hAnsi="Arial" w:eastAsia="Arial" w:cs="Arial"/>
                <w:b w:val="0"/>
                <w:sz w:val="16"/>
              </w:rPr>
              <w:t>0,45***</w:t>
            </w:r>
          </w:p>
        </w:tc>
      </w:tr>
      <w:tr w14:paraId="4E904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ED055D4">
            <w:r>
              <w:rPr>
                <w:rFonts w:ascii="Arial" w:hAnsi="Arial" w:eastAsia="Arial" w:cs="Arial"/>
                <w:b w:val="0"/>
                <w:sz w:val="16"/>
              </w:rPr>
              <w:t>Sala de leitura</w:t>
            </w:r>
          </w:p>
        </w:tc>
        <w:tc>
          <w:tcPr>
            <w:tcW w:w="2" w:type="dxa"/>
          </w:tcPr>
          <w:p w14:paraId="3402C310">
            <w:r>
              <w:rPr>
                <w:rFonts w:ascii="Arial" w:hAnsi="Arial" w:eastAsia="Arial" w:cs="Arial"/>
                <w:b w:val="0"/>
                <w:sz w:val="16"/>
              </w:rPr>
              <w:t>244 (15,4%)</w:t>
            </w:r>
          </w:p>
        </w:tc>
        <w:tc>
          <w:tcPr>
            <w:tcW w:w="2" w:type="dxa"/>
          </w:tcPr>
          <w:p w14:paraId="475342A8">
            <w:r>
              <w:rPr>
                <w:rFonts w:ascii="Arial" w:hAnsi="Arial" w:eastAsia="Arial" w:cs="Arial"/>
                <w:b w:val="0"/>
                <w:sz w:val="16"/>
              </w:rPr>
              <w:t>1.342 (84,6%)</w:t>
            </w:r>
          </w:p>
        </w:tc>
        <w:tc>
          <w:tcPr>
            <w:tcW w:w="2" w:type="dxa"/>
          </w:tcPr>
          <w:p w14:paraId="439E7CB5">
            <w:r>
              <w:rPr>
                <w:rFonts w:ascii="Arial" w:hAnsi="Arial" w:eastAsia="Arial" w:cs="Arial"/>
                <w:b w:val="0"/>
                <w:sz w:val="16"/>
              </w:rPr>
              <w:t>1,38%</w:t>
            </w:r>
          </w:p>
        </w:tc>
        <w:tc>
          <w:tcPr>
            <w:tcW w:w="2" w:type="dxa"/>
          </w:tcPr>
          <w:p w14:paraId="6F353FB9">
            <w:r>
              <w:rPr>
                <w:rFonts w:ascii="Arial" w:hAnsi="Arial" w:eastAsia="Arial" w:cs="Arial"/>
                <w:b w:val="0"/>
                <w:sz w:val="16"/>
              </w:rPr>
              <w:t>1,07%</w:t>
            </w:r>
          </w:p>
        </w:tc>
        <w:tc>
          <w:tcPr>
            <w:tcW w:w="2" w:type="dxa"/>
          </w:tcPr>
          <w:p w14:paraId="7B7857DF">
            <w:r>
              <w:rPr>
                <w:rFonts w:ascii="Arial" w:hAnsi="Arial" w:eastAsia="Arial" w:cs="Arial"/>
                <w:b w:val="0"/>
                <w:sz w:val="16"/>
              </w:rPr>
              <w:t>0,30</w:t>
            </w:r>
          </w:p>
        </w:tc>
      </w:tr>
    </w:tbl>
    <w:p w14:paraId="43AC051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225C1DA">
      <w:pPr>
        <w:pStyle w:val="3"/>
        <w:ind w:firstLine="0"/>
        <w:rPr>
          <w:color w:val="2E75B5"/>
        </w:rPr>
      </w:pPr>
      <w:r>
        <w:rPr>
          <w:rFonts w:ascii="Arial" w:hAnsi="Arial" w:eastAsia="Arial" w:cs="Arial"/>
          <w:b w:val="0"/>
        </w:rPr>
        <w:t>Atributos presentes em quase toda a rede não separam grupos porque não sobra comparação: internet está em 99,2% das escolas e água potável em 95,1%, restando 12 e 77 escolas do outro lado. As diferenças que essas linhas exibem não são estatisticamente distinguíveis do acaso e não devem ser lidas como efeito do atributo.</w:t>
      </w:r>
    </w:p>
    <w:p w14:paraId="5DC8676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anchor distT="0" distB="0" distL="114300" distR="114300" simplePos="0" relativeHeight="251660288" behindDoc="0" locked="0" layoutInCell="1" allowOverlap="1">
            <wp:simplePos x="0" y="0"/>
            <wp:positionH relativeFrom="column">
              <wp:posOffset>-323215</wp:posOffset>
            </wp:positionH>
            <wp:positionV relativeFrom="paragraph">
              <wp:posOffset>449580</wp:posOffset>
            </wp:positionV>
            <wp:extent cx="6453505" cy="2532380"/>
            <wp:effectExtent l="0" t="0" r="1079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6453505" cy="2532314"/>
                    </a:xfrm>
                    <a:prstGeom prst="rect">
                      <a:avLst/>
                    </a:prstGeom>
                  </pic:spPr>
                </pic:pic>
              </a:graphicData>
            </a:graphic>
          </wp:anchor>
        </w:drawing>
      </w:r>
      <w:r>
        <w:rPr>
          <w:rFonts w:ascii="Arial" w:hAnsi="Arial" w:eastAsia="Arial" w:cs="Arial"/>
          <w:b w:val="0"/>
          <w:sz w:val="20"/>
        </w:rPr>
        <w:t>Figura 9 – Repartição das escolas por atributo de sim ou não e taxa média de abandono de cada grupo</w:t>
      </w:r>
    </w:p>
    <w:p w14:paraId="342191D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C564D2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15630E">
      <w:pPr>
        <w:pStyle w:val="5"/>
        <w:numPr>
          <w:ilvl w:val="2"/>
          <w:numId w:val="1"/>
        </w:numPr>
      </w:pPr>
      <w:bookmarkStart w:id="46" w:name="_Toc11960"/>
      <w:r>
        <w:rPr>
          <w:rFonts w:ascii="Arial" w:hAnsi="Arial" w:eastAsia="Arial" w:cs="Arial"/>
          <w:b w:val="0"/>
        </w:rPr>
        <w:t>A Região do Estado</w:t>
      </w:r>
      <w:bookmarkEnd w:id="46"/>
    </w:p>
    <w:p w14:paraId="6971EDFE">
      <w:pPr>
        <w:pStyle w:val="3"/>
        <w:ind w:firstLine="0"/>
        <w:rPr>
          <w:color w:val="2E75B5"/>
        </w:rPr>
      </w:pPr>
      <w:r>
        <w:rPr>
          <w:rFonts w:ascii="Arial" w:hAnsi="Arial" w:eastAsia="Arial" w:cs="Arial"/>
          <w:b w:val="0"/>
        </w:rPr>
        <w:t>A única característica categórica é a região do estado. As cinco regiões diferem de forma marcante, e a diferença entre elas é estatisticamente comprovada: o São Francisco Pernambucano tem abandono médio de 2,76%, mais de cinco vezes o da Região Metropolitana de Recife, de 0,50%, que concentra um terço das observações. Essa diferença justifica manter a região entre as características do sistema.</w:t>
      </w:r>
    </w:p>
    <w:p w14:paraId="447CBB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8 – Distribuição das observações e abandono médio por região do estado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68"/>
        <w:gridCol w:w="2268"/>
        <w:gridCol w:w="2268"/>
        <w:gridCol w:w="2268"/>
      </w:tblGrid>
      <w:tr w14:paraId="708FD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2A57857">
            <w:r>
              <w:rPr>
                <w:rFonts w:ascii="Arial" w:hAnsi="Arial" w:eastAsia="Arial" w:cs="Arial"/>
                <w:b/>
                <w:sz w:val="18"/>
              </w:rPr>
              <w:t>Região do estado</w:t>
            </w:r>
          </w:p>
        </w:tc>
        <w:tc>
          <w:tcPr>
            <w:tcW w:w="1701" w:type="dxa"/>
          </w:tcPr>
          <w:p w14:paraId="66099604">
            <w:r>
              <w:rPr>
                <w:rFonts w:ascii="Arial" w:hAnsi="Arial" w:eastAsia="Arial" w:cs="Arial"/>
                <w:b/>
                <w:sz w:val="18"/>
              </w:rPr>
              <w:t>Observações</w:t>
            </w:r>
          </w:p>
        </w:tc>
        <w:tc>
          <w:tcPr>
            <w:tcW w:w="1814" w:type="dxa"/>
          </w:tcPr>
          <w:p w14:paraId="4F49CF41">
            <w:r>
              <w:rPr>
                <w:rFonts w:ascii="Arial" w:hAnsi="Arial" w:eastAsia="Arial" w:cs="Arial"/>
                <w:b/>
                <w:sz w:val="18"/>
              </w:rPr>
              <w:t>% do conjunto</w:t>
            </w:r>
          </w:p>
        </w:tc>
        <w:tc>
          <w:tcPr>
            <w:tcW w:w="1871" w:type="dxa"/>
          </w:tcPr>
          <w:p w14:paraId="184E8031">
            <w:r>
              <w:rPr>
                <w:rFonts w:ascii="Arial" w:hAnsi="Arial" w:eastAsia="Arial" w:cs="Arial"/>
                <w:b/>
                <w:sz w:val="18"/>
              </w:rPr>
              <w:t>Abandono médio</w:t>
            </w:r>
          </w:p>
        </w:tc>
      </w:tr>
      <w:tr w14:paraId="63A9A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7972C99">
            <w:r>
              <w:rPr>
                <w:rFonts w:ascii="Arial" w:hAnsi="Arial" w:eastAsia="Arial" w:cs="Arial"/>
                <w:b w:val="0"/>
                <w:sz w:val="18"/>
              </w:rPr>
              <w:t>São Francisco Pernambucano</w:t>
            </w:r>
          </w:p>
        </w:tc>
        <w:tc>
          <w:tcPr>
            <w:tcW w:w="1701" w:type="dxa"/>
          </w:tcPr>
          <w:p w14:paraId="2B51E24A">
            <w:r>
              <w:rPr>
                <w:rFonts w:ascii="Arial" w:hAnsi="Arial" w:eastAsia="Arial" w:cs="Arial"/>
                <w:b w:val="0"/>
                <w:sz w:val="18"/>
              </w:rPr>
              <w:t>227</w:t>
            </w:r>
          </w:p>
        </w:tc>
        <w:tc>
          <w:tcPr>
            <w:tcW w:w="1814" w:type="dxa"/>
          </w:tcPr>
          <w:p w14:paraId="295AA8C3">
            <w:r>
              <w:rPr>
                <w:rFonts w:ascii="Arial" w:hAnsi="Arial" w:eastAsia="Arial" w:cs="Arial"/>
                <w:b w:val="0"/>
                <w:sz w:val="18"/>
              </w:rPr>
              <w:t>14,3%</w:t>
            </w:r>
          </w:p>
        </w:tc>
        <w:tc>
          <w:tcPr>
            <w:tcW w:w="1871" w:type="dxa"/>
          </w:tcPr>
          <w:p w14:paraId="1566396C">
            <w:r>
              <w:rPr>
                <w:rFonts w:ascii="Arial" w:hAnsi="Arial" w:eastAsia="Arial" w:cs="Arial"/>
                <w:b w:val="0"/>
                <w:sz w:val="18"/>
              </w:rPr>
              <w:t>2,76%</w:t>
            </w:r>
          </w:p>
        </w:tc>
      </w:tr>
      <w:tr w14:paraId="3847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7A8A5557">
            <w:r>
              <w:rPr>
                <w:rFonts w:ascii="Arial" w:hAnsi="Arial" w:eastAsia="Arial" w:cs="Arial"/>
                <w:b w:val="0"/>
                <w:sz w:val="18"/>
              </w:rPr>
              <w:t>Sertão Pernambucano</w:t>
            </w:r>
          </w:p>
        </w:tc>
        <w:tc>
          <w:tcPr>
            <w:tcW w:w="1701" w:type="dxa"/>
          </w:tcPr>
          <w:p w14:paraId="1183D921">
            <w:r>
              <w:rPr>
                <w:rFonts w:ascii="Arial" w:hAnsi="Arial" w:eastAsia="Arial" w:cs="Arial"/>
                <w:b w:val="0"/>
                <w:sz w:val="18"/>
              </w:rPr>
              <w:t>237</w:t>
            </w:r>
          </w:p>
        </w:tc>
        <w:tc>
          <w:tcPr>
            <w:tcW w:w="1814" w:type="dxa"/>
          </w:tcPr>
          <w:p w14:paraId="06EA59A6">
            <w:r>
              <w:rPr>
                <w:rFonts w:ascii="Arial" w:hAnsi="Arial" w:eastAsia="Arial" w:cs="Arial"/>
                <w:b w:val="0"/>
                <w:sz w:val="18"/>
              </w:rPr>
              <w:t>14,9%</w:t>
            </w:r>
          </w:p>
        </w:tc>
        <w:tc>
          <w:tcPr>
            <w:tcW w:w="1871" w:type="dxa"/>
          </w:tcPr>
          <w:p w14:paraId="5094A989">
            <w:r>
              <w:rPr>
                <w:rFonts w:ascii="Arial" w:hAnsi="Arial" w:eastAsia="Arial" w:cs="Arial"/>
                <w:b w:val="0"/>
                <w:sz w:val="18"/>
              </w:rPr>
              <w:t>1,53%</w:t>
            </w:r>
          </w:p>
        </w:tc>
      </w:tr>
      <w:tr w14:paraId="5BD45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04F37C58">
            <w:r>
              <w:rPr>
                <w:rFonts w:ascii="Arial" w:hAnsi="Arial" w:eastAsia="Arial" w:cs="Arial"/>
                <w:b w:val="0"/>
                <w:sz w:val="18"/>
              </w:rPr>
              <w:t>Agreste Pernambucano</w:t>
            </w:r>
          </w:p>
        </w:tc>
        <w:tc>
          <w:tcPr>
            <w:tcW w:w="1701" w:type="dxa"/>
          </w:tcPr>
          <w:p w14:paraId="7A744700">
            <w:r>
              <w:rPr>
                <w:rFonts w:ascii="Arial" w:hAnsi="Arial" w:eastAsia="Arial" w:cs="Arial"/>
                <w:b w:val="0"/>
                <w:sz w:val="18"/>
              </w:rPr>
              <w:t>366</w:t>
            </w:r>
          </w:p>
        </w:tc>
        <w:tc>
          <w:tcPr>
            <w:tcW w:w="1814" w:type="dxa"/>
          </w:tcPr>
          <w:p w14:paraId="2B066C63">
            <w:r>
              <w:rPr>
                <w:rFonts w:ascii="Arial" w:hAnsi="Arial" w:eastAsia="Arial" w:cs="Arial"/>
                <w:b w:val="0"/>
                <w:sz w:val="18"/>
              </w:rPr>
              <w:t>23,1%</w:t>
            </w:r>
          </w:p>
        </w:tc>
        <w:tc>
          <w:tcPr>
            <w:tcW w:w="1871" w:type="dxa"/>
          </w:tcPr>
          <w:p w14:paraId="7839634B">
            <w:r>
              <w:rPr>
                <w:rFonts w:ascii="Arial" w:hAnsi="Arial" w:eastAsia="Arial" w:cs="Arial"/>
                <w:b w:val="0"/>
                <w:sz w:val="18"/>
              </w:rPr>
              <w:t>1,08%</w:t>
            </w:r>
          </w:p>
        </w:tc>
      </w:tr>
      <w:tr w14:paraId="5E630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052862F">
            <w:r>
              <w:rPr>
                <w:rFonts w:ascii="Arial" w:hAnsi="Arial" w:eastAsia="Arial" w:cs="Arial"/>
                <w:b w:val="0"/>
                <w:sz w:val="18"/>
              </w:rPr>
              <w:t>Mata Pernambucana</w:t>
            </w:r>
          </w:p>
        </w:tc>
        <w:tc>
          <w:tcPr>
            <w:tcW w:w="1701" w:type="dxa"/>
          </w:tcPr>
          <w:p w14:paraId="009F81A1">
            <w:r>
              <w:rPr>
                <w:rFonts w:ascii="Arial" w:hAnsi="Arial" w:eastAsia="Arial" w:cs="Arial"/>
                <w:b w:val="0"/>
                <w:sz w:val="18"/>
              </w:rPr>
              <w:t>233</w:t>
            </w:r>
          </w:p>
        </w:tc>
        <w:tc>
          <w:tcPr>
            <w:tcW w:w="1814" w:type="dxa"/>
          </w:tcPr>
          <w:p w14:paraId="4F615290">
            <w:r>
              <w:rPr>
                <w:rFonts w:ascii="Arial" w:hAnsi="Arial" w:eastAsia="Arial" w:cs="Arial"/>
                <w:b w:val="0"/>
                <w:sz w:val="18"/>
              </w:rPr>
              <w:t>14,7%</w:t>
            </w:r>
          </w:p>
        </w:tc>
        <w:tc>
          <w:tcPr>
            <w:tcW w:w="1871" w:type="dxa"/>
          </w:tcPr>
          <w:p w14:paraId="63535FCB">
            <w:r>
              <w:rPr>
                <w:rFonts w:ascii="Arial" w:hAnsi="Arial" w:eastAsia="Arial" w:cs="Arial"/>
                <w:b w:val="0"/>
                <w:sz w:val="18"/>
              </w:rPr>
              <w:t>0,57%</w:t>
            </w:r>
          </w:p>
        </w:tc>
      </w:tr>
      <w:tr w14:paraId="74A9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9FB34F0">
            <w:r>
              <w:rPr>
                <w:rFonts w:ascii="Arial" w:hAnsi="Arial" w:eastAsia="Arial" w:cs="Arial"/>
                <w:b w:val="0"/>
                <w:sz w:val="18"/>
              </w:rPr>
              <w:t>Metropolitana de Recife</w:t>
            </w:r>
          </w:p>
        </w:tc>
        <w:tc>
          <w:tcPr>
            <w:tcW w:w="1701" w:type="dxa"/>
          </w:tcPr>
          <w:p w14:paraId="174BB387">
            <w:r>
              <w:rPr>
                <w:rFonts w:ascii="Arial" w:hAnsi="Arial" w:eastAsia="Arial" w:cs="Arial"/>
                <w:b w:val="0"/>
                <w:sz w:val="18"/>
              </w:rPr>
              <w:t>523</w:t>
            </w:r>
          </w:p>
        </w:tc>
        <w:tc>
          <w:tcPr>
            <w:tcW w:w="1814" w:type="dxa"/>
          </w:tcPr>
          <w:p w14:paraId="7005FCA7">
            <w:r>
              <w:rPr>
                <w:rFonts w:ascii="Arial" w:hAnsi="Arial" w:eastAsia="Arial" w:cs="Arial"/>
                <w:b w:val="0"/>
                <w:sz w:val="18"/>
              </w:rPr>
              <w:t>33,0%</w:t>
            </w:r>
          </w:p>
        </w:tc>
        <w:tc>
          <w:tcPr>
            <w:tcW w:w="1871" w:type="dxa"/>
          </w:tcPr>
          <w:p w14:paraId="33B33028">
            <w:r>
              <w:rPr>
                <w:rFonts w:ascii="Arial" w:hAnsi="Arial" w:eastAsia="Arial" w:cs="Arial"/>
                <w:b w:val="0"/>
                <w:sz w:val="18"/>
              </w:rPr>
              <w:t>0,50%</w:t>
            </w:r>
          </w:p>
        </w:tc>
      </w:tr>
    </w:tbl>
    <w:p w14:paraId="0542B08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4A4AEB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10 – Abandono médio e peso de cada região do estado no conjunto de dados</w:t>
      </w:r>
    </w:p>
    <w:p w14:paraId="2C3CC20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3740"/>
            <wp:effectExtent l="0" t="0" r="825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580000" cy="1984060"/>
                    </a:xfrm>
                    <a:prstGeom prst="rect">
                      <a:avLst/>
                    </a:prstGeom>
                  </pic:spPr>
                </pic:pic>
              </a:graphicData>
            </a:graphic>
          </wp:inline>
        </w:drawing>
      </w:r>
    </w:p>
    <w:p w14:paraId="2B3465C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8D83CE">
      <w:pPr>
        <w:pStyle w:val="5"/>
        <w:numPr>
          <w:ilvl w:val="2"/>
          <w:numId w:val="1"/>
        </w:numPr>
      </w:pPr>
      <w:bookmarkStart w:id="47" w:name="_Toc6648"/>
      <w:r>
        <w:rPr>
          <w:rFonts w:ascii="Arial" w:hAnsi="Arial" w:eastAsia="Arial" w:cs="Arial"/>
          <w:b w:val="0"/>
        </w:rPr>
        <w:t>Quais Características Têm Valor para a Previsão</w:t>
      </w:r>
      <w:bookmarkEnd w:id="47"/>
    </w:p>
    <w:p w14:paraId="47427B1E">
      <w:pPr>
        <w:pStyle w:val="3"/>
        <w:ind w:firstLine="0"/>
        <w:rPr>
          <w:color w:val="2E75B5"/>
        </w:rPr>
      </w:pPr>
      <w:r>
        <w:rPr>
          <w:rFonts w:ascii="Arial" w:hAnsi="Arial" w:eastAsia="Arial" w:cs="Arial"/>
          <w:b w:val="0"/>
        </w:rPr>
        <w:t>Reunindo as duas famílias numéricas, 30 das 38 características têm relação estatisticamente comprovada com o abandono do ano seguinte. As oito restantes — Porte (nº de matrículas), Adequação da formação docente — Grupo 3, Banda larga, Esgoto em rede pública, Água potável, Internet, Auditório e Sala de leitura — não se separaram do acaso. Elas foram mantidas por dois motivos: a ausência de relação isolada não impede que a característica seja útil em combinação com as demais, e o conjunto já é enxuto o bastante para que o custo de mantê-las seja pequeno. Na prática, o próprio sistema lhes atribui pouco peso.</w:t>
      </w:r>
    </w:p>
    <w:p w14:paraId="4B6D1E0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11 – As 38 características numéricas ordenadas pela relação com o abandono do ano seguinte</w:t>
      </w:r>
    </w:p>
    <w:p w14:paraId="191F95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4859655" cy="5285740"/>
            <wp:effectExtent l="0" t="0" r="44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4860000" cy="5285933"/>
                    </a:xfrm>
                    <a:prstGeom prst="rect">
                      <a:avLst/>
                    </a:prstGeom>
                  </pic:spPr>
                </pic:pic>
              </a:graphicData>
            </a:graphic>
          </wp:inline>
        </w:drawing>
      </w:r>
    </w:p>
    <w:p w14:paraId="3F87F7B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8BB3FA5">
      <w:pPr>
        <w:pStyle w:val="3"/>
        <w:ind w:firstLine="0"/>
        <w:rPr>
          <w:color w:val="2E75B5"/>
        </w:rPr>
      </w:pPr>
      <w:r>
        <w:rPr>
          <w:rFonts w:ascii="Arial" w:hAnsi="Arial" w:eastAsia="Arial" w:cs="Arial"/>
          <w:b w:val="0"/>
        </w:rPr>
        <w:t>As características de maior valor formam três blocos. O primeiro é o histórico recente da própria escola — abandono e reprovação do ano anterior —, de longe o mais forte. O segundo é o perfil dos alunos: defasagem idade-série e nível socioeconômico. O terceiro é o contexto: localização diferenciada, zona rural e região do estado. A infraestrutura tem efeito real, porém modesto, e o porte da escola, isoladamente, não guarda relação detectável com o abandono.</w:t>
      </w:r>
    </w:p>
    <w:p w14:paraId="1648CD21">
      <w:pPr>
        <w:pStyle w:val="3"/>
        <w:ind w:firstLine="0"/>
        <w:rPr>
          <w:color w:val="2E75B5"/>
        </w:rPr>
      </w:pPr>
      <w:r>
        <w:rPr>
          <w:rFonts w:ascii="Arial" w:hAnsi="Arial" w:eastAsia="Arial" w:cs="Arial"/>
          <w:b w:val="0"/>
        </w:rPr>
        <w:t>Dois indicadores adicionais do INEP — esforço docente e complexidade de gestão — foram submetidos ao mesmo critério e não entraram no sistema. O primeiro tem relação fraca com o abandono; o segundo repete a informação já trazida pela defasagem idade-série. Uma comparação controlada, com e sem os dois, confirmou a ausência de ganho: a qualidade da ordenação ficou praticamente idêntica e o erro médio piorou ligeiramente. É o caso de dois funcionários que fazem o mesmo serviço — contratar o segundo não aumenta a produção. Ambos permanecem no projeto apenas como caracterização descritiva da rede.</w:t>
      </w:r>
    </w:p>
    <w:p w14:paraId="63600EC3">
      <w:pPr>
        <w:pStyle w:val="3"/>
        <w:ind w:firstLine="0"/>
        <w:rPr>
          <w:color w:val="2E75B5"/>
        </w:rPr>
      </w:pPr>
      <w:r>
        <w:rPr>
          <w:rFonts w:ascii="Arial" w:hAnsi="Arial" w:eastAsia="Arial" w:cs="Arial"/>
          <w:b w:val="0"/>
        </w:rPr>
        <w:t>Concluída a caracterização das escolas e de suas características, o critério que orienta o restante do capítulo já se delineia. Como o que se exige do sistema é colocar no topo da lista as escolas que de fato terão abandono alto, a avaliação a seguir julga sobretudo a ordem prevista, e não o valor exato da taxa — é essa ordem que a próxima seção mede.</w:t>
      </w:r>
    </w:p>
    <w:p w14:paraId="3F71063F">
      <w:pPr>
        <w:pStyle w:val="4"/>
        <w:numPr>
          <w:ilvl w:val="1"/>
          <w:numId w:val="1"/>
        </w:numPr>
      </w:pPr>
      <w:bookmarkStart w:id="48" w:name="_Toc26818"/>
      <w:r>
        <w:rPr>
          <w:rFonts w:ascii="Arial" w:hAnsi="Arial" w:eastAsia="Arial" w:cs="Arial"/>
          <w:b w:val="0"/>
        </w:rPr>
        <w:t>Desempenho do Sistema</w:t>
      </w:r>
      <w:bookmarkEnd w:id="48"/>
    </w:p>
    <w:p w14:paraId="4805032B">
      <w:pPr>
        <w:pStyle w:val="5"/>
        <w:numPr>
          <w:ilvl w:val="2"/>
          <w:numId w:val="1"/>
        </w:numPr>
      </w:pPr>
      <w:bookmarkStart w:id="49" w:name="_Toc3315"/>
      <w:r>
        <w:rPr>
          <w:rFonts w:ascii="Arial" w:hAnsi="Arial" w:eastAsia="Arial" w:cs="Arial"/>
          <w:b w:val="0"/>
        </w:rPr>
        <w:t>Como o Desempenho Foi Medido</w:t>
      </w:r>
      <w:bookmarkEnd w:id="49"/>
    </w:p>
    <w:p w14:paraId="22E30C10">
      <w:pPr>
        <w:pStyle w:val="3"/>
        <w:ind w:firstLine="0"/>
        <w:rPr>
          <w:color w:val="2E75B5"/>
        </w:rPr>
      </w:pPr>
      <w:r>
        <w:rPr>
          <w:rFonts w:ascii="Arial" w:hAnsi="Arial" w:eastAsia="Arial" w:cs="Arial"/>
          <w:b w:val="0"/>
        </w:rPr>
        <w:t>O desempenho foi medido sob dois protocolos complementares. O primeiro repete 20 vezes uma divisão em que 20% dos municípios ficam de fora do treino, o que produz uma faixa de confiança em vez de um número solitário e impede que escolas do mesmo município apareçam dos dois lados. O segundo é o teste mais exigente: treinar com o par 2022–2023 e prever o par 2023–2024, ou seja, um ano que o sistema nunca viu. É esse segundo protocolo que simula o uso real.</w:t>
      </w:r>
    </w:p>
    <w:p w14:paraId="1804DADF">
      <w:pPr>
        <w:pStyle w:val="3"/>
        <w:ind w:firstLine="0"/>
        <w:rPr>
          <w:color w:val="2E75B5"/>
        </w:rPr>
      </w:pPr>
      <w:r>
        <w:rPr>
          <w:rFonts w:ascii="Arial" w:hAnsi="Arial" w:eastAsia="Arial" w:cs="Arial"/>
          <w:b w:val="0"/>
        </w:rPr>
        <w:t>Três medidas são reportadas. O erro médio da taxa prevista, em pontos percentuais (RMSE), diz o quanto o sistema erra o valor. O acerto da ordenação, numa escala de 0 a 1 (correlação de Spearman), diz o quanto a ordem prevista se aproxima da observada. E o acerto na lista prioritária (Precision@K) diz, entre as 10% de escolas apontadas como mais críticas, quantas realmente estavam entre as mais críticas. As duas últimas são as que importam para o propósito do sistema.</w:t>
      </w:r>
    </w:p>
    <w:p w14:paraId="242E4030">
      <w:pPr>
        <w:pStyle w:val="5"/>
        <w:numPr>
          <w:ilvl w:val="2"/>
          <w:numId w:val="1"/>
        </w:numPr>
      </w:pPr>
      <w:bookmarkStart w:id="50" w:name="_Toc26658"/>
      <w:r>
        <w:rPr>
          <w:rFonts w:ascii="Arial" w:hAnsi="Arial" w:eastAsia="Arial" w:cs="Arial"/>
          <w:b w:val="0"/>
        </w:rPr>
        <w:t>Resultados em Validação Repetida</w:t>
      </w:r>
      <w:bookmarkEnd w:id="50"/>
    </w:p>
    <w:p w14:paraId="44FEA0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9 – Desempenho em validação repetida (20 repetições, com faixa de confiança de 95%)</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099"/>
        <w:gridCol w:w="2437"/>
        <w:gridCol w:w="2268"/>
        <w:gridCol w:w="2268"/>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DD660D0">
            <w:r>
              <w:rPr>
                <w:rFonts w:ascii="Arial" w:hAnsi="Arial" w:eastAsia="Arial" w:cs="Arial"/>
                <w:b/>
                <w:sz w:val="18"/>
              </w:rPr>
              <w:t>Modelo</w:t>
            </w:r>
          </w:p>
        </w:tc>
        <w:tc>
          <w:tcPr>
            <w:tcW w:w="2437" w:type="dxa"/>
          </w:tcPr>
          <w:p w14:paraId="6E9FC5B3">
            <w:r>
              <w:rPr>
                <w:rFonts w:ascii="Arial" w:hAnsi="Arial" w:eastAsia="Arial" w:cs="Arial"/>
                <w:b/>
                <w:sz w:val="18"/>
              </w:rPr>
              <w:t>Erro médio da taxa (p.p.)</w:t>
            </w:r>
          </w:p>
        </w:tc>
        <w:tc>
          <w:tcPr>
            <w:tcW w:w="2268" w:type="dxa"/>
          </w:tcPr>
          <w:p w14:paraId="24F514D4">
            <w:r>
              <w:rPr>
                <w:rFonts w:ascii="Arial" w:hAnsi="Arial" w:eastAsia="Arial" w:cs="Arial"/>
                <w:b/>
                <w:sz w:val="18"/>
              </w:rPr>
              <w:t>Acerto da ordenação (0 a 1)</w:t>
            </w:r>
          </w:p>
        </w:tc>
        <w:tc>
          <w:tcPr>
            <w:tcW w:w="2268" w:type="dxa"/>
          </w:tcPr>
          <w:p w14:paraId="7414EEB3">
            <w:r>
              <w:rPr>
                <w:rFonts w:ascii="Arial" w:hAnsi="Arial" w:eastAsia="Arial" w:cs="Arial"/>
                <w:b/>
                <w:sz w:val="18"/>
              </w:rPr>
              <w:t>Acerto na lista prioritária</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006E0498">
            <w:r>
              <w:rPr>
                <w:rFonts w:ascii="Arial" w:hAnsi="Arial" w:eastAsia="Arial" w:cs="Arial"/>
                <w:b w:val="0"/>
                <w:sz w:val="18"/>
              </w:rPr>
              <w:t>Sem sistema (média da rede)</w:t>
            </w:r>
          </w:p>
        </w:tc>
        <w:tc>
          <w:tcPr>
            <w:tcW w:w="2437" w:type="dxa"/>
          </w:tcPr>
          <w:p w14:paraId="46BE1752">
            <w:r>
              <w:rPr>
                <w:rFonts w:ascii="Arial" w:hAnsi="Arial" w:eastAsia="Arial" w:cs="Arial"/>
                <w:b w:val="0"/>
                <w:sz w:val="18"/>
              </w:rPr>
              <w:t>3,154 [2,730; 3,577]</w:t>
            </w:r>
          </w:p>
        </w:tc>
        <w:tc>
          <w:tcPr>
            <w:tcW w:w="2268" w:type="dxa"/>
          </w:tcPr>
          <w:p w14:paraId="2EF50E5D">
            <w:r>
              <w:rPr>
                <w:rFonts w:ascii="Arial" w:hAnsi="Arial" w:eastAsia="Arial" w:cs="Arial"/>
                <w:b w:val="0"/>
                <w:sz w:val="18"/>
              </w:rPr>
              <w:t>—</w:t>
            </w:r>
          </w:p>
        </w:tc>
        <w:tc>
          <w:tcPr>
            <w:tcW w:w="2268" w:type="dxa"/>
          </w:tcPr>
          <w:p w14:paraId="7E29AB11">
            <w:r>
              <w:rPr>
                <w:rFonts w:ascii="Arial" w:hAnsi="Arial" w:eastAsia="Arial" w:cs="Arial"/>
                <w:b w:val="0"/>
                <w:sz w:val="18"/>
              </w:rPr>
              <w:t>0,068 [0,040; 0,096]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0DE4F3E">
            <w:r>
              <w:rPr>
                <w:rFonts w:ascii="Arial" w:hAnsi="Arial" w:eastAsia="Arial" w:cs="Arial"/>
                <w:b w:val="0"/>
                <w:sz w:val="18"/>
              </w:rPr>
              <w:t>Modelo de referência linear</w:t>
            </w:r>
          </w:p>
        </w:tc>
        <w:tc>
          <w:tcPr>
            <w:tcW w:w="2437" w:type="dxa"/>
          </w:tcPr>
          <w:p w14:paraId="3DEA1D56">
            <w:r>
              <w:rPr>
                <w:rFonts w:ascii="Arial" w:hAnsi="Arial" w:eastAsia="Arial" w:cs="Arial"/>
                <w:b w:val="0"/>
                <w:sz w:val="18"/>
              </w:rPr>
              <w:t>2,628 [2,349; 2,907]</w:t>
            </w:r>
          </w:p>
        </w:tc>
        <w:tc>
          <w:tcPr>
            <w:tcW w:w="2268" w:type="dxa"/>
          </w:tcPr>
          <w:p w14:paraId="2CC4EB99">
            <w:r>
              <w:rPr>
                <w:rFonts w:ascii="Arial" w:hAnsi="Arial" w:eastAsia="Arial" w:cs="Arial"/>
                <w:b w:val="0"/>
                <w:sz w:val="18"/>
              </w:rPr>
              <w:t>0,428 [0,392; 0,463]</w:t>
            </w:r>
          </w:p>
        </w:tc>
        <w:tc>
          <w:tcPr>
            <w:tcW w:w="2268" w:type="dxa"/>
          </w:tcPr>
          <w:p w14:paraId="3A3A912A">
            <w:r>
              <w:rPr>
                <w:rFonts w:ascii="Arial" w:hAnsi="Arial" w:eastAsia="Arial" w:cs="Arial"/>
                <w:b w:val="0"/>
                <w:sz w:val="18"/>
              </w:rPr>
              <w:t>0,513 [0,472; 0,553]</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3063C368">
            <w:r>
              <w:rPr>
                <w:rFonts w:ascii="Arial" w:hAnsi="Arial" w:eastAsia="Arial" w:cs="Arial"/>
                <w:b w:val="0"/>
                <w:sz w:val="18"/>
              </w:rPr>
              <w:t>Modelo de referência em árvores</w:t>
            </w:r>
          </w:p>
        </w:tc>
        <w:tc>
          <w:tcPr>
            <w:tcW w:w="2437" w:type="dxa"/>
          </w:tcPr>
          <w:p w14:paraId="6A308A54">
            <w:r>
              <w:rPr>
                <w:rFonts w:ascii="Arial" w:hAnsi="Arial" w:eastAsia="Arial" w:cs="Arial"/>
                <w:b w:val="0"/>
                <w:sz w:val="18"/>
              </w:rPr>
              <w:t>2,546 [2,281; 2,812]</w:t>
            </w:r>
          </w:p>
        </w:tc>
        <w:tc>
          <w:tcPr>
            <w:tcW w:w="2268" w:type="dxa"/>
          </w:tcPr>
          <w:p w14:paraId="31E50551">
            <w:r>
              <w:rPr>
                <w:rFonts w:ascii="Arial" w:hAnsi="Arial" w:eastAsia="Arial" w:cs="Arial"/>
                <w:b w:val="0"/>
                <w:sz w:val="18"/>
              </w:rPr>
              <w:t>0,431 [0,400; 0,463]</w:t>
            </w:r>
          </w:p>
        </w:tc>
        <w:tc>
          <w:tcPr>
            <w:tcW w:w="2268" w:type="dxa"/>
          </w:tcPr>
          <w:p w14:paraId="72813122">
            <w:r>
              <w:rPr>
                <w:rFonts w:ascii="Arial" w:hAnsi="Arial" w:eastAsia="Arial" w:cs="Arial"/>
                <w:b w:val="0"/>
                <w:sz w:val="18"/>
              </w:rPr>
              <w:t>0,501 [0,457; 0,545]</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180BB425">
            <w:r>
              <w:rPr>
                <w:rFonts w:ascii="Arial" w:hAnsi="Arial" w:eastAsia="Arial" w:cs="Arial"/>
                <w:b w:val="0"/>
                <w:sz w:val="18"/>
              </w:rPr>
              <w:t>Modelo adotado</w:t>
            </w:r>
          </w:p>
        </w:tc>
        <w:tc>
          <w:tcPr>
            <w:tcW w:w="2437" w:type="dxa"/>
          </w:tcPr>
          <w:p w14:paraId="4101E8B4">
            <w:r>
              <w:rPr>
                <w:rFonts w:ascii="Arial" w:hAnsi="Arial" w:eastAsia="Arial" w:cs="Arial"/>
                <w:b w:val="0"/>
                <w:sz w:val="18"/>
              </w:rPr>
              <w:t>2,597 [2,329; 2,865]</w:t>
            </w:r>
          </w:p>
        </w:tc>
        <w:tc>
          <w:tcPr>
            <w:tcW w:w="2268" w:type="dxa"/>
          </w:tcPr>
          <w:p w14:paraId="08161C3D">
            <w:r>
              <w:rPr>
                <w:rFonts w:ascii="Arial" w:hAnsi="Arial" w:eastAsia="Arial" w:cs="Arial"/>
                <w:b w:val="0"/>
                <w:sz w:val="18"/>
              </w:rPr>
              <w:t>0,416 [0,387; 0,445]</w:t>
            </w:r>
          </w:p>
        </w:tc>
        <w:tc>
          <w:tcPr>
            <w:tcW w:w="2268" w:type="dxa"/>
          </w:tcPr>
          <w:p w14:paraId="7C7BC5F6">
            <w:r>
              <w:rPr>
                <w:rFonts w:ascii="Arial" w:hAnsi="Arial" w:eastAsia="Arial" w:cs="Arial"/>
                <w:b w:val="0"/>
                <w:sz w:val="18"/>
              </w:rPr>
              <w:t>0,504 [0,457; 0,550]</w:t>
            </w:r>
          </w:p>
        </w:tc>
      </w:tr>
    </w:tbl>
    <w:p w14:paraId="58F8E68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20AAE76">
      <w:pPr>
        <w:pStyle w:val="3"/>
        <w:ind w:firstLine="0"/>
        <w:rPr>
          <w:color w:val="2E75B5"/>
        </w:rPr>
      </w:pPr>
      <w:r>
        <w:rPr>
          <w:rFonts w:ascii="Arial" w:hAnsi="Arial" w:eastAsia="Arial" w:cs="Arial"/>
          <w:b w:val="0"/>
        </w:rPr>
        <w:t>A leitura das colunas é diferente. O erro médio melhora pouco: o sistema continua errando o valor exato da taxa. Já a ordenação e o acerto da lista prioritária melhoram muito em relação à média da rede. Os três modelos ficam praticamente empatados na ordenação — seus intervalos de confiança se sobrepõem, sem vencedor claro —, e o modelo adotado acompanha os demais: das escolas que ele aponta como prioritárias, cerca de metade estava de fato entre as mais críticas, contra 7 em cada 100 na escolha ao acaso — sete vezes mais.</w:t>
      </w:r>
    </w:p>
    <w:p w14:paraId="08987BD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12 – Distribuição das medidas de desempenho nas 20 repetições</w:t>
      </w:r>
    </w:p>
    <w:p w14:paraId="02C17EF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667510"/>
            <wp:effectExtent l="0" t="0" r="825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580000" cy="1667758"/>
                    </a:xfrm>
                    <a:prstGeom prst="rect">
                      <a:avLst/>
                    </a:prstGeom>
                  </pic:spPr>
                </pic:pic>
              </a:graphicData>
            </a:graphic>
          </wp:inline>
        </w:drawing>
      </w:r>
    </w:p>
    <w:p w14:paraId="7C089E4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986990C">
      <w:pPr>
        <w:pStyle w:val="5"/>
        <w:numPr>
          <w:ilvl w:val="2"/>
          <w:numId w:val="1"/>
        </w:numPr>
      </w:pPr>
      <w:bookmarkStart w:id="51" w:name="_Toc21250"/>
      <w:r>
        <w:rPr>
          <w:rFonts w:ascii="Arial" w:hAnsi="Arial" w:eastAsia="Arial" w:cs="Arial"/>
          <w:b w:val="0"/>
        </w:rPr>
        <w:t>Resultados no Teste do Ano Nunca Visto</w:t>
      </w:r>
      <w:bookmarkEnd w:id="51"/>
    </w:p>
    <w:p w14:paraId="5AFB93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10 – Desempenho no teste do ano nunca visto (treino em 2022–2023, teste em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67BA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7DE497">
            <w:r>
              <w:rPr>
                <w:rFonts w:ascii="Arial" w:hAnsi="Arial" w:eastAsia="Arial" w:cs="Arial"/>
                <w:b/>
                <w:sz w:val="18"/>
              </w:rPr>
              <w:t>Modelo</w:t>
            </w:r>
          </w:p>
        </w:tc>
        <w:tc>
          <w:tcPr>
            <w:tcW w:w="1814" w:type="dxa"/>
          </w:tcPr>
          <w:p w14:paraId="04701F0B">
            <w:r>
              <w:rPr>
                <w:rFonts w:ascii="Arial" w:hAnsi="Arial" w:eastAsia="Arial" w:cs="Arial"/>
                <w:b/>
                <w:sz w:val="18"/>
              </w:rPr>
              <w:t>Erro médio da taxa (p.p.)</w:t>
            </w:r>
          </w:p>
        </w:tc>
        <w:tc>
          <w:tcPr>
            <w:tcW w:w="1814" w:type="dxa"/>
          </w:tcPr>
          <w:p w14:paraId="5D224A36">
            <w:r>
              <w:rPr>
                <w:rFonts w:ascii="Arial" w:hAnsi="Arial" w:eastAsia="Arial" w:cs="Arial"/>
                <w:b/>
                <w:sz w:val="18"/>
              </w:rPr>
              <w:t>Acerto da ordenação (0 a 1)</w:t>
            </w:r>
          </w:p>
        </w:tc>
        <w:tc>
          <w:tcPr>
            <w:tcW w:w="1587" w:type="dxa"/>
          </w:tcPr>
          <w:p w14:paraId="47FAF2AE">
            <w:r>
              <w:rPr>
                <w:rFonts w:ascii="Arial" w:hAnsi="Arial" w:eastAsia="Arial" w:cs="Arial"/>
                <w:b/>
                <w:sz w:val="18"/>
              </w:rPr>
              <w:t>Acerto na lista prioritária</w:t>
            </w:r>
          </w:p>
        </w:tc>
        <w:tc>
          <w:tcPr>
            <w:tcW w:w="1871" w:type="dxa"/>
          </w:tcPr>
          <w:p w14:paraId="7C4EEC66">
            <w:r>
              <w:rPr>
                <w:rFonts w:ascii="Arial" w:hAnsi="Arial" w:eastAsia="Arial" w:cs="Arial"/>
                <w:b/>
                <w:sz w:val="18"/>
              </w:rPr>
              <w:t>Separação entre críticas e não críticas</w:t>
            </w:r>
          </w:p>
        </w:tc>
      </w:tr>
      <w:tr w14:paraId="6B83A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D996CD">
            <w:r>
              <w:rPr>
                <w:rFonts w:ascii="Arial" w:hAnsi="Arial" w:eastAsia="Arial" w:cs="Arial"/>
                <w:b w:val="0"/>
                <w:sz w:val="18"/>
              </w:rPr>
              <w:t>Sem sistema (média da rede)</w:t>
            </w:r>
          </w:p>
        </w:tc>
        <w:tc>
          <w:tcPr>
            <w:tcW w:w="1814" w:type="dxa"/>
          </w:tcPr>
          <w:p w14:paraId="4AF91C6B">
            <w:r>
              <w:rPr>
                <w:rFonts w:ascii="Arial" w:hAnsi="Arial" w:eastAsia="Arial" w:cs="Arial"/>
                <w:b w:val="0"/>
                <w:sz w:val="18"/>
              </w:rPr>
              <w:t>2,540</w:t>
            </w:r>
          </w:p>
        </w:tc>
        <w:tc>
          <w:tcPr>
            <w:tcW w:w="1814" w:type="dxa"/>
          </w:tcPr>
          <w:p w14:paraId="61F5A88F">
            <w:r>
              <w:rPr>
                <w:rFonts w:ascii="Arial" w:hAnsi="Arial" w:eastAsia="Arial" w:cs="Arial"/>
                <w:b w:val="0"/>
                <w:sz w:val="18"/>
              </w:rPr>
              <w:t>—</w:t>
            </w:r>
          </w:p>
        </w:tc>
        <w:tc>
          <w:tcPr>
            <w:tcW w:w="1587" w:type="dxa"/>
          </w:tcPr>
          <w:p w14:paraId="539EDF81">
            <w:r>
              <w:rPr>
                <w:rFonts w:ascii="Arial" w:hAnsi="Arial" w:eastAsia="Arial" w:cs="Arial"/>
                <w:b w:val="0"/>
                <w:sz w:val="18"/>
              </w:rPr>
              <w:t>0,089</w:t>
            </w:r>
          </w:p>
        </w:tc>
        <w:tc>
          <w:tcPr>
            <w:tcW w:w="1871" w:type="dxa"/>
          </w:tcPr>
          <w:p w14:paraId="7AAD1A50">
            <w:r>
              <w:rPr>
                <w:rFonts w:ascii="Arial" w:hAnsi="Arial" w:eastAsia="Arial" w:cs="Arial"/>
                <w:b w:val="0"/>
                <w:sz w:val="18"/>
              </w:rPr>
              <w:t>—</w:t>
            </w:r>
          </w:p>
        </w:tc>
      </w:tr>
      <w:tr w14:paraId="347B5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0161CF8C">
            <w:r>
              <w:rPr>
                <w:rFonts w:ascii="Arial" w:hAnsi="Arial" w:eastAsia="Arial" w:cs="Arial"/>
                <w:b w:val="0"/>
                <w:sz w:val="18"/>
              </w:rPr>
              <w:t>Modelo de referência linear</w:t>
            </w:r>
          </w:p>
        </w:tc>
        <w:tc>
          <w:tcPr>
            <w:tcW w:w="1814" w:type="dxa"/>
          </w:tcPr>
          <w:p w14:paraId="4181DD32">
            <w:r>
              <w:rPr>
                <w:rFonts w:ascii="Arial" w:hAnsi="Arial" w:eastAsia="Arial" w:cs="Arial"/>
                <w:b w:val="0"/>
                <w:sz w:val="18"/>
              </w:rPr>
              <w:t>2,891</w:t>
            </w:r>
          </w:p>
        </w:tc>
        <w:tc>
          <w:tcPr>
            <w:tcW w:w="1814" w:type="dxa"/>
          </w:tcPr>
          <w:p w14:paraId="7EFDDDD8">
            <w:r>
              <w:rPr>
                <w:rFonts w:ascii="Arial" w:hAnsi="Arial" w:eastAsia="Arial" w:cs="Arial"/>
                <w:b w:val="0"/>
                <w:sz w:val="18"/>
              </w:rPr>
              <w:t>0,330</w:t>
            </w:r>
          </w:p>
        </w:tc>
        <w:tc>
          <w:tcPr>
            <w:tcW w:w="1587" w:type="dxa"/>
          </w:tcPr>
          <w:p w14:paraId="37323F46">
            <w:r>
              <w:rPr>
                <w:rFonts w:ascii="Arial" w:hAnsi="Arial" w:eastAsia="Arial" w:cs="Arial"/>
                <w:b w:val="0"/>
                <w:sz w:val="18"/>
              </w:rPr>
              <w:t>0,380</w:t>
            </w:r>
          </w:p>
        </w:tc>
        <w:tc>
          <w:tcPr>
            <w:tcW w:w="1871" w:type="dxa"/>
          </w:tcPr>
          <w:p w14:paraId="4EDDA769">
            <w:r>
              <w:rPr>
                <w:rFonts w:ascii="Arial" w:hAnsi="Arial" w:eastAsia="Arial" w:cs="Arial"/>
                <w:b w:val="0"/>
                <w:sz w:val="18"/>
              </w:rPr>
              <w:t>0,812</w:t>
            </w:r>
          </w:p>
        </w:tc>
      </w:tr>
      <w:tr w14:paraId="7B9ED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34E09F6">
            <w:r>
              <w:rPr>
                <w:rFonts w:ascii="Arial" w:hAnsi="Arial" w:eastAsia="Arial" w:cs="Arial"/>
                <w:b w:val="0"/>
                <w:sz w:val="18"/>
              </w:rPr>
              <w:t>Modelo de referência em árvores</w:t>
            </w:r>
          </w:p>
        </w:tc>
        <w:tc>
          <w:tcPr>
            <w:tcW w:w="1814" w:type="dxa"/>
          </w:tcPr>
          <w:p w14:paraId="1EA51DEE">
            <w:r>
              <w:rPr>
                <w:rFonts w:ascii="Arial" w:hAnsi="Arial" w:eastAsia="Arial" w:cs="Arial"/>
                <w:b w:val="0"/>
                <w:sz w:val="18"/>
              </w:rPr>
              <w:t>2,751</w:t>
            </w:r>
          </w:p>
        </w:tc>
        <w:tc>
          <w:tcPr>
            <w:tcW w:w="1814" w:type="dxa"/>
          </w:tcPr>
          <w:p w14:paraId="22E5EBC1">
            <w:r>
              <w:rPr>
                <w:rFonts w:ascii="Arial" w:hAnsi="Arial" w:eastAsia="Arial" w:cs="Arial"/>
                <w:b w:val="0"/>
                <w:sz w:val="18"/>
              </w:rPr>
              <w:t>0,343</w:t>
            </w:r>
          </w:p>
        </w:tc>
        <w:tc>
          <w:tcPr>
            <w:tcW w:w="1587" w:type="dxa"/>
          </w:tcPr>
          <w:p w14:paraId="5A755BAC">
            <w:r>
              <w:rPr>
                <w:rFonts w:ascii="Arial" w:hAnsi="Arial" w:eastAsia="Arial" w:cs="Arial"/>
                <w:b w:val="0"/>
                <w:sz w:val="18"/>
              </w:rPr>
              <w:t>0,405</w:t>
            </w:r>
          </w:p>
        </w:tc>
        <w:tc>
          <w:tcPr>
            <w:tcW w:w="1871" w:type="dxa"/>
          </w:tcPr>
          <w:p w14:paraId="46CE8164">
            <w:r>
              <w:rPr>
                <w:rFonts w:ascii="Arial" w:hAnsi="Arial" w:eastAsia="Arial" w:cs="Arial"/>
                <w:b w:val="0"/>
                <w:sz w:val="18"/>
              </w:rPr>
              <w:t>0,829</w:t>
            </w:r>
          </w:p>
        </w:tc>
      </w:tr>
      <w:tr w14:paraId="3594D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968ECBF">
            <w:r>
              <w:rPr>
                <w:rFonts w:ascii="Arial" w:hAnsi="Arial" w:eastAsia="Arial" w:cs="Arial"/>
                <w:b w:val="0"/>
                <w:sz w:val="18"/>
              </w:rPr>
              <w:t>Modelo adotado</w:t>
            </w:r>
          </w:p>
        </w:tc>
        <w:tc>
          <w:tcPr>
            <w:tcW w:w="1814" w:type="dxa"/>
          </w:tcPr>
          <w:p w14:paraId="115786E9">
            <w:r>
              <w:rPr>
                <w:rFonts w:ascii="Arial" w:hAnsi="Arial" w:eastAsia="Arial" w:cs="Arial"/>
                <w:b w:val="0"/>
                <w:sz w:val="18"/>
              </w:rPr>
              <w:t>2,874</w:t>
            </w:r>
          </w:p>
        </w:tc>
        <w:tc>
          <w:tcPr>
            <w:tcW w:w="1814" w:type="dxa"/>
          </w:tcPr>
          <w:p w14:paraId="1073F006">
            <w:r>
              <w:rPr>
                <w:rFonts w:ascii="Arial" w:hAnsi="Arial" w:eastAsia="Arial" w:cs="Arial"/>
                <w:b w:val="0"/>
                <w:sz w:val="18"/>
              </w:rPr>
              <w:t>0,348</w:t>
            </w:r>
          </w:p>
        </w:tc>
        <w:tc>
          <w:tcPr>
            <w:tcW w:w="1587" w:type="dxa"/>
          </w:tcPr>
          <w:p w14:paraId="4548CA3E">
            <w:r>
              <w:rPr>
                <w:rFonts w:ascii="Arial" w:hAnsi="Arial" w:eastAsia="Arial" w:cs="Arial"/>
                <w:b w:val="0"/>
                <w:sz w:val="18"/>
              </w:rPr>
              <w:t>0,418</w:t>
            </w:r>
          </w:p>
        </w:tc>
        <w:tc>
          <w:tcPr>
            <w:tcW w:w="1871" w:type="dxa"/>
          </w:tcPr>
          <w:p w14:paraId="2C5DB115">
            <w:r>
              <w:rPr>
                <w:rFonts w:ascii="Arial" w:hAnsi="Arial" w:eastAsia="Arial" w:cs="Arial"/>
                <w:b w:val="0"/>
                <w:sz w:val="18"/>
              </w:rPr>
              <w:t>0,798</w:t>
            </w:r>
          </w:p>
        </w:tc>
      </w:tr>
    </w:tbl>
    <w:p w14:paraId="5925B6B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80A92F6">
      <w:pPr>
        <w:pStyle w:val="3"/>
        <w:ind w:firstLine="0"/>
        <w:rPr>
          <w:color w:val="2E75B5"/>
        </w:rPr>
      </w:pPr>
      <w:r>
        <w:rPr>
          <w:rFonts w:ascii="Arial" w:hAnsi="Arial" w:eastAsia="Arial" w:cs="Arial"/>
          <w:b w:val="0"/>
        </w:rPr>
        <w:t>Nesse teste aparece o achado mais relevante da avaliação. Entre um ciclo e outro o abandono médio da rede caiu, e nenhum modelo superou o piso trivial no erro de magnitude: todos erram sistematicamente o nível da taxa. As medidas de ordenação, porém, permanecem muito acima do piso. O sistema continua identificando quais escolas terão abandono alto, mesmo errando o valor.</w:t>
      </w:r>
    </w:p>
    <w:p w14:paraId="5FA6047C">
      <w:pPr>
        <w:pStyle w:val="3"/>
        <w:ind w:firstLine="0"/>
        <w:rPr>
          <w:color w:val="2E75B5"/>
        </w:rPr>
      </w:pPr>
      <w:r>
        <w:rPr>
          <w:rFonts w:ascii="Arial" w:hAnsi="Arial" w:eastAsia="Arial" w:cs="Arial"/>
          <w:b w:val="0"/>
        </w:rPr>
        <w:t>A analogia é a de um termômetro descalibrado: ele erra alguns graus, mas aponta corretamente quem está com mais febre. Para priorizar intervenções, é a ordem que importa. A limitação de magnitude vem da janela curta de dados — apenas dois pares de anos — e está registrada entre as limitações do estudo.</w:t>
      </w:r>
    </w:p>
    <w:p w14:paraId="068320C4">
      <w:pPr>
        <w:pStyle w:val="3"/>
        <w:ind w:firstLine="0"/>
        <w:rPr>
          <w:color w:val="2E75B5"/>
        </w:rPr>
      </w:pPr>
      <w:r>
        <w:rPr>
          <w:rFonts w:ascii="Arial" w:hAnsi="Arial" w:eastAsia="Arial" w:cs="Arial"/>
          <w:b w:val="0"/>
        </w:rPr>
        <w:t>A última coluna traduz o mesmo resultado em uma medida comparável à da literatura, que costuma tratar evasão como uma classificação: a capacidade de separar as escolas críticas das demais chega a 0,798 para o modelo adotado, na faixa típica dos estudos da área.</w:t>
      </w:r>
    </w:p>
    <w:p w14:paraId="24977E46">
      <w:pPr>
        <w:pStyle w:val="5"/>
        <w:numPr>
          <w:ilvl w:val="2"/>
          <w:numId w:val="1"/>
        </w:numPr>
      </w:pPr>
      <w:bookmarkStart w:id="52" w:name="_Toc25100"/>
      <w:r>
        <w:rPr>
          <w:rFonts w:ascii="Arial" w:hAnsi="Arial" w:eastAsia="Arial" w:cs="Arial"/>
          <w:b w:val="0"/>
          <w:color w:val="1F4E9B"/>
          <w:highlight w:val="yellow"/>
        </w:rPr>
        <w:t>Resultados em Cada Transição Anual</w:t>
      </w:r>
      <w:bookmarkEnd w:id="52"/>
    </w:p>
    <w:p w14:paraId="68971E2A">
      <w:pPr>
        <w:pStyle w:val="3"/>
        <w:ind w:firstLine="0"/>
        <w:rPr>
          <w:color w:val="2E75B5"/>
        </w:rPr>
      </w:pPr>
      <w:r>
        <w:rPr>
          <w:rFonts w:ascii="Arial" w:hAnsi="Arial" w:eastAsia="Arial" w:cs="Arial"/>
          <w:b w:val="0"/>
          <w:color w:val="1F4E9B"/>
          <w:highlight w:val="yellow"/>
        </w:rPr>
        <w:t>Para examinar se o desempenho se sustenta de um ano para o outro, o modelo adotado foi avaliado nos dois cenários anuais em separado: no primeiro, usa as características de 2022 para prever o abandono de 2023; no segundo, usa as de 2023 para prever o de 2024. Em cada cenário o desempenho é medido fora da amostra, repetindo vinte vezes uma divisão em que 20% dos municípios daquele ano ficam de fora do treino — a mesma régua do Quadro 9, aqui separada por ano em vez de agregada. É sempre o mesmo modelo; muda apenas o ano de referência.</w:t>
      </w:r>
    </w:p>
    <w:p w14:paraId="07971620">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104"/>
        <w:gridCol w:w="2484"/>
        <w:gridCol w:w="2484"/>
      </w:tblGrid>
      <w:tr w14:paraId="6DF27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8BDAD81">
            <w:r>
              <w:rPr>
                <w:rFonts w:ascii="Arial" w:hAnsi="Arial" w:eastAsia="Arial" w:cs="Arial"/>
                <w:b/>
                <w:color w:val="1F4E9B"/>
                <w:sz w:val="18"/>
                <w:highlight w:val="yellow"/>
              </w:rPr>
              <w:t>Indicador de desempenho</w:t>
            </w:r>
          </w:p>
        </w:tc>
        <w:tc>
          <w:tcPr>
            <w:tcW w:w="2484" w:type="dxa"/>
          </w:tcPr>
          <w:p w14:paraId="434758FF">
            <w:r>
              <w:rPr>
                <w:rFonts w:ascii="Arial" w:hAnsi="Arial" w:eastAsia="Arial" w:cs="Arial"/>
                <w:b/>
                <w:color w:val="1F4E9B"/>
                <w:sz w:val="18"/>
                <w:highlight w:val="yellow"/>
              </w:rPr>
              <w:t>Cenário 2022 → 2023</w:t>
            </w:r>
          </w:p>
        </w:tc>
        <w:tc>
          <w:tcPr>
            <w:tcW w:w="2484" w:type="dxa"/>
          </w:tcPr>
          <w:p w14:paraId="7D368DAD">
            <w:r>
              <w:rPr>
                <w:rFonts w:ascii="Arial" w:hAnsi="Arial" w:eastAsia="Arial" w:cs="Arial"/>
                <w:b/>
                <w:color w:val="1F4E9B"/>
                <w:sz w:val="18"/>
                <w:highlight w:val="yellow"/>
              </w:rPr>
              <w:t>Cenário 2023 → 2024</w:t>
            </w:r>
          </w:p>
        </w:tc>
      </w:tr>
      <w:tr w14:paraId="5C54F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B003DF3">
            <w:r>
              <w:rPr>
                <w:rFonts w:ascii="Arial" w:hAnsi="Arial" w:eastAsia="Arial" w:cs="Arial"/>
                <w:b w:val="0"/>
                <w:color w:val="1F4E9B"/>
                <w:sz w:val="18"/>
                <w:highlight w:val="yellow"/>
              </w:rPr>
              <w:t>Erro médio da taxa, p.p. (RMSE) — menor é melhor</w:t>
            </w:r>
          </w:p>
        </w:tc>
        <w:tc>
          <w:tcPr>
            <w:tcW w:w="2484" w:type="dxa"/>
          </w:tcPr>
          <w:p w14:paraId="290B08DD">
            <w:r>
              <w:rPr>
                <w:rFonts w:ascii="Arial" w:hAnsi="Arial" w:eastAsia="Arial" w:cs="Arial"/>
                <w:b w:val="0"/>
                <w:color w:val="1F4E9B"/>
                <w:sz w:val="18"/>
                <w:highlight w:val="yellow"/>
              </w:rPr>
              <w:t>2,82 ± 0,34</w:t>
            </w:r>
          </w:p>
        </w:tc>
        <w:tc>
          <w:tcPr>
            <w:tcW w:w="2484" w:type="dxa"/>
          </w:tcPr>
          <w:p w14:paraId="4AFD25CB">
            <w:r>
              <w:rPr>
                <w:rFonts w:ascii="Arial" w:hAnsi="Arial" w:eastAsia="Arial" w:cs="Arial"/>
                <w:b w:val="0"/>
                <w:color w:val="1F4E9B"/>
                <w:sz w:val="18"/>
                <w:highlight w:val="yellow"/>
              </w:rPr>
              <w:t>2,16 ± 0,26</w:t>
            </w:r>
          </w:p>
        </w:tc>
      </w:tr>
      <w:tr w14:paraId="3A10EA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1FAE7F4E">
            <w:r>
              <w:rPr>
                <w:rFonts w:ascii="Arial" w:hAnsi="Arial" w:eastAsia="Arial" w:cs="Arial"/>
                <w:b w:val="0"/>
                <w:color w:val="1F4E9B"/>
                <w:sz w:val="18"/>
                <w:highlight w:val="yellow"/>
              </w:rPr>
              <w:t>Acerto da ordenação, de 0 a 1 (Spearman)</w:t>
            </w:r>
          </w:p>
        </w:tc>
        <w:tc>
          <w:tcPr>
            <w:tcW w:w="2484" w:type="dxa"/>
          </w:tcPr>
          <w:p w14:paraId="44C44AAA">
            <w:r>
              <w:rPr>
                <w:rFonts w:ascii="Arial" w:hAnsi="Arial" w:eastAsia="Arial" w:cs="Arial"/>
                <w:b w:val="0"/>
                <w:color w:val="1F4E9B"/>
                <w:sz w:val="18"/>
                <w:highlight w:val="yellow"/>
              </w:rPr>
              <w:t>0,469 ± 0,039</w:t>
            </w:r>
          </w:p>
        </w:tc>
        <w:tc>
          <w:tcPr>
            <w:tcW w:w="2484" w:type="dxa"/>
          </w:tcPr>
          <w:p w14:paraId="3904D936">
            <w:r>
              <w:rPr>
                <w:rFonts w:ascii="Arial" w:hAnsi="Arial" w:eastAsia="Arial" w:cs="Arial"/>
                <w:b w:val="0"/>
                <w:color w:val="1F4E9B"/>
                <w:sz w:val="18"/>
                <w:highlight w:val="yellow"/>
              </w:rPr>
              <w:t>0,367 ± 0,032</w:t>
            </w:r>
          </w:p>
        </w:tc>
      </w:tr>
      <w:tr w14:paraId="3258A5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048B3B4D">
            <w:r>
              <w:rPr>
                <w:rFonts w:ascii="Arial" w:hAnsi="Arial" w:eastAsia="Arial" w:cs="Arial"/>
                <w:b w:val="0"/>
                <w:color w:val="1F4E9B"/>
                <w:sz w:val="18"/>
                <w:highlight w:val="yellow"/>
              </w:rPr>
              <w:t>Acerto na lista prioritária, top 10% (Precision@K)</w:t>
            </w:r>
          </w:p>
        </w:tc>
        <w:tc>
          <w:tcPr>
            <w:tcW w:w="2484" w:type="dxa"/>
          </w:tcPr>
          <w:p w14:paraId="05EBC5C6">
            <w:r>
              <w:rPr>
                <w:rFonts w:ascii="Arial" w:hAnsi="Arial" w:eastAsia="Arial" w:cs="Arial"/>
                <w:b w:val="0"/>
                <w:color w:val="1F4E9B"/>
                <w:sz w:val="18"/>
                <w:highlight w:val="yellow"/>
              </w:rPr>
              <w:t>0,627 ± 0,060</w:t>
            </w:r>
          </w:p>
        </w:tc>
        <w:tc>
          <w:tcPr>
            <w:tcW w:w="2484" w:type="dxa"/>
          </w:tcPr>
          <w:p w14:paraId="5ADDB3E1">
            <w:r>
              <w:rPr>
                <w:rFonts w:ascii="Arial" w:hAnsi="Arial" w:eastAsia="Arial" w:cs="Arial"/>
                <w:b w:val="0"/>
                <w:color w:val="1F4E9B"/>
                <w:sz w:val="18"/>
                <w:highlight w:val="yellow"/>
              </w:rPr>
              <w:t>0,381 ± 0,041</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65CF03C2">
            <w:r>
              <w:rPr>
                <w:rFonts w:ascii="Arial" w:hAnsi="Arial" w:eastAsia="Arial" w:cs="Arial"/>
                <w:b w:val="0"/>
                <w:color w:val="1F4E9B"/>
                <w:sz w:val="18"/>
                <w:highlight w:val="yellow"/>
              </w:rPr>
              <w:t>Separação alto/baixo risco (ROC-AUC)</w:t>
            </w:r>
          </w:p>
        </w:tc>
        <w:tc>
          <w:tcPr>
            <w:tcW w:w="2484" w:type="dxa"/>
          </w:tcPr>
          <w:p w14:paraId="240799C6">
            <w:r>
              <w:rPr>
                <w:rFonts w:ascii="Arial" w:hAnsi="Arial" w:eastAsia="Arial" w:cs="Arial"/>
                <w:b w:val="0"/>
                <w:color w:val="1F4E9B"/>
                <w:sz w:val="18"/>
                <w:highlight w:val="yellow"/>
              </w:rPr>
              <w:t>0,901 ± 0,035</w:t>
            </w:r>
          </w:p>
        </w:tc>
        <w:tc>
          <w:tcPr>
            <w:tcW w:w="2484" w:type="dxa"/>
          </w:tcPr>
          <w:p w14:paraId="1B1D9CD6">
            <w:r>
              <w:rPr>
                <w:rFonts w:ascii="Arial" w:hAnsi="Arial" w:eastAsia="Arial" w:cs="Arial"/>
                <w:b w:val="0"/>
                <w:color w:val="1F4E9B"/>
                <w:sz w:val="18"/>
                <w:highlight w:val="yellow"/>
              </w:rPr>
              <w:t>0,813 ± 0,019</w:t>
            </w:r>
          </w:p>
        </w:tc>
      </w:tr>
    </w:tbl>
    <w:p w14:paraId="1C5D7AC1">
      <w:pPr>
        <w:pStyle w:val="3"/>
        <w:ind w:firstLine="0"/>
        <w:rPr>
          <w:color w:val="2E75B5"/>
        </w:rPr>
      </w:pPr>
      <w:r>
        <w:rPr>
          <w:rFonts w:ascii="Arial" w:hAnsi="Arial"/>
          <w:color w:val="1F4E9B"/>
          <w:sz w:val="22"/>
          <w:highlight w:val="yellow"/>
        </w:rPr>
        <w:t>Fonte: elaborado pelo autor.</w:t>
      </w:r>
    </w:p>
    <w:p w14:paraId="326796B6">
      <w:pPr>
        <w:pStyle w:val="3"/>
        <w:ind w:firstLine="0"/>
        <w:rPr>
          <w:color w:val="2E75B5"/>
        </w:rPr>
      </w:pPr>
      <w:r>
        <w:rPr>
          <w:rFonts w:ascii="Arial" w:hAnsi="Arial" w:eastAsia="Arial" w:cs="Arial"/>
          <w:b w:val="0"/>
          <w:color w:val="1F4E9B"/>
          <w:highlight w:val="yellow"/>
        </w:rPr>
        <w:t>O modelo mantém utilidade nas duas transições, mas rende mais na primeira. Na transição de 2022 para 2023, entre as escolas que ele coloca no topo da lista de prioridade, 63% estão de fato entre as de maior abandono; na de 2023 para 2024, esse acerto cai para 38% — ainda muito acima dos cerca de 10% de uma escolha ao acaso. A queda acompanha a própria mudança da rede: o abandono médio caiu de 1,36% para 0,88% e as escolas se aproximaram de zero, o que ao mesmo tempo reduz o erro absoluto e comprime o sinal que permite ordená-las. Mesmo no cenário mais difícil, a capacidade de separar as escolas de alto risco das demais permanece alta (0,81 numa escala em que 0,5 é o acaso). Tomados em conjunto, os dois cenários cercam os valores do Quadro 9, que avalia as duas transições agregadas — sinal de que a decomposição é coerente com o desempenho global, e não efeito de um ano específico.</w:t>
      </w:r>
    </w:p>
    <w:p w14:paraId="06ABB063">
      <w:pPr>
        <w:pStyle w:val="3"/>
        <w:ind w:firstLine="0"/>
        <w:rPr>
          <w:color w:val="2E75B5"/>
        </w:rPr>
      </w:pPr>
      <w:r>
        <w:rPr>
          <w:rFonts w:ascii="Arial" w:hAnsi="Arial"/>
          <w:color w:val="1F4E9B"/>
          <w:sz w:val="22"/>
          <w:highlight w:val="yellow"/>
        </w:rPr>
        <w:t>Figura 13 – Desempenho do modelo adotado em cada transição anual (2022→2023 e 2023→2024)</w:t>
      </w:r>
    </w:p>
    <w:p w14:paraId="48B71853">
      <w:pPr>
        <w:pStyle w:val="3"/>
        <w:jc w:val="center"/>
      </w:pPr>
      <w:r>
        <w:drawing>
          <wp:inline distT="0" distB="0" distL="114300" distR="114300">
            <wp:extent cx="5579745" cy="1774825"/>
            <wp:effectExtent l="0" t="0" r="825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2"/>
                    <a:stretch>
                      <a:fillRect/>
                    </a:stretch>
                  </pic:blipFill>
                  <pic:spPr>
                    <a:xfrm>
                      <a:off x="0" y="0"/>
                      <a:ext cx="5580000" cy="1775114"/>
                    </a:xfrm>
                    <a:prstGeom prst="rect">
                      <a:avLst/>
                    </a:prstGeom>
                  </pic:spPr>
                </pic:pic>
              </a:graphicData>
            </a:graphic>
          </wp:inline>
        </w:drawing>
      </w:r>
    </w:p>
    <w:p w14:paraId="1B1E531C">
      <w:pPr>
        <w:pStyle w:val="3"/>
        <w:ind w:firstLine="0"/>
        <w:rPr>
          <w:color w:val="2E75B5"/>
        </w:rPr>
      </w:pPr>
      <w:r>
        <w:rPr>
          <w:rFonts w:ascii="Arial" w:hAnsi="Arial"/>
          <w:color w:val="1F4E9B"/>
          <w:sz w:val="22"/>
          <w:highlight w:val="yellow"/>
        </w:rPr>
        <w:t>Fonte: elaborado pelo autor.</w:t>
      </w:r>
    </w:p>
    <w:p w14:paraId="433FF695">
      <w:pPr>
        <w:pStyle w:val="3"/>
        <w:ind w:firstLine="0"/>
        <w:rPr>
          <w:color w:val="2E75B5"/>
        </w:rPr>
      </w:pPr>
      <w:r>
        <w:rPr>
          <w:rFonts w:ascii="Arial" w:hAnsi="Arial" w:eastAsia="Arial" w:cs="Arial"/>
          <w:b w:val="0"/>
          <w:color w:val="1F4E9B"/>
          <w:highlight w:val="yellow"/>
        </w:rPr>
        <w:t>A mesma comparação entre os dois anos pode ser lida em número de alunos, e não em taxa. Convertendo a taxa de abandono de cada escola em quantidade de e</w:t>
      </w:r>
      <w:bookmarkStart w:id="66" w:name="_GoBack"/>
      <w:bookmarkEnd w:id="66"/>
      <w:r>
        <w:rPr>
          <w:rFonts w:ascii="Arial" w:hAnsi="Arial" w:eastAsia="Arial" w:cs="Arial"/>
          <w:b w:val="0"/>
          <w:color w:val="1F4E9B"/>
          <w:highlight w:val="yellow"/>
        </w:rPr>
        <w:t>studantes — multiplicando-a pela matrícula do ensino médio no ano em que o abandono é medido —, o resíduo passa a exprimir quantos alunos o sistema errou, para mais ou para menos, em cada escola. A figura a seguir apresenta esse resíduo, escola a escola, nas duas transições. Em ambas, a maioria das escolas concentra-se em torno de zero e o erro médio é de cerca de três alunos por escola (3,3 na transição de 2022 para 2023 e 3,0 na de 2023 para 2024), sem tendência sistemática de superestimar ou subestimar; as poucas escolas de maior porte, com dezenas de evasões, concentram os maiores desvios.</w:t>
      </w:r>
    </w:p>
    <w:p w14:paraId="23069A4F">
      <w:pPr>
        <w:pStyle w:val="3"/>
        <w:ind w:firstLine="0"/>
        <w:rPr>
          <w:color w:val="2E75B5"/>
        </w:rPr>
      </w:pPr>
      <w:r>
        <w:rPr>
          <w:rFonts w:ascii="Arial" w:hAnsi="Arial"/>
          <w:color w:val="1F4E9B"/>
          <w:sz w:val="22"/>
          <w:highlight w:val="yellow"/>
        </w:rPr>
        <w:t>Figura 14 – Resíduo do modelo por escola, em número de alunos que abandonaram o ensino médio, nas transições 2022–2023 e 2023–2024</w:t>
      </w:r>
    </w:p>
    <w:p w14:paraId="682A6D0E">
      <w:pPr>
        <w:pStyle w:val="3"/>
        <w:jc w:val="center"/>
      </w:pPr>
      <w:r>
        <w:drawing>
          <wp:inline distT="0" distB="0" distL="114300" distR="114300">
            <wp:extent cx="5579745" cy="2139950"/>
            <wp:effectExtent l="0" t="0" r="825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3"/>
                    <a:stretch>
                      <a:fillRect/>
                    </a:stretch>
                  </pic:blipFill>
                  <pic:spPr>
                    <a:xfrm>
                      <a:off x="0" y="0"/>
                      <a:ext cx="5580000" cy="2140384"/>
                    </a:xfrm>
                    <a:prstGeom prst="rect">
                      <a:avLst/>
                    </a:prstGeom>
                  </pic:spPr>
                </pic:pic>
              </a:graphicData>
            </a:graphic>
          </wp:inline>
        </w:drawing>
      </w:r>
    </w:p>
    <w:p w14:paraId="58A849A6">
      <w:pPr>
        <w:pStyle w:val="3"/>
        <w:ind w:firstLine="0"/>
        <w:rPr>
          <w:color w:val="2E75B5"/>
        </w:rPr>
      </w:pPr>
      <w:r>
        <w:rPr>
          <w:rFonts w:ascii="Arial" w:hAnsi="Arial"/>
          <w:color w:val="1F4E9B"/>
          <w:sz w:val="22"/>
          <w:highlight w:val="yellow"/>
        </w:rPr>
        <w:t>Fonte: elaborado pelo autor.</w:t>
      </w:r>
    </w:p>
    <w:p w14:paraId="2277BBB5">
      <w:pPr>
        <w:pStyle w:val="4"/>
        <w:numPr>
          <w:ilvl w:val="1"/>
          <w:numId w:val="1"/>
        </w:numPr>
      </w:pPr>
      <w:bookmarkStart w:id="53" w:name="_Toc14109"/>
      <w:r>
        <w:rPr>
          <w:rFonts w:ascii="Arial" w:hAnsi="Arial" w:eastAsia="Arial" w:cs="Arial"/>
          <w:b w:val="0"/>
        </w:rPr>
        <w:t>Capacidade de Priorização</w:t>
      </w:r>
      <w:bookmarkEnd w:id="53"/>
    </w:p>
    <w:p w14:paraId="49584007">
      <w:pPr>
        <w:pStyle w:val="3"/>
        <w:ind w:firstLine="0"/>
        <w:rPr>
          <w:color w:val="2E75B5"/>
        </w:rPr>
      </w:pPr>
      <w:r>
        <w:rPr>
          <w:rFonts w:ascii="Arial" w:hAnsi="Arial" w:eastAsia="Arial" w:cs="Arial"/>
          <w:b w:val="0"/>
        </w:rPr>
        <w:t>Do ponto de vista do gestor, a pergunta operacional é direta: com recursos para atender um número limitado de escolas indicadas pelo sistema, quantas das escolas realmente críticas são alcançadas? A resposta é obtida variando o tamanho da lista, sem reconstruir o sistema — uma propriedade que motivou a formulação adotada.</w:t>
      </w:r>
    </w:p>
    <w:p w14:paraId="238E6F75">
      <w:pPr>
        <w:pStyle w:val="3"/>
        <w:ind w:firstLine="0"/>
        <w:rPr>
          <w:color w:val="2E75B5"/>
        </w:rPr>
      </w:pPr>
      <w:r>
        <w:rPr>
          <w:rFonts w:ascii="Arial" w:hAnsi="Arial" w:eastAsia="Arial" w:cs="Arial"/>
          <w:b w:val="0"/>
        </w:rPr>
        <w:t>Considerando críticas as escolas do décimo mais alto de abandono em 2024, e usando o modelo treinado apenas com os anos anteriores, a lista das 50 primeiras alcança 28% das críticas, contra 6% da escolha ao acaso. A das 100 primeiras alcança 46% e a das 150 primeiras, 57%. É o princípio da triagem de um pronto-socorro: com vagas limitadas, a fila ordenada por gravidade encontra muito mais casos graves do que o atendimento por ordem de chegada.</w:t>
      </w:r>
    </w:p>
    <w:p w14:paraId="4E6A54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15 – Ganho prático da lista de prioridade em relação à escolha ao acaso</w:t>
      </w:r>
    </w:p>
    <w:p w14:paraId="7C3992F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580000" cy="1981382"/>
                    </a:xfrm>
                    <a:prstGeom prst="rect">
                      <a:avLst/>
                    </a:prstGeom>
                  </pic:spPr>
                </pic:pic>
              </a:graphicData>
            </a:graphic>
          </wp:inline>
        </w:drawing>
      </w:r>
    </w:p>
    <w:p w14:paraId="396E872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F8A185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16 – Acerto e alcance da lista para diferentes tamanhos de lista</w:t>
      </w:r>
    </w:p>
    <w:p w14:paraId="65D588A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4870"/>
            <wp:effectExtent l="0" t="0" r="8255"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5580000" cy="2135057"/>
                    </a:xfrm>
                    <a:prstGeom prst="rect">
                      <a:avLst/>
                    </a:prstGeom>
                  </pic:spPr>
                </pic:pic>
              </a:graphicData>
            </a:graphic>
          </wp:inline>
        </w:drawing>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4EEC5B">
      <w:pPr>
        <w:pStyle w:val="4"/>
        <w:numPr>
          <w:ilvl w:val="1"/>
          <w:numId w:val="1"/>
        </w:numPr>
      </w:pPr>
      <w:bookmarkStart w:id="54" w:name="_Toc7627"/>
      <w:r>
        <w:rPr>
          <w:rFonts w:ascii="Arial" w:hAnsi="Arial" w:eastAsia="Arial" w:cs="Arial"/>
          <w:b w:val="0"/>
        </w:rPr>
        <w:t>Explicação das Indicações</w:t>
      </w:r>
      <w:bookmarkEnd w:id="54"/>
    </w:p>
    <w:p w14:paraId="4564E80B">
      <w:pPr>
        <w:pStyle w:val="5"/>
        <w:numPr>
          <w:ilvl w:val="2"/>
          <w:numId w:val="1"/>
        </w:numPr>
      </w:pPr>
      <w:bookmarkStart w:id="55" w:name="_Toc13011"/>
      <w:r>
        <w:rPr>
          <w:rFonts w:ascii="Arial" w:hAnsi="Arial" w:eastAsia="Arial" w:cs="Arial"/>
          <w:b w:val="0"/>
        </w:rPr>
        <w:t>Visão Geral</w:t>
      </w:r>
      <w:bookmarkEnd w:id="55"/>
    </w:p>
    <w:p w14:paraId="5B8734FD">
      <w:pPr>
        <w:pStyle w:val="3"/>
        <w:ind w:firstLine="0"/>
        <w:rPr>
          <w:color w:val="2E75B5"/>
        </w:rPr>
      </w:pPr>
      <w:r>
        <w:rPr>
          <w:rFonts w:ascii="Arial" w:hAnsi="Arial" w:eastAsia="Arial" w:cs="Arial"/>
          <w:b w:val="0"/>
        </w:rPr>
        <w:t>Saber que uma escola está no topo da lista não basta; é preciso saber por quê. A técnica de explicação adotada decompõe cada previsão na contribuição de cada característica. Aplicada a todo o conjunto, ela mostra quais características mais pesam nas previsões do sistema: o histórico de abandono da própria escola é, de longe, o principal fator, seguido do abandono na 2ª e na 1ª série, do nível socioeconômico, da reprovação e da defasagem idade-série. Esse peso confirma um princípio conhecido: o melhor previsor do tempo de amanhã costuma ser o tempo de hoje.</w:t>
      </w:r>
    </w:p>
    <w:p w14:paraId="62CF50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17 – Contribuição de cada característica para as previsões do sistema</w:t>
      </w:r>
    </w:p>
    <w:p w14:paraId="00099AD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302250"/>
            <wp:effectExtent l="0" t="0" r="825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6"/>
                    <a:stretch>
                      <a:fillRect/>
                    </a:stretch>
                  </pic:blipFill>
                  <pic:spPr>
                    <a:xfrm>
                      <a:off x="0" y="0"/>
                      <a:ext cx="5580000" cy="5302674"/>
                    </a:xfrm>
                    <a:prstGeom prst="rect">
                      <a:avLst/>
                    </a:prstGeom>
                  </pic:spPr>
                </pic:pic>
              </a:graphicData>
            </a:graphic>
          </wp:inline>
        </w:drawing>
      </w:r>
    </w:p>
    <w:p w14:paraId="2667587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08B5043">
      <w:pPr>
        <w:pStyle w:val="5"/>
        <w:numPr>
          <w:ilvl w:val="2"/>
          <w:numId w:val="1"/>
        </w:numPr>
      </w:pPr>
      <w:bookmarkStart w:id="56" w:name="_Toc26737"/>
      <w:r>
        <w:rPr>
          <w:rFonts w:ascii="Arial" w:hAnsi="Arial" w:eastAsia="Arial" w:cs="Arial"/>
          <w:b w:val="0"/>
        </w:rPr>
        <w:t>Direção dos Efeitos</w:t>
      </w:r>
      <w:bookmarkEnd w:id="56"/>
    </w:p>
    <w:p w14:paraId="1DB4A60F">
      <w:pPr>
        <w:pStyle w:val="3"/>
        <w:ind w:firstLine="0"/>
        <w:rPr>
          <w:color w:val="2E75B5"/>
        </w:rPr>
      </w:pPr>
      <w:r>
        <w:rPr>
          <w:rFonts w:ascii="Arial" w:hAnsi="Arial" w:eastAsia="Arial" w:cs="Arial"/>
          <w:b w:val="0"/>
        </w:rPr>
        <w:t>As contribuições também têm direção, e ela é coerente com o que se espera. Valores altos de abandono e de reprovação no ano anterior e de defasagem idade-série empurram a previsão para cima, aumentando o risco. Valores altos de nível socioeconômico e de formação docente adequada empurram para baixo. Essa coerência é um argumento de confiança: o sistema não está apenas acertando, está acertando pelas razões certas.</w:t>
      </w:r>
    </w:p>
    <w:p w14:paraId="75D0539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18 – Peso e direção de cada característica nas previsões do sistema</w:t>
      </w:r>
    </w:p>
    <w:p w14:paraId="5206B8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673475"/>
            <wp:effectExtent l="0" t="0" r="825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5580000" cy="3674022"/>
                    </a:xfrm>
                    <a:prstGeom prst="rect">
                      <a:avLst/>
                    </a:prstGeom>
                  </pic:spPr>
                </pic:pic>
              </a:graphicData>
            </a:graphic>
          </wp:inline>
        </w:drawing>
      </w:r>
    </w:p>
    <w:p w14:paraId="7055DCB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7FD3B1">
      <w:pPr>
        <w:pStyle w:val="5"/>
        <w:numPr>
          <w:ilvl w:val="2"/>
          <w:numId w:val="1"/>
        </w:numPr>
      </w:pPr>
      <w:bookmarkStart w:id="57" w:name="_Toc14757"/>
      <w:r>
        <w:rPr>
          <w:rFonts w:ascii="Arial" w:hAnsi="Arial" w:eastAsia="Arial" w:cs="Arial"/>
          <w:b w:val="0"/>
        </w:rPr>
        <w:t>Explicação de Uma Escola</w:t>
      </w:r>
      <w:bookmarkEnd w:id="57"/>
    </w:p>
    <w:p w14:paraId="2C975AF9">
      <w:pPr>
        <w:pStyle w:val="3"/>
        <w:ind w:firstLine="0"/>
        <w:rPr>
          <w:color w:val="2E75B5"/>
        </w:rPr>
      </w:pPr>
      <w:r>
        <w:rPr>
          <w:rFonts w:ascii="Arial" w:hAnsi="Arial" w:eastAsia="Arial" w:cs="Arial"/>
          <w:b w:val="0"/>
        </w:rPr>
        <w:t>A decomposição também vale caso a caso. Para qualquer escola é possível mostrar como cada característica afastou sua previsão da média da rede — a diferença entre o mapa do clima de um país e a previsão do tempo de uma cidade. Na escola de maior risco previsto, uma escola estadual indígena no município de Jatobá, as maiores contribuições positivas vêm do histórico de abandono, da defasagem idade-série e do abandono na 2ª série. É exatamente esse tipo de explicação que o painel apresenta ao gestor para justificar cada indicação.</w:t>
      </w:r>
    </w:p>
    <w:p w14:paraId="0B8D54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19 – Explicação individual da escola de maior risco previsto</w:t>
      </w:r>
    </w:p>
    <w:p w14:paraId="28E2A03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159375"/>
            <wp:effectExtent l="0" t="0" r="825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8"/>
                    <a:stretch>
                      <a:fillRect/>
                    </a:stretch>
                  </pic:blipFill>
                  <pic:spPr>
                    <a:xfrm>
                      <a:off x="0" y="0"/>
                      <a:ext cx="5580000" cy="5159397"/>
                    </a:xfrm>
                    <a:prstGeom prst="rect">
                      <a:avLst/>
                    </a:prstGeom>
                  </pic:spPr>
                </pic:pic>
              </a:graphicData>
            </a:graphic>
          </wp:inline>
        </w:drawing>
      </w:r>
    </w:p>
    <w:p w14:paraId="0AF058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AED7BB0">
      <w:pPr>
        <w:pStyle w:val="5"/>
        <w:numPr>
          <w:ilvl w:val="2"/>
          <w:numId w:val="1"/>
        </w:numPr>
      </w:pPr>
      <w:bookmarkStart w:id="58" w:name="_Toc16208"/>
      <w:r>
        <w:rPr>
          <w:rFonts w:ascii="Arial" w:hAnsi="Arial" w:eastAsia="Arial" w:cs="Arial"/>
          <w:b w:val="0"/>
        </w:rPr>
        <w:t>Erros do Modelo e Equidade</w:t>
      </w:r>
      <w:bookmarkEnd w:id="58"/>
    </w:p>
    <w:p w14:paraId="4E9AC818">
      <w:pPr>
        <w:pStyle w:val="3"/>
        <w:ind w:firstLine="0"/>
        <w:rPr>
          <w:color w:val="2E75B5"/>
        </w:rPr>
      </w:pPr>
      <w:r>
        <w:rPr>
          <w:rFonts w:ascii="Arial" w:hAnsi="Arial" w:eastAsia="Arial" w:cs="Arial"/>
          <w:b w:val="0"/>
        </w:rPr>
        <w:t>A análise dos erros por grupo revelou um achado de equidade que precisa ser declarado. No teste do ano nunca visto, o sistema erra para mais nas escolas de localização diferenciada: prevê risco alto para escolas indígenas e quilombolas cujo abandono observado é próximo de zero. O erro médio nesse grupo é de −4,09 pontos percentuais, contra +0,42 nas urbanas e −1,02 nas rurais.</w:t>
      </w:r>
    </w:p>
    <w:p w14:paraId="71A2F5F2">
      <w:pPr>
        <w:pStyle w:val="3"/>
        <w:ind w:firstLine="0"/>
        <w:rPr>
          <w:color w:val="2E75B5"/>
        </w:rPr>
      </w:pPr>
      <w:r>
        <w:rPr>
          <w:rFonts w:ascii="Arial" w:hAnsi="Arial" w:eastAsia="Arial" w:cs="Arial"/>
          <w:b w:val="0"/>
        </w:rPr>
        <w:t>A explicação provável é a existência de fatores de proteção ligados ao vínculo comunitário, que os dados disponíveis não capturam. O perfil dessas escolas — rural, baixo nível socioeconômico, alta defasagem idade-série — está associado a abandono alto, mas o abandono observado não acontece. É um caso parecido com o de um seguro de automóvel que cobra caro de um motorista pelo perfil de risco, sem saber que ele dirige pouco e com cuidado.</w:t>
      </w:r>
    </w:p>
    <w:p w14:paraId="741AB250">
      <w:pPr>
        <w:pStyle w:val="3"/>
        <w:ind w:firstLine="0"/>
        <w:rPr>
          <w:color w:val="2E75B5"/>
        </w:rPr>
      </w:pPr>
      <w:r>
        <w:rPr>
          <w:rFonts w:ascii="Arial" w:hAnsi="Arial" w:eastAsia="Arial" w:cs="Arial"/>
          <w:b w:val="0"/>
        </w:rPr>
        <w:t>A consequência prática é direta: sem correção, o sistema daria atenção excessiva a escolas que não estão de fato em risco, deslocando recursos de onde eles são necessários. A limitação está registrada no painel e é o primeiro item dos trabalhos futuros.</w:t>
      </w:r>
    </w:p>
    <w:p w14:paraId="51F8A8D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20 – Erro do sistema por grupo de localização no teste do ano nunca visto</w:t>
      </w:r>
    </w:p>
    <w:p w14:paraId="7DDA3D8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7410"/>
            <wp:effectExtent l="0" t="0" r="825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9"/>
                    <a:stretch>
                      <a:fillRect/>
                    </a:stretch>
                  </pic:blipFill>
                  <pic:spPr>
                    <a:xfrm>
                      <a:off x="0" y="0"/>
                      <a:ext cx="5580000" cy="2137942"/>
                    </a:xfrm>
                    <a:prstGeom prst="rect">
                      <a:avLst/>
                    </a:prstGeom>
                  </pic:spPr>
                </pic:pic>
              </a:graphicData>
            </a:graphic>
          </wp:inline>
        </w:drawing>
      </w:r>
    </w:p>
    <w:p w14:paraId="25B908C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55A53F6">
      <w:pPr>
        <w:pStyle w:val="4"/>
        <w:numPr>
          <w:ilvl w:val="1"/>
          <w:numId w:val="1"/>
        </w:numPr>
      </w:pPr>
      <w:bookmarkStart w:id="59" w:name="_Toc5157"/>
      <w:r>
        <w:rPr>
          <w:rFonts w:ascii="Arial" w:hAnsi="Arial" w:eastAsia="Arial" w:cs="Arial"/>
          <w:b w:val="0"/>
        </w:rPr>
        <w:t>O Painel de Priorização ao Gestor</w:t>
      </w:r>
      <w:bookmarkEnd w:id="59"/>
    </w:p>
    <w:p w14:paraId="60AF4A93">
      <w:pPr>
        <w:pStyle w:val="3"/>
        <w:ind w:firstLine="0"/>
        <w:rPr>
          <w:color w:val="2E75B5"/>
        </w:rPr>
      </w:pPr>
      <w:r>
        <w:rPr>
          <w:rFonts w:ascii="Arial" w:hAnsi="Arial" w:eastAsia="Arial" w:cs="Arial"/>
          <w:b w:val="0"/>
        </w:rPr>
        <w:t>O sistema culmina em um painel interativo que coloca o modelo nas mãos do gestor, atendendo às três funções previstas na arquitetura. A primeira é a lista de risco das escolas para o ano seguinte, com filtros por região e município e marcação das escolas mais críticas. A segunda é o detalhe de cada escola: o risco previsto, sua posição na lista e a explicação de quais características puxaram aquela previsão para cima ou para baixo — o equivalente a um laudo individual. A terceira é o diagnóstico, que separa as escolas que abandonam mais do que o previsto, e merecem alerta, das que abandonam menos, e merecem estudo.</w:t>
      </w:r>
    </w:p>
    <w:p w14:paraId="58A9A1DB">
      <w:pPr>
        <w:pStyle w:val="3"/>
        <w:ind w:firstLine="0"/>
        <w:rPr>
          <w:color w:val="2E75B5"/>
        </w:rPr>
      </w:pPr>
      <w:r>
        <w:rPr>
          <w:rFonts w:ascii="Arial" w:hAnsi="Arial" w:eastAsia="Arial" w:cs="Arial"/>
          <w:b w:val="0"/>
        </w:rPr>
        <w:t>Uma ressalva fica explícita na própria tela: as previsões exibidas foram calculadas sobre dados que o modelo conhece, e a estimativa honesta de desempenho é a do teste do ano nunca visto. O painel é uma ferramenta de apoio à decisão, não um substituto do julgamento do gestor. Ele responde a duas perguntas no mesmo lugar: onde intervir primeiro e por quê.</w:t>
      </w:r>
    </w:p>
    <w:p w14:paraId="6726B27F">
      <w:pPr>
        <w:pStyle w:val="4"/>
        <w:numPr>
          <w:ilvl w:val="1"/>
          <w:numId w:val="1"/>
        </w:numPr>
      </w:pPr>
      <w:bookmarkStart w:id="60" w:name="_Toc12053"/>
      <w:r>
        <w:rPr>
          <w:rFonts w:ascii="Arial" w:hAnsi="Arial" w:eastAsia="Arial" w:cs="Arial"/>
          <w:b w:val="0"/>
        </w:rPr>
        <w:t>Síntese dos Resultados</w:t>
      </w:r>
      <w:bookmarkEnd w:id="60"/>
    </w:p>
    <w:p w14:paraId="3A43783E">
      <w:pPr>
        <w:pStyle w:val="3"/>
        <w:ind w:firstLine="0"/>
        <w:rPr>
          <w:color w:val="2E75B5"/>
        </w:rPr>
      </w:pPr>
      <w:r>
        <w:rPr>
          <w:rFonts w:ascii="Arial" w:hAnsi="Arial" w:eastAsia="Arial" w:cs="Arial"/>
          <w:b w:val="0"/>
        </w:rPr>
        <w:t>Os resultados podem ser resumidos em cinco pontos. Primeiro, o sistema é confiável no que se propõe: uma suíte de 98 testes cobre os erros que passariam despercebidos, e os resultados são reproduzíveis a partir dos dados originais.</w:t>
      </w:r>
    </w:p>
    <w:p w14:paraId="7B06D878">
      <w:pPr>
        <w:pStyle w:val="3"/>
        <w:ind w:firstLine="0"/>
        <w:rPr>
          <w:color w:val="2E75B5"/>
        </w:rPr>
      </w:pPr>
      <w:r>
        <w:rPr>
          <w:rFonts w:ascii="Arial" w:hAnsi="Arial" w:eastAsia="Arial" w:cs="Arial"/>
          <w:b w:val="0"/>
        </w:rPr>
        <w:t>Segundo, o conjunto de características é enxuto e justificado: 39 colunas escolhidas entre mais de 400, com análise estatística individual e critérios explícitos de corte.</w:t>
      </w:r>
    </w:p>
    <w:p w14:paraId="0DD60FA7">
      <w:pPr>
        <w:pStyle w:val="3"/>
        <w:ind w:firstLine="0"/>
        <w:rPr>
          <w:color w:val="2E75B5"/>
        </w:rPr>
      </w:pPr>
      <w:r>
        <w:rPr>
          <w:rFonts w:ascii="Arial" w:hAnsi="Arial" w:eastAsia="Arial" w:cs="Arial"/>
          <w:b w:val="0"/>
        </w:rPr>
        <w:t>Terceiro, o sistema acerta a ordem, não a magnitude. Ele erra o valor exato da taxa, mas ordena as escolas com qualidade útil — e é a ordem que a decisão do gestor requer.</w:t>
      </w:r>
    </w:p>
    <w:p w14:paraId="792A7F03">
      <w:pPr>
        <w:pStyle w:val="3"/>
        <w:ind w:firstLine="0"/>
        <w:rPr>
          <w:color w:val="2E75B5"/>
        </w:rPr>
      </w:pPr>
      <w:r>
        <w:rPr>
          <w:rFonts w:ascii="Arial" w:hAnsi="Arial" w:eastAsia="Arial" w:cs="Arial"/>
          <w:b w:val="0"/>
        </w:rPr>
        <w:t>Quarto, o ganho prático é mensurável: das escolas apontadas como prioritárias, cerca de metade estava de fato entre as mais críticas, contra 7 em cada 100 na escolha ao acaso; e uma lista de 150 escolas alcança mais da metade das escolas críticas da rede.</w:t>
      </w:r>
    </w:p>
    <w:p w14:paraId="693241E1">
      <w:pPr>
        <w:pStyle w:val="3"/>
        <w:ind w:firstLine="0"/>
        <w:rPr>
          <w:color w:val="2E75B5"/>
        </w:rPr>
      </w:pPr>
      <w:r>
        <w:rPr>
          <w:rFonts w:ascii="Arial" w:hAnsi="Arial" w:eastAsia="Arial" w:cs="Arial"/>
          <w:b w:val="0"/>
        </w:rPr>
        <w:t>Quinto, cada indicação é explicável, o que permite ao gestor concordar ou discordar com argumento — e é também o que expõe, de forma transparente, a limitação de equidade nas escolas de localização diferenciada.</w:t>
      </w:r>
    </w:p>
    <w:p w14:paraId="78BAA92B">
      <w:pPr>
        <w:pStyle w:val="2"/>
        <w:numPr>
          <w:ilvl w:val="0"/>
          <w:numId w:val="1"/>
        </w:numPr>
        <w:rPr>
          <w:color w:val="000000"/>
        </w:rPr>
      </w:pPr>
      <w:bookmarkStart w:id="61" w:name="_Toc28970"/>
      <w:r>
        <w:rPr>
          <w:rFonts w:ascii="Arial" w:hAnsi="Arial" w:eastAsia="Arial" w:cs="Arial"/>
          <w:b w:val="0"/>
        </w:rPr>
        <w:t>Conclusões e Trabalhos Futuros</w:t>
      </w:r>
      <w:bookmarkEnd w:id="61"/>
    </w:p>
    <w:p w14:paraId="2B49EC9B">
      <w:pPr>
        <w:pStyle w:val="4"/>
        <w:numPr>
          <w:ilvl w:val="1"/>
          <w:numId w:val="1"/>
        </w:numPr>
      </w:pPr>
      <w:bookmarkStart w:id="62" w:name="_Toc5291"/>
      <w:r>
        <w:rPr>
          <w:rFonts w:ascii="Arial" w:hAnsi="Arial" w:eastAsia="Arial" w:cs="Arial"/>
          <w:b w:val="0"/>
        </w:rPr>
        <w:t>Conclusões</w:t>
      </w:r>
      <w:bookmarkEnd w:id="62"/>
    </w:p>
    <w:p w14:paraId="7D6793BE">
      <w:pPr>
        <w:pStyle w:val="3"/>
        <w:ind w:firstLine="0"/>
        <w:rPr>
          <w:color w:val="2E75B5"/>
        </w:rPr>
      </w:pPr>
      <w:r>
        <w:rPr>
          <w:rFonts w:ascii="Arial" w:hAnsi="Arial" w:eastAsia="Arial" w:cs="Arial"/>
          <w:b w:val="0"/>
        </w:rPr>
        <w:t>Este trabalho desenvolveu um sistema de identificação precoce do risco de evasão em escolas estaduais de Ensino Médio de Pernambuco, do tratamento dos dados públicos à entrega de um painel operacional ao gestor.</w:t>
      </w:r>
    </w:p>
    <w:p w14:paraId="46C572AB">
      <w:pPr>
        <w:pStyle w:val="3"/>
        <w:ind w:firstLine="0"/>
        <w:rPr>
          <w:color w:val="2E75B5"/>
        </w:rPr>
      </w:pPr>
      <w:r>
        <w:rPr>
          <w:rFonts w:ascii="Arial" w:hAnsi="Arial" w:eastAsia="Arial" w:cs="Arial"/>
          <w:b/>
        </w:rPr>
        <w:t>Resposta à pergunta de previsão (P2). Sim, com uma qualificação que é ela própria um resultado: o sistema identifica quais escolas terão abandono elevado, mas não estima quanto. O acerto da ordenação foi de 0,416 na validação repetida e de 0,348 no teste do ano nunca visto, e a capacidade de separar as escolas críticas das demais chegou a 0,798. Das escolas apontadas como prioritárias, cerca de metade estava de fato entre as mais críticas, contra 7 em cada 100 na escolha ao acaso. O erro de magnitude, por outro lado, não superou o piso trivial no teste temporal: entre um ciclo e outro o abandono médio da rede caiu, e o sistema errou sistematicamente o nível da taxa. Como a decisão do gestor exige a ordem das escolas e não o valor previsto, a pergunta está respondida no que importa — e a limitação de magnitude é atribuída à janela curta de apenas dois pares de anos.</w:t>
      </w:r>
    </w:p>
    <w:p w14:paraId="363C3E96">
      <w:pPr>
        <w:pStyle w:val="3"/>
        <w:ind w:firstLine="0"/>
        <w:rPr>
          <w:color w:val="2E75B5"/>
        </w:rPr>
      </w:pPr>
      <w:r>
        <w:rPr>
          <w:rFonts w:ascii="Arial" w:hAnsi="Arial" w:eastAsia="Arial" w:cs="Arial"/>
          <w:b/>
        </w:rPr>
        <w:t xml:space="preserve">Resposta à pergunta de diagnóstico (P3). </w:t>
      </w:r>
      <w:r>
        <w:rPr>
          <w:rFonts w:ascii="Arial" w:hAnsi="Arial" w:eastAsia="Arial" w:cs="Arial"/>
        </w:rPr>
        <w:t>Sim. A comparação entre o abandono observado e o que o perfil de cada escola faria esperar identificou os dois extremos, registrados para inspeção: as vinte escolas que mais abandonam acima do esperado e as vinte que mais ficam abaixo, com desvios que vão de −27,98 a +23,70 pontos percentuais. Esse diagnóstico chega ao gestor no painel, que classifica cada escola em alerta ou resiliente. Uma ressalva é necessária: parte do que a análise encontra descreve o limite do sistema, e não a escola. As escolas indígenas e quilombolas aparecem sistematicamente entre as que abandonam menos do que o previsto porque faltam ao modelo os fatores de proteção comunitários discutidos no Capítulo 6. Distinguir as duas leituras — a escola que foge ao padrão e o modelo que não enxerga um fator — faz parte da resposta.</w:t>
      </w:r>
    </w:p>
    <w:p w14:paraId="0AE112BC">
      <w:pPr>
        <w:pStyle w:val="3"/>
        <w:ind w:firstLine="0"/>
        <w:rPr>
          <w:color w:val="2E75B5"/>
        </w:rPr>
      </w:pPr>
      <w:r>
        <w:rPr>
          <w:rFonts w:ascii="Arial" w:hAnsi="Arial" w:eastAsia="Arial" w:cs="Arial"/>
          <w:b w:val="0"/>
        </w:rPr>
        <w:t>Sobre o problema: a evasão na rede estadual não é um fenômeno difuso, e sim concentrado. Em 2024, 10% das escolas responderam por 76% dos alunos que abandonaram, enquanto dois terços das escolas não registraram nenhum caso. Esse recorte é o que justifica um sistema de priorização em vez de um acompanhamento pela média da rede: um sistema que respondesse “zero” para todas as escolas erraria pouco na média e ainda assim seria inútil ao gestor, porque o que a decisão exige é a ordem das escolas, não o valor da taxa.</w:t>
      </w:r>
    </w:p>
    <w:p w14:paraId="672FDBB6">
      <w:pPr>
        <w:pStyle w:val="3"/>
        <w:ind w:firstLine="0"/>
        <w:rPr>
          <w:color w:val="2E75B5"/>
        </w:rPr>
      </w:pPr>
      <w:r>
        <w:rPr>
          <w:rFonts w:ascii="Arial" w:hAnsi="Arial" w:eastAsia="Arial" w:cs="Arial"/>
          <w:b w:val="0"/>
        </w:rPr>
        <w:t>Sobre as características: partiu-se de mais de 400 colunas disponíveis para 39, escolhidas com critérios explícitos e submetidas a análise estatística individual. Trinta das 38 características numéricas mostraram relação comprovada com o abandono do ano seguinte, e as de maior valor são o histórico recente da própria escola, o perfil dos alunos e o contexto de localização.</w:t>
      </w:r>
    </w:p>
    <w:p w14:paraId="3C9AD571">
      <w:pPr>
        <w:pStyle w:val="3"/>
        <w:ind w:firstLine="0"/>
        <w:rPr>
          <w:color w:val="2E75B5"/>
        </w:rPr>
      </w:pPr>
      <w:r>
        <w:rPr>
          <w:rFonts w:ascii="Arial" w:hAnsi="Arial" w:eastAsia="Arial" w:cs="Arial"/>
          <w:b w:val="0"/>
        </w:rPr>
        <w:t>Sobre o desempenho: o sistema ordena as escolas com qualidade útil para a gestão, ainda que não acerte o valor exato da taxa. No teste mais exigente, uma lista de 150 escolas alcança 57% das escolas críticas da rede, contra 19% da escolha ao acaso.</w:t>
      </w:r>
    </w:p>
    <w:p w14:paraId="526B2FEA">
      <w:pPr>
        <w:pStyle w:val="3"/>
        <w:ind w:firstLine="0"/>
        <w:rPr>
          <w:color w:val="2E75B5"/>
        </w:rPr>
      </w:pPr>
      <w:r>
        <w:rPr>
          <w:rFonts w:ascii="Arial" w:hAnsi="Arial" w:eastAsia="Arial" w:cs="Arial"/>
          <w:b w:val="0"/>
        </w:rPr>
        <w:t>Sobre a engenharia: o sistema foi construído com arquitetura em camadas, dependências em sentido único, 98 testes automatizados e reprodutibilidade completa a partir dos dados originais. Essas propriedades não são acessórias — em um sistema que aprende com dados, elas são a única defesa contra erros que não se manifestam em tempo de execução.</w:t>
      </w:r>
    </w:p>
    <w:p w14:paraId="6A2B8C74">
      <w:pPr>
        <w:pStyle w:val="3"/>
        <w:ind w:firstLine="0"/>
        <w:rPr>
          <w:color w:val="2E75B5"/>
        </w:rPr>
      </w:pPr>
      <w:r>
        <w:rPr>
          <w:rFonts w:ascii="Arial" w:hAnsi="Arial" w:eastAsia="Arial" w:cs="Arial"/>
          <w:b w:val="0"/>
        </w:rPr>
        <w:t>Sobre os limites: o sistema erra para mais nas escolas indígenas e quilombolas, prevendo risco onde o abandono observado é baixo. A limitação está documentada, exposta no painel e é o primeiro item dos trabalhos futuros. Reconhecê-la faz parte da entrega.</w:t>
      </w:r>
    </w:p>
    <w:p w14:paraId="28C353BC">
      <w:pPr>
        <w:pStyle w:val="4"/>
        <w:numPr>
          <w:ilvl w:val="1"/>
          <w:numId w:val="1"/>
        </w:numPr>
      </w:pPr>
      <w:bookmarkStart w:id="63" w:name="_Toc17822"/>
      <w:r>
        <w:rPr>
          <w:rFonts w:ascii="Arial" w:hAnsi="Arial" w:eastAsia="Arial" w:cs="Arial"/>
          <w:b w:val="0"/>
        </w:rPr>
        <w:t>Trabalhos Futuros</w:t>
      </w:r>
      <w:bookmarkEnd w:id="63"/>
    </w:p>
    <w:p w14:paraId="5D6CE71E">
      <w:pPr>
        <w:pStyle w:val="3"/>
        <w:ind w:firstLine="0"/>
        <w:rPr>
          <w:color w:val="2E75B5"/>
        </w:rPr>
      </w:pPr>
      <w:r>
        <w:rPr>
          <w:rFonts w:ascii="Arial" w:hAnsi="Arial" w:eastAsia="Arial" w:cs="Arial"/>
          <w:b w:val="0"/>
        </w:rPr>
        <w:t>Correção do viés de equidade: ajustar o tratamento das escolas de localização diferenciada, por calibração específica do grupo ou por modelagem que reconheça a sua particularidade, e investigar quais fatores de proteção explicam o baixo abandono observado nessas escolas.</w:t>
      </w:r>
    </w:p>
    <w:p w14:paraId="4F08213E">
      <w:pPr>
        <w:pStyle w:val="3"/>
        <w:ind w:firstLine="0"/>
        <w:rPr>
          <w:color w:val="2E75B5"/>
        </w:rPr>
      </w:pPr>
      <w:r>
        <w:rPr>
          <w:rFonts w:ascii="Arial" w:hAnsi="Arial" w:eastAsia="Arial" w:cs="Arial"/>
          <w:b w:val="0"/>
        </w:rPr>
        <w:t>Ampliação da base: incorporar séries históricas mais longas, que devem reduzir a limitação de magnitude observada, e integrar outras fontes públicas que enriqueçam o perfil das escolas.</w:t>
      </w:r>
    </w:p>
    <w:p w14:paraId="42793DB3">
      <w:pPr>
        <w:pStyle w:val="3"/>
        <w:ind w:firstLine="0"/>
        <w:rPr>
          <w:color w:val="2E75B5"/>
        </w:rPr>
      </w:pPr>
      <w:r>
        <w:rPr>
          <w:rFonts w:ascii="Arial" w:hAnsi="Arial" w:eastAsia="Arial" w:cs="Arial"/>
          <w:b w:val="0"/>
        </w:rPr>
        <w:t>Evolução do sistema: empacotar a aplicação em contêiner para implantação, implementar o monitoramento contínuo do modelo com reavaliação periódica e integrar o painel aos sistemas da Secretaria para o envio automático de alertas.</w:t>
      </w:r>
    </w:p>
    <w:p w14:paraId="7914AE36">
      <w:pPr>
        <w:pStyle w:val="3"/>
        <w:ind w:firstLine="0"/>
        <w:rPr>
          <w:color w:val="2E75B5"/>
        </w:rPr>
      </w:pPr>
      <w:r>
        <w:rPr>
          <w:rFonts w:ascii="Arial" w:hAnsi="Arial" w:eastAsia="Arial" w:cs="Arial"/>
          <w:b w:val="0"/>
        </w:rPr>
        <w:t>Avaliação em uso: realizar um estudo com gestores da Secretaria para medir a usabilidade do painel e o efeito das intervenções priorizadas pelo sistema — a verificação final de que a ferramenta cumpre o propósito para o qual foi construída.</w:t>
      </w:r>
    </w:p>
    <w:p w14:paraId="74A766AA">
      <w:pPr>
        <w:pStyle w:val="8"/>
        <w:rPr>
          <w:color w:val="000000"/>
        </w:rPr>
      </w:pPr>
      <w:bookmarkStart w:id="64" w:name="_Toc5718"/>
      <w:r>
        <w:rPr>
          <w:rFonts w:ascii="Arial" w:hAnsi="Arial" w:eastAsia="Arial" w:cs="Arial"/>
          <w:b w:val="0"/>
        </w:rPr>
        <w:t>Referências</w:t>
      </w:r>
      <w:bookmarkEnd w:id="64"/>
    </w:p>
    <w:p w14:paraId="71D7381E">
      <w:pPr>
        <w:pStyle w:val="3"/>
        <w:ind w:firstLine="0"/>
        <w:rPr>
          <w:color w:val="2E75B5"/>
        </w:rPr>
      </w:pPr>
      <w:r>
        <w:rPr>
          <w:rFonts w:ascii="Arial" w:hAnsi="Arial" w:eastAsia="Arial" w:cs="Arial"/>
          <w:b w:val="0"/>
        </w:rPr>
        <w:t>BAKER, R. S. J. D.; YACEF, K. The state of educational data mining in 2009: a review and future visions. Journal of Educational Data Mining, v. 1, n. 1, p. 3–16, 2009.</w:t>
      </w:r>
    </w:p>
    <w:p w14:paraId="659198F8">
      <w:pPr>
        <w:pStyle w:val="3"/>
        <w:ind w:firstLine="0"/>
        <w:rPr>
          <w:color w:val="2E75B5"/>
        </w:rPr>
      </w:pPr>
      <w:r>
        <w:rPr>
          <w:rFonts w:ascii="Arial" w:hAnsi="Arial" w:eastAsia="Arial" w:cs="Arial"/>
          <w:b w:val="0"/>
        </w:rPr>
        <w:t>BOWERS, A. J.; SPROTT, R.; TAFF, S. A. Do we know who will drop out? A review of the predictors of dropping out of high school: precision, sensitivity, and specificity. The High School Journal, v. 96, n. 2, p. 77–100, 2013.</w:t>
      </w:r>
    </w:p>
    <w:p w14:paraId="02DB7CE6">
      <w:pPr>
        <w:pStyle w:val="3"/>
        <w:ind w:firstLine="0"/>
        <w:rPr>
          <w:color w:val="2E75B5"/>
        </w:rPr>
      </w:pPr>
      <w:r>
        <w:rPr>
          <w:rFonts w:ascii="Arial" w:hAnsi="Arial" w:eastAsia="Arial" w:cs="Arial"/>
          <w:b w:val="0"/>
        </w:rPr>
        <w:t>BRASIL. Instituto Nacional de Estudos e Pesquisas Educacionais Anísio Teixeira. Censo Escolar da Educação Básica: microdados 2022–2024. Brasília: INEP, 2024.</w:t>
      </w:r>
    </w:p>
    <w:p w14:paraId="3898415D">
      <w:pPr>
        <w:pStyle w:val="3"/>
        <w:ind w:firstLine="0"/>
        <w:rPr>
          <w:color w:val="2E75B5"/>
        </w:rPr>
      </w:pPr>
      <w:r>
        <w:rPr>
          <w:rFonts w:ascii="Arial" w:hAnsi="Arial" w:eastAsia="Arial" w:cs="Arial"/>
          <w:b w:val="0"/>
        </w:rPr>
        <w:t>BRASIL. Instituto Nacional de Estudos e Pesquisas Educacionais Anísio Teixeira. Taxas de rendimento escolar: 2022–2024. Brasília: INEP, 2024.</w:t>
      </w:r>
    </w:p>
    <w:p w14:paraId="64A09DD4">
      <w:pPr>
        <w:pStyle w:val="3"/>
        <w:ind w:firstLine="0"/>
        <w:rPr>
          <w:color w:val="2E75B5"/>
        </w:rPr>
      </w:pPr>
      <w:r>
        <w:rPr>
          <w:rFonts w:ascii="Arial" w:hAnsi="Arial" w:eastAsia="Arial" w:cs="Arial"/>
          <w:b w:val="0"/>
        </w:rPr>
        <w:t>BRASIL. Instituto Nacional de Estudos e Pesquisas Educacionais Anísio Teixeira. Indicadores educacionais: INSE, IRD, TDI e AFD. Brasília: INEP, 2024.</w:t>
      </w:r>
    </w:p>
    <w:p w14:paraId="2FB4A314">
      <w:pPr>
        <w:pStyle w:val="3"/>
        <w:ind w:firstLine="0"/>
        <w:rPr>
          <w:color w:val="2E75B5"/>
        </w:rPr>
      </w:pPr>
      <w:r>
        <w:rPr>
          <w:rFonts w:ascii="Arial" w:hAnsi="Arial" w:eastAsia="Arial" w:cs="Arial"/>
          <w:b w:val="0"/>
        </w:rPr>
        <w:t>BREIMAN, L. Random forests. Machine Learning, v. 45, n. 1, p. 5–32, 2001.</w:t>
      </w:r>
    </w:p>
    <w:p w14:paraId="6D694CCD">
      <w:pPr>
        <w:pStyle w:val="3"/>
        <w:ind w:firstLine="0"/>
        <w:rPr>
          <w:color w:val="2E75B5"/>
        </w:rPr>
      </w:pPr>
      <w:r>
        <w:rPr>
          <w:rFonts w:ascii="Arial" w:hAnsi="Arial" w:eastAsia="Arial" w:cs="Arial"/>
          <w:b w:val="0"/>
        </w:rPr>
        <w:t>CHEN, T.; GUESTRIN, C. XGBoost: a scalable tree boosting system. In: PROCEEDINGS OF THE 22ND ACM SIGKDD INTERNATIONAL CONFERENCE ON KNOWLEDGE DISCOVERY AND DATA MINING, 2016, São Francisco. Anais [...]. New York: ACM, 2016. p. 785–794.</w:t>
      </w:r>
    </w:p>
    <w:p w14:paraId="30CCE930">
      <w:pPr>
        <w:pStyle w:val="3"/>
        <w:ind w:firstLine="0"/>
        <w:rPr>
          <w:color w:val="2E75B5"/>
        </w:rPr>
      </w:pPr>
      <w:r>
        <w:rPr>
          <w:rFonts w:ascii="Arial" w:hAnsi="Arial" w:eastAsia="Arial" w:cs="Arial"/>
          <w:b w:val="0"/>
        </w:rPr>
        <w:t>CORTEZ, P.; SILVA, A. Using data mining to predict secondary school student performance. In: FUTURE BUSINESS TECHNOLOGY CONFERENCE, 5., 2008, Porto. Anais [...]. [S. l.]: EUROSIS, 2008. p. 5–12.</w:t>
      </w:r>
    </w:p>
    <w:p w14:paraId="17B44B3E">
      <w:pPr>
        <w:pStyle w:val="3"/>
        <w:ind w:firstLine="0"/>
        <w:rPr>
          <w:color w:val="2E75B5"/>
        </w:rPr>
      </w:pPr>
      <w:r>
        <w:rPr>
          <w:rFonts w:ascii="Arial" w:hAnsi="Arial" w:eastAsia="Arial" w:cs="Arial"/>
          <w:b w:val="0"/>
        </w:rPr>
        <w:t>FREIRE, P. Pedagogia do oprimido. 17. ed. Rio de Janeiro: Paz e Terra, 1987.</w:t>
      </w:r>
    </w:p>
    <w:p w14:paraId="47525BEB">
      <w:pPr>
        <w:pStyle w:val="3"/>
        <w:ind w:firstLine="0"/>
        <w:rPr>
          <w:color w:val="2E75B5"/>
        </w:rPr>
      </w:pPr>
      <w:r>
        <w:rPr>
          <w:rFonts w:ascii="Arial" w:hAnsi="Arial" w:eastAsia="Arial" w:cs="Arial"/>
          <w:b w:val="0"/>
        </w:rPr>
        <w:t>JESUS, J. A. de; GUSMÃO, R. P. de. Investigação da evasão estudantil por meio da mineração de dados e aprendizagem de máquina: um mapeamento sistemático. Revista Brasileira de Informática na Educação, v. 32, p. 807–841, 2024.</w:t>
      </w:r>
    </w:p>
    <w:p w14:paraId="2906BC55">
      <w:pPr>
        <w:pStyle w:val="3"/>
        <w:ind w:firstLine="0"/>
        <w:rPr>
          <w:color w:val="2E75B5"/>
        </w:rPr>
      </w:pPr>
      <w:r>
        <w:rPr>
          <w:rFonts w:ascii="Arial" w:hAnsi="Arial" w:eastAsia="Arial" w:cs="Arial"/>
          <w:b w:val="0"/>
        </w:rPr>
        <w:t>LUNDBERG, S. M.; LEE, S. I. A unified approach to interpreting model predictions. In: ADVANCES IN NEURAL INFORMATION PROCESSING SYSTEMS, 30., 2017, Long Beach. Anais [...]. Red Hook: Curran Associates, 2017. p. 4765–4774.</w:t>
      </w:r>
    </w:p>
    <w:p w14:paraId="3DE2185E">
      <w:pPr>
        <w:pStyle w:val="3"/>
        <w:ind w:firstLine="0"/>
        <w:rPr>
          <w:color w:val="2E75B5"/>
        </w:rPr>
      </w:pPr>
      <w:r>
        <w:rPr>
          <w:rFonts w:ascii="Arial" w:hAnsi="Arial" w:eastAsia="Arial" w:cs="Arial"/>
          <w:b w:val="0"/>
        </w:rPr>
        <w:t>MOLNAR, C. Interpretable machine learning: a guide for making black box models explainable. 2. ed. [S. l.: s. n.], 2022.</w:t>
      </w:r>
    </w:p>
    <w:p w14:paraId="59E263A9">
      <w:pPr>
        <w:pStyle w:val="3"/>
        <w:ind w:firstLine="0"/>
        <w:rPr>
          <w:color w:val="2E75B5"/>
        </w:rPr>
      </w:pPr>
      <w:r>
        <w:rPr>
          <w:rFonts w:ascii="Arial" w:hAnsi="Arial" w:eastAsia="Arial" w:cs="Arial"/>
          <w:b w:val="0"/>
        </w:rPr>
        <w:t>NASCIMENTO, F. F. do; DANTAS, L. C. de O.; CASTRO, A. F. de; QUEIROZ, P. G. G. Técnicas de mineração de dados e aprendizado de máquina aplicados à evasão estudantil: um mapeamento sistemático da literatura. Revista Brasileira de Informática na Educação, v. 32, p. 270–294, 2024.</w:t>
      </w:r>
    </w:p>
    <w:p w14:paraId="20E6973C">
      <w:pPr>
        <w:pStyle w:val="3"/>
        <w:ind w:firstLine="0"/>
        <w:rPr>
          <w:color w:val="2E75B5"/>
        </w:rPr>
      </w:pPr>
      <w:r>
        <w:rPr>
          <w:rFonts w:ascii="Arial" w:hAnsi="Arial" w:eastAsia="Arial" w:cs="Arial"/>
          <w:b w:val="0"/>
        </w:rPr>
        <w:t>RIBEIRO, M. T.; SINGH, S.; GUESTRIN, C. “Why should I trust you?”: explaining the predictions of any classifier. In: PROCEEDINGS OF THE 22ND ACM SIGKDD INTERNATIONAL CONFERENCE ON KNOWLEDGE DISCOVERY AND DATA MINING, 2016, São Francisco. Anais [...]. New York: ACM, 2016. p. 1135–1144.</w:t>
      </w:r>
    </w:p>
    <w:p w14:paraId="1C353865">
      <w:pPr>
        <w:pStyle w:val="3"/>
        <w:ind w:firstLine="0"/>
        <w:rPr>
          <w:color w:val="2E75B5"/>
        </w:rPr>
      </w:pPr>
      <w:r>
        <w:rPr>
          <w:rFonts w:ascii="Arial" w:hAnsi="Arial" w:eastAsia="Arial" w:cs="Arial"/>
          <w:b w:val="0"/>
        </w:rPr>
        <w:t>ROMERO, C.; VENTURA, S. Educational data mining: a review of the state of the art. IEEE Transactions on Systems, Man, and Cybernetics, Part C: Applications and Reviews, v. 40, n. 6, p. 601–618, 2010.</w:t>
      </w:r>
    </w:p>
    <w:p w14:paraId="7162C159">
      <w:pPr>
        <w:pStyle w:val="3"/>
        <w:ind w:firstLine="0"/>
        <w:rPr>
          <w:color w:val="2E75B5"/>
        </w:rPr>
      </w:pPr>
      <w:r>
        <w:rPr>
          <w:rFonts w:ascii="Arial" w:hAnsi="Arial" w:eastAsia="Arial" w:cs="Arial"/>
          <w:b w:val="0"/>
        </w:rPr>
        <w:t>RUMBERGER, R. W. Dropping out: why students drop out of high school and what can be done about it. Cambridge: Harvard University Press, 2011.</w:t>
      </w:r>
    </w:p>
    <w:p w14:paraId="3551BBB8">
      <w:pPr>
        <w:pStyle w:val="3"/>
        <w:ind w:firstLine="0"/>
        <w:rPr>
          <w:color w:val="2E75B5"/>
        </w:rPr>
      </w:pPr>
      <w:r>
        <w:rPr>
          <w:rFonts w:ascii="Arial" w:hAnsi="Arial" w:eastAsia="Arial" w:cs="Arial"/>
          <w:b w:val="0"/>
        </w:rPr>
        <w:t>TEODORO, L. de A.; KAPPEL, M. A. A. Aplicação de técnicas de aprendizado de máquina para predição de risco de evasão escolar em instituições públicas de ensino superior no Brasil. Revista Brasileira de Informática na Educação, v. 28, p. 838–863, 2020.</w:t>
      </w:r>
    </w:p>
    <w:p w14:paraId="2A8FD802">
      <w:pPr>
        <w:pStyle w:val="3"/>
        <w:ind w:firstLine="0"/>
        <w:rPr>
          <w:color w:val="2E75B5"/>
        </w:rPr>
      </w:pPr>
      <w:r>
        <w:rPr>
          <w:rFonts w:ascii="Arial" w:hAnsi="Arial" w:eastAsia="Arial" w:cs="Arial"/>
          <w:b w:val="0"/>
        </w:rPr>
        <w:t>TINTO, V. Dropout from higher education: a theoretical synthesis of recent research. Review of Educational Research, v. 45, n. 1, p. 89–125, 1975.</w:t>
      </w:r>
    </w:p>
    <w:p w14:paraId="6FD186B2">
      <w:pPr>
        <w:pStyle w:val="8"/>
        <w:rPr>
          <w:color w:val="000000"/>
        </w:rPr>
      </w:pPr>
      <w:bookmarkStart w:id="65" w:name="_Toc6056"/>
      <w:r>
        <w:rPr>
          <w:rFonts w:ascii="Arial" w:hAnsi="Arial" w:eastAsia="Arial" w:cs="Arial"/>
          <w:b w:val="0"/>
        </w:rPr>
        <w:t>Apêndice A – Relação das 39 características usadas pelo sistema</w:t>
      </w:r>
      <w:bookmarkEnd w:id="65"/>
    </w:p>
    <w:p w14:paraId="44924F0C">
      <w:pPr>
        <w:pStyle w:val="3"/>
        <w:ind w:firstLine="0"/>
        <w:rPr>
          <w:color w:val="2E75B5"/>
        </w:rPr>
      </w:pPr>
      <w:r>
        <w:rPr>
          <w:rFonts w:ascii="Arial" w:hAnsi="Arial" w:eastAsia="Arial" w:cs="Arial"/>
          <w:b w:val="0"/>
        </w:rPr>
        <w:t>As características estão agrupadas pelos mesmos seis blocos apresentados no Capítulo 3. Os nomes entre parênteses são os identificadores usados no código e nos arquivos de dados, mantidos para permitir a auditoria dos resultados.</w:t>
      </w:r>
    </w:p>
    <w:p w14:paraId="4516861C">
      <w:pPr>
        <w:pStyle w:val="3"/>
        <w:ind w:firstLine="0"/>
        <w:rPr>
          <w:color w:val="2E75B5"/>
        </w:rPr>
      </w:pPr>
      <w:r>
        <w:rPr>
          <w:rFonts w:ascii="Arial" w:hAnsi="Arial" w:eastAsia="Arial" w:cs="Arial"/>
          <w:b w:val="0"/>
        </w:rPr>
        <w:t>Contexto e localização (4)</w:t>
      </w:r>
    </w:p>
    <w:p w14:paraId="7B890F9A">
      <w:pPr>
        <w:pStyle w:val="3"/>
        <w:ind w:firstLine="0"/>
        <w:rPr>
          <w:color w:val="2E75B5"/>
        </w:rPr>
      </w:pPr>
      <w:r>
        <w:rPr>
          <w:rFonts w:ascii="Arial" w:hAnsi="Arial" w:eastAsia="Arial" w:cs="Arial"/>
          <w:b w:val="0"/>
        </w:rPr>
        <w:t>– Localização rural (is_rural)</w:t>
      </w:r>
    </w:p>
    <w:p w14:paraId="3A966C8F">
      <w:pPr>
        <w:pStyle w:val="3"/>
        <w:ind w:firstLine="0"/>
        <w:rPr>
          <w:color w:val="2E75B5"/>
        </w:rPr>
      </w:pPr>
      <w:r>
        <w:rPr>
          <w:rFonts w:ascii="Arial" w:hAnsi="Arial" w:eastAsia="Arial" w:cs="Arial"/>
          <w:b w:val="0"/>
        </w:rPr>
        <w:t>– Localização diferenciada, indígena ou quilombola (is_loc_diferenciada)</w:t>
      </w:r>
    </w:p>
    <w:p w14:paraId="75C8B2ED">
      <w:pPr>
        <w:pStyle w:val="3"/>
        <w:ind w:firstLine="0"/>
        <w:rPr>
          <w:color w:val="2E75B5"/>
        </w:rPr>
      </w:pPr>
      <w:r>
        <w:rPr>
          <w:rFonts w:ascii="Arial" w:hAnsi="Arial" w:eastAsia="Arial" w:cs="Arial"/>
          <w:b w:val="0"/>
        </w:rPr>
        <w:t>– Região do estado (CO_MESORREGIAO)</w:t>
      </w:r>
    </w:p>
    <w:p w14:paraId="0C6155C3">
      <w:pPr>
        <w:pStyle w:val="3"/>
        <w:ind w:firstLine="0"/>
        <w:rPr>
          <w:color w:val="2E75B5"/>
        </w:rPr>
      </w:pPr>
      <w:r>
        <w:rPr>
          <w:rFonts w:ascii="Arial" w:hAnsi="Arial" w:eastAsia="Arial" w:cs="Arial"/>
          <w:b w:val="0"/>
        </w:rPr>
        <w:t>– Oferta de Ensino Médio fora das séries regulares, em educação de jovens e adultos ou organização modular (oferta_em_nao_seriado)</w:t>
      </w:r>
    </w:p>
    <w:p w14:paraId="14B14F6C">
      <w:pPr>
        <w:pStyle w:val="3"/>
        <w:ind w:firstLine="0"/>
        <w:rPr>
          <w:color w:val="2E75B5"/>
        </w:rPr>
      </w:pPr>
      <w:r>
        <w:rPr>
          <w:rFonts w:ascii="Arial" w:hAnsi="Arial" w:eastAsia="Arial" w:cs="Arial"/>
          <w:b w:val="0"/>
        </w:rPr>
        <w:t>Porte e proporções (5)</w:t>
      </w:r>
    </w:p>
    <w:p w14:paraId="1E104BEC">
      <w:pPr>
        <w:pStyle w:val="3"/>
        <w:ind w:firstLine="0"/>
        <w:rPr>
          <w:color w:val="2E75B5"/>
        </w:rPr>
      </w:pPr>
      <w:r>
        <w:rPr>
          <w:rFonts w:ascii="Arial" w:hAnsi="Arial" w:eastAsia="Arial" w:cs="Arial"/>
          <w:b w:val="0"/>
        </w:rPr>
        <w:t>– Porte, em número de matrículas (log_mat_med)</w:t>
      </w:r>
    </w:p>
    <w:p w14:paraId="6508E57E">
      <w:pPr>
        <w:pStyle w:val="3"/>
        <w:ind w:firstLine="0"/>
        <w:rPr>
          <w:color w:val="2E75B5"/>
        </w:rPr>
      </w:pPr>
      <w:r>
        <w:rPr>
          <w:rFonts w:ascii="Arial" w:hAnsi="Arial" w:eastAsia="Arial" w:cs="Arial"/>
          <w:b w:val="0"/>
        </w:rPr>
        <w:t>– Alunos por turma (alunos_por_turma)</w:t>
      </w:r>
    </w:p>
    <w:p w14:paraId="29EC0AF0">
      <w:pPr>
        <w:pStyle w:val="3"/>
        <w:ind w:firstLine="0"/>
        <w:rPr>
          <w:color w:val="2E75B5"/>
        </w:rPr>
      </w:pPr>
      <w:r>
        <w:rPr>
          <w:rFonts w:ascii="Arial" w:hAnsi="Arial" w:eastAsia="Arial" w:cs="Arial"/>
          <w:b w:val="0"/>
        </w:rPr>
        <w:t>– Alunos por professor (alunos_por_docente)</w:t>
      </w:r>
    </w:p>
    <w:p w14:paraId="27C06FEA">
      <w:pPr>
        <w:pStyle w:val="3"/>
        <w:ind w:firstLine="0"/>
        <w:rPr>
          <w:color w:val="2E75B5"/>
        </w:rPr>
      </w:pPr>
      <w:r>
        <w:rPr>
          <w:rFonts w:ascii="Arial" w:hAnsi="Arial" w:eastAsia="Arial" w:cs="Arial"/>
          <w:b w:val="0"/>
        </w:rPr>
        <w:t>– Computadores por aluno (computadores_por_aluno)</w:t>
      </w:r>
    </w:p>
    <w:p w14:paraId="26FCA6B0">
      <w:pPr>
        <w:pStyle w:val="3"/>
        <w:ind w:firstLine="0"/>
        <w:rPr>
          <w:color w:val="2E75B5"/>
        </w:rPr>
      </w:pPr>
      <w:r>
        <w:rPr>
          <w:rFonts w:ascii="Arial" w:hAnsi="Arial" w:eastAsia="Arial" w:cs="Arial"/>
          <w:b w:val="0"/>
        </w:rPr>
        <w:t>– Proporção de matrículas em tempo integral (pct_integral)</w:t>
      </w:r>
    </w:p>
    <w:p w14:paraId="7D8C67A9">
      <w:pPr>
        <w:pStyle w:val="3"/>
        <w:ind w:firstLine="0"/>
        <w:rPr>
          <w:color w:val="2E75B5"/>
        </w:rPr>
      </w:pPr>
      <w:r>
        <w:rPr>
          <w:rFonts w:ascii="Arial" w:hAnsi="Arial" w:eastAsia="Arial" w:cs="Arial"/>
          <w:b w:val="0"/>
        </w:rPr>
        <w:t>Infraestrutura (13)</w:t>
      </w:r>
    </w:p>
    <w:p w14:paraId="03FF0710">
      <w:pPr>
        <w:pStyle w:val="3"/>
        <w:ind w:firstLine="0"/>
        <w:rPr>
          <w:color w:val="2E75B5"/>
        </w:rPr>
      </w:pPr>
      <w:r>
        <w:rPr>
          <w:rFonts w:ascii="Arial" w:hAnsi="Arial" w:eastAsia="Arial" w:cs="Arial"/>
          <w:b w:val="0"/>
        </w:rPr>
        <w:t>– Água potável (IN_AGUA_POTAVEL)</w:t>
      </w:r>
    </w:p>
    <w:p w14:paraId="2A52A768">
      <w:pPr>
        <w:pStyle w:val="3"/>
        <w:ind w:firstLine="0"/>
        <w:rPr>
          <w:color w:val="2E75B5"/>
        </w:rPr>
      </w:pPr>
      <w:r>
        <w:rPr>
          <w:rFonts w:ascii="Arial" w:hAnsi="Arial" w:eastAsia="Arial" w:cs="Arial"/>
          <w:b w:val="0"/>
        </w:rPr>
        <w:t>– Esgoto em rede pública (IN_ESGOTO_REDE_PUBLICA)</w:t>
      </w:r>
    </w:p>
    <w:p w14:paraId="43955AC5">
      <w:pPr>
        <w:pStyle w:val="3"/>
        <w:ind w:firstLine="0"/>
        <w:rPr>
          <w:color w:val="2E75B5"/>
        </w:rPr>
      </w:pPr>
      <w:r>
        <w:rPr>
          <w:rFonts w:ascii="Arial" w:hAnsi="Arial" w:eastAsia="Arial" w:cs="Arial"/>
          <w:b w:val="0"/>
        </w:rPr>
        <w:t>– Biblioteca (IN_BIBLIOTECA)</w:t>
      </w:r>
    </w:p>
    <w:p w14:paraId="3C2AF135">
      <w:pPr>
        <w:pStyle w:val="3"/>
        <w:ind w:firstLine="0"/>
        <w:rPr>
          <w:color w:val="2E75B5"/>
        </w:rPr>
      </w:pPr>
      <w:r>
        <w:rPr>
          <w:rFonts w:ascii="Arial" w:hAnsi="Arial" w:eastAsia="Arial" w:cs="Arial"/>
          <w:b w:val="0"/>
        </w:rPr>
        <w:t>– Laboratório de ciências (IN_LABORATORIO_CIENCIAS)</w:t>
      </w:r>
    </w:p>
    <w:p w14:paraId="495A3E07">
      <w:pPr>
        <w:pStyle w:val="3"/>
        <w:ind w:firstLine="0"/>
        <w:rPr>
          <w:color w:val="2E75B5"/>
        </w:rPr>
      </w:pPr>
      <w:r>
        <w:rPr>
          <w:rFonts w:ascii="Arial" w:hAnsi="Arial" w:eastAsia="Arial" w:cs="Arial"/>
          <w:b w:val="0"/>
        </w:rPr>
        <w:t>– Laboratório de informática (IN_LABORATORIO_INFORMATICA)</w:t>
      </w:r>
    </w:p>
    <w:p w14:paraId="15892A9F">
      <w:pPr>
        <w:pStyle w:val="3"/>
        <w:ind w:firstLine="0"/>
        <w:rPr>
          <w:color w:val="2E75B5"/>
        </w:rPr>
      </w:pPr>
      <w:r>
        <w:rPr>
          <w:rFonts w:ascii="Arial" w:hAnsi="Arial" w:eastAsia="Arial" w:cs="Arial"/>
          <w:b w:val="0"/>
        </w:rPr>
        <w:t>– Quadra de esportes (IN_QUADRA_ESPORTES)</w:t>
      </w:r>
    </w:p>
    <w:p w14:paraId="17F43A46">
      <w:pPr>
        <w:pStyle w:val="3"/>
        <w:ind w:firstLine="0"/>
        <w:rPr>
          <w:color w:val="2E75B5"/>
        </w:rPr>
      </w:pPr>
      <w:r>
        <w:rPr>
          <w:rFonts w:ascii="Arial" w:hAnsi="Arial" w:eastAsia="Arial" w:cs="Arial"/>
          <w:b w:val="0"/>
        </w:rPr>
        <w:t>– Refeitório (IN_REFEITORIO)</w:t>
      </w:r>
    </w:p>
    <w:p w14:paraId="2447F61D">
      <w:pPr>
        <w:pStyle w:val="3"/>
        <w:ind w:firstLine="0"/>
        <w:rPr>
          <w:color w:val="2E75B5"/>
        </w:rPr>
      </w:pPr>
      <w:r>
        <w:rPr>
          <w:rFonts w:ascii="Arial" w:hAnsi="Arial" w:eastAsia="Arial" w:cs="Arial"/>
          <w:b w:val="0"/>
        </w:rPr>
        <w:t>– Sala de leitura (IN_SALA_LEITURA)</w:t>
      </w:r>
    </w:p>
    <w:p w14:paraId="558BB414">
      <w:pPr>
        <w:pStyle w:val="3"/>
        <w:ind w:firstLine="0"/>
        <w:rPr>
          <w:color w:val="2E75B5"/>
        </w:rPr>
      </w:pPr>
      <w:r>
        <w:rPr>
          <w:rFonts w:ascii="Arial" w:hAnsi="Arial" w:eastAsia="Arial" w:cs="Arial"/>
          <w:b w:val="0"/>
        </w:rPr>
        <w:t>– Auditório (IN_AUDITORIO)</w:t>
      </w:r>
    </w:p>
    <w:p w14:paraId="4B6AF689">
      <w:pPr>
        <w:pStyle w:val="3"/>
        <w:ind w:firstLine="0"/>
        <w:rPr>
          <w:color w:val="2E75B5"/>
        </w:rPr>
      </w:pPr>
      <w:r>
        <w:rPr>
          <w:rFonts w:ascii="Arial" w:hAnsi="Arial" w:eastAsia="Arial" w:cs="Arial"/>
          <w:b w:val="0"/>
        </w:rPr>
        <w:t>– Internet (IN_INTERNET)</w:t>
      </w:r>
    </w:p>
    <w:p w14:paraId="7A04FB1D">
      <w:pPr>
        <w:pStyle w:val="3"/>
        <w:ind w:firstLine="0"/>
        <w:rPr>
          <w:color w:val="2E75B5"/>
        </w:rPr>
      </w:pPr>
      <w:r>
        <w:rPr>
          <w:rFonts w:ascii="Arial" w:hAnsi="Arial" w:eastAsia="Arial" w:cs="Arial"/>
          <w:b w:val="0"/>
        </w:rPr>
        <w:t>– Internet para alunos (IN_INTERNET_ALUNOS)</w:t>
      </w:r>
    </w:p>
    <w:p w14:paraId="7E288C69">
      <w:pPr>
        <w:pStyle w:val="3"/>
        <w:ind w:firstLine="0"/>
        <w:rPr>
          <w:color w:val="2E75B5"/>
        </w:rPr>
      </w:pPr>
      <w:r>
        <w:rPr>
          <w:rFonts w:ascii="Arial" w:hAnsi="Arial" w:eastAsia="Arial" w:cs="Arial"/>
          <w:b w:val="0"/>
        </w:rPr>
        <w:t>– Banda larga (IN_BANDA_LARGA)</w:t>
      </w:r>
    </w:p>
    <w:p w14:paraId="3D8F9DCC">
      <w:pPr>
        <w:pStyle w:val="3"/>
        <w:ind w:firstLine="0"/>
        <w:rPr>
          <w:color w:val="2E75B5"/>
        </w:rPr>
      </w:pPr>
      <w:r>
        <w:rPr>
          <w:rFonts w:ascii="Arial" w:hAnsi="Arial" w:eastAsia="Arial" w:cs="Arial"/>
          <w:b w:val="0"/>
        </w:rPr>
        <w:t>– Índice de infraestrutura (indice_infra)</w:t>
      </w:r>
    </w:p>
    <w:p w14:paraId="22A42BF2">
      <w:pPr>
        <w:pStyle w:val="3"/>
        <w:ind w:firstLine="0"/>
        <w:rPr>
          <w:color w:val="2E75B5"/>
        </w:rPr>
      </w:pPr>
      <w:r>
        <w:rPr>
          <w:rFonts w:ascii="Arial" w:hAnsi="Arial" w:eastAsia="Arial" w:cs="Arial"/>
          <w:b w:val="0"/>
        </w:rPr>
        <w:t>Corpo docente (4)</w:t>
      </w:r>
    </w:p>
    <w:p w14:paraId="64E1C273">
      <w:pPr>
        <w:pStyle w:val="3"/>
        <w:ind w:firstLine="0"/>
        <w:rPr>
          <w:color w:val="2E75B5"/>
        </w:rPr>
      </w:pPr>
      <w:r>
        <w:rPr>
          <w:rFonts w:ascii="Arial" w:hAnsi="Arial" w:eastAsia="Arial" w:cs="Arial"/>
          <w:b w:val="0"/>
        </w:rPr>
        <w:t>– Regularidade do corpo docente (ird_med_t)</w:t>
      </w:r>
    </w:p>
    <w:p w14:paraId="2373A194">
      <w:pPr>
        <w:pStyle w:val="3"/>
        <w:ind w:firstLine="0"/>
        <w:rPr>
          <w:color w:val="2E75B5"/>
        </w:rPr>
      </w:pPr>
      <w:r>
        <w:rPr>
          <w:rFonts w:ascii="Arial" w:hAnsi="Arial" w:eastAsia="Arial" w:cs="Arial"/>
          <w:b w:val="0"/>
        </w:rPr>
        <w:t>– Adequação da formação docente — grupo 1 (afd_g1_t)</w:t>
      </w:r>
    </w:p>
    <w:p w14:paraId="6C174B6A">
      <w:pPr>
        <w:pStyle w:val="3"/>
        <w:ind w:firstLine="0"/>
        <w:rPr>
          <w:color w:val="2E75B5"/>
        </w:rPr>
      </w:pPr>
      <w:r>
        <w:rPr>
          <w:rFonts w:ascii="Arial" w:hAnsi="Arial" w:eastAsia="Arial" w:cs="Arial"/>
          <w:b w:val="0"/>
        </w:rPr>
        <w:t>– Adequação da formação docente — grupo 3 (afd_g3_t)</w:t>
      </w:r>
    </w:p>
    <w:p w14:paraId="217C48AF">
      <w:pPr>
        <w:pStyle w:val="3"/>
        <w:ind w:firstLine="0"/>
        <w:rPr>
          <w:color w:val="2E75B5"/>
        </w:rPr>
      </w:pPr>
      <w:r>
        <w:rPr>
          <w:rFonts w:ascii="Arial" w:hAnsi="Arial" w:eastAsia="Arial" w:cs="Arial"/>
          <w:b w:val="0"/>
        </w:rPr>
        <w:t>– Adequação da formação docente — grupo 5 (afd_g5_t)</w:t>
      </w:r>
    </w:p>
    <w:p w14:paraId="15ABBB3C">
      <w:pPr>
        <w:pStyle w:val="3"/>
        <w:ind w:firstLine="0"/>
        <w:rPr>
          <w:color w:val="2E75B5"/>
        </w:rPr>
      </w:pPr>
      <w:r>
        <w:rPr>
          <w:rFonts w:ascii="Arial" w:hAnsi="Arial" w:eastAsia="Arial" w:cs="Arial"/>
          <w:b w:val="0"/>
        </w:rPr>
        <w:t>Perfil dos alunos (5)</w:t>
      </w:r>
    </w:p>
    <w:p w14:paraId="6DCD5FD8">
      <w:pPr>
        <w:pStyle w:val="3"/>
        <w:ind w:firstLine="0"/>
        <w:rPr>
          <w:color w:val="2E75B5"/>
        </w:rPr>
      </w:pPr>
      <w:r>
        <w:rPr>
          <w:rFonts w:ascii="Arial" w:hAnsi="Arial" w:eastAsia="Arial" w:cs="Arial"/>
          <w:b w:val="0"/>
        </w:rPr>
        <w:t>– Nível socioeconômico da escola (inse_media)</w:t>
      </w:r>
    </w:p>
    <w:p w14:paraId="42920DB4">
      <w:pPr>
        <w:pStyle w:val="3"/>
        <w:ind w:firstLine="0"/>
        <w:rPr>
          <w:color w:val="2E75B5"/>
        </w:rPr>
      </w:pPr>
      <w:r>
        <w:rPr>
          <w:rFonts w:ascii="Arial" w:hAnsi="Arial" w:eastAsia="Arial" w:cs="Arial"/>
          <w:b w:val="0"/>
        </w:rPr>
        <w:t>– Defasagem idade-série no Ensino Médio (tdi_med_t)</w:t>
      </w:r>
    </w:p>
    <w:p w14:paraId="2E277C67">
      <w:pPr>
        <w:pStyle w:val="3"/>
        <w:ind w:firstLine="0"/>
        <w:rPr>
          <w:color w:val="2E75B5"/>
        </w:rPr>
      </w:pPr>
      <w:r>
        <w:rPr>
          <w:rFonts w:ascii="Arial" w:hAnsi="Arial" w:eastAsia="Arial" w:cs="Arial"/>
          <w:b w:val="0"/>
        </w:rPr>
        <w:t>– Defasagem idade-série — 1ª série (tdi_s1_t)</w:t>
      </w:r>
    </w:p>
    <w:p w14:paraId="6ABE8911">
      <w:pPr>
        <w:pStyle w:val="3"/>
        <w:ind w:firstLine="0"/>
        <w:rPr>
          <w:color w:val="2E75B5"/>
        </w:rPr>
      </w:pPr>
      <w:r>
        <w:rPr>
          <w:rFonts w:ascii="Arial" w:hAnsi="Arial" w:eastAsia="Arial" w:cs="Arial"/>
          <w:b w:val="0"/>
        </w:rPr>
        <w:t>– Defasagem idade-série — 2ª série (tdi_s2_t)</w:t>
      </w:r>
    </w:p>
    <w:p w14:paraId="75CFDF1B">
      <w:pPr>
        <w:pStyle w:val="3"/>
        <w:ind w:firstLine="0"/>
        <w:rPr>
          <w:color w:val="2E75B5"/>
        </w:rPr>
      </w:pPr>
      <w:r>
        <w:rPr>
          <w:rFonts w:ascii="Arial" w:hAnsi="Arial" w:eastAsia="Arial" w:cs="Arial"/>
          <w:b w:val="0"/>
        </w:rPr>
        <w:t>– Defasagem idade-série — 3ª série (tdi_s3_t)</w:t>
      </w:r>
    </w:p>
    <w:p w14:paraId="6572341E">
      <w:pPr>
        <w:pStyle w:val="3"/>
        <w:ind w:firstLine="0"/>
        <w:rPr>
          <w:color w:val="2E75B5"/>
        </w:rPr>
      </w:pPr>
      <w:r>
        <w:rPr>
          <w:rFonts w:ascii="Arial" w:hAnsi="Arial" w:eastAsia="Arial" w:cs="Arial"/>
          <w:b w:val="0"/>
        </w:rPr>
        <w:t>Histórico de rendimento (8)</w:t>
      </w:r>
    </w:p>
    <w:p w14:paraId="7C6A19CC">
      <w:pPr>
        <w:pStyle w:val="3"/>
        <w:ind w:firstLine="0"/>
        <w:rPr>
          <w:color w:val="2E75B5"/>
        </w:rPr>
      </w:pPr>
      <w:r>
        <w:rPr>
          <w:rFonts w:ascii="Arial" w:hAnsi="Arial" w:eastAsia="Arial" w:cs="Arial"/>
          <w:b w:val="0"/>
        </w:rPr>
        <w:t>– Abandono no ano corrente (abnd_t)</w:t>
      </w:r>
    </w:p>
    <w:p w14:paraId="52FE15BD">
      <w:pPr>
        <w:pStyle w:val="3"/>
        <w:ind w:firstLine="0"/>
        <w:rPr>
          <w:color w:val="2E75B5"/>
        </w:rPr>
      </w:pPr>
      <w:r>
        <w:rPr>
          <w:rFonts w:ascii="Arial" w:hAnsi="Arial" w:eastAsia="Arial" w:cs="Arial"/>
          <w:b w:val="0"/>
        </w:rPr>
        <w:t>– Abandono — 1ª série (abnd_s1_t)</w:t>
      </w:r>
    </w:p>
    <w:p w14:paraId="43BA0DFC">
      <w:pPr>
        <w:pStyle w:val="3"/>
        <w:ind w:firstLine="0"/>
        <w:rPr>
          <w:color w:val="2E75B5"/>
        </w:rPr>
      </w:pPr>
      <w:r>
        <w:rPr>
          <w:rFonts w:ascii="Arial" w:hAnsi="Arial" w:eastAsia="Arial" w:cs="Arial"/>
          <w:b w:val="0"/>
        </w:rPr>
        <w:t>– Abandono — 2ª série (abnd_s2_t)</w:t>
      </w:r>
    </w:p>
    <w:p w14:paraId="224AD565">
      <w:pPr>
        <w:pStyle w:val="3"/>
        <w:ind w:firstLine="0"/>
        <w:rPr>
          <w:color w:val="2E75B5"/>
        </w:rPr>
      </w:pPr>
      <w:r>
        <w:rPr>
          <w:rFonts w:ascii="Arial" w:hAnsi="Arial" w:eastAsia="Arial" w:cs="Arial"/>
          <w:b w:val="0"/>
        </w:rPr>
        <w:t>– Abandono — 3ª série (abnd_s3_t)</w:t>
      </w:r>
    </w:p>
    <w:p w14:paraId="3058D1F0">
      <w:pPr>
        <w:pStyle w:val="3"/>
        <w:ind w:firstLine="0"/>
        <w:rPr>
          <w:color w:val="2E75B5"/>
        </w:rPr>
      </w:pPr>
      <w:r>
        <w:rPr>
          <w:rFonts w:ascii="Arial" w:hAnsi="Arial" w:eastAsia="Arial" w:cs="Arial"/>
          <w:b w:val="0"/>
        </w:rPr>
        <w:t>– Reprovação no ano corrente (reprov_t)</w:t>
      </w:r>
    </w:p>
    <w:p w14:paraId="4CC670A9">
      <w:pPr>
        <w:pStyle w:val="3"/>
        <w:ind w:firstLine="0"/>
        <w:rPr>
          <w:color w:val="2E75B5"/>
        </w:rPr>
      </w:pPr>
      <w:r>
        <w:rPr>
          <w:rFonts w:ascii="Arial" w:hAnsi="Arial" w:eastAsia="Arial" w:cs="Arial"/>
          <w:b w:val="0"/>
        </w:rPr>
        <w:t>– Reprovação — 1ª série (reprov_s1_t)</w:t>
      </w:r>
    </w:p>
    <w:p w14:paraId="3DE48E17">
      <w:pPr>
        <w:pStyle w:val="3"/>
        <w:ind w:firstLine="0"/>
        <w:rPr>
          <w:color w:val="2E75B5"/>
        </w:rPr>
      </w:pPr>
      <w:r>
        <w:rPr>
          <w:rFonts w:ascii="Arial" w:hAnsi="Arial" w:eastAsia="Arial" w:cs="Arial"/>
          <w:b w:val="0"/>
        </w:rPr>
        <w:t>– Reprovação — 2ª série (reprov_s2_t)</w:t>
      </w:r>
    </w:p>
    <w:p w14:paraId="3621305B">
      <w:pPr>
        <w:pStyle w:val="3"/>
        <w:ind w:firstLine="0"/>
        <w:rPr>
          <w:color w:val="2E75B5"/>
        </w:rPr>
      </w:pPr>
      <w:r>
        <w:rPr>
          <w:rFonts w:ascii="Arial" w:hAnsi="Arial" w:eastAsia="Arial" w:cs="Arial"/>
          <w:b w:val="0"/>
        </w:rPr>
        <w:t>– Reprovação — 3ª série (reprov_s3_t)</w:t>
      </w:r>
    </w:p>
    <w:sectPr>
      <w:headerReference r:id="rId7" w:type="first"/>
      <w:headerReference r:id="rId5" w:type="default"/>
      <w:headerReference r:id="rId6" w:type="even"/>
      <w:pgSz w:w="11906" w:h="16838"/>
      <w:pgMar w:top="1701" w:right="1134" w:bottom="1138" w:left="1701" w:header="708" w:footer="0" w:gutter="0"/>
      <w:pgNumType w:fmt="decimal" w:start="15"/>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149C6AD9-419C-4F44-9F97-5A9C6E36657C}"/>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42A5AE20-32E8-4005-A12E-CBCE750865D9}"/>
  </w:font>
  <w:font w:name="Wingdings">
    <w:panose1 w:val="05000000000000000000"/>
    <w:charset w:val="02"/>
    <w:family w:val="auto"/>
    <w:pitch w:val="default"/>
    <w:sig w:usb0="00000000" w:usb1="00000000" w:usb2="00000000" w:usb3="00000000" w:csb0="80000000" w:csb1="00000000"/>
    <w:embedRegular r:id="rId3" w:fontKey="{C4D013EB-A2EC-4A3A-AADB-647BC5453729}"/>
  </w:font>
  <w:font w:name="Calibri">
    <w:panose1 w:val="020F0502020204030204"/>
    <w:charset w:val="00"/>
    <w:family w:val="swiss"/>
    <w:pitch w:val="default"/>
    <w:sig w:usb0="E4002EFF" w:usb1="C200247B" w:usb2="00000009" w:usb3="00000000" w:csb0="200001FF" w:csb1="00000000"/>
    <w:embedRegular r:id="rId4" w:fontKey="{5D6D5E64-93B1-4C4F-B7FA-51512405F1A8}"/>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embedRegular r:id="rId5" w:fontKey="{967624B2-B3FA-4831-B434-5D7F96D450B3}"/>
  </w:font>
  <w:font w:name="Georgia">
    <w:panose1 w:val="02040502050405020303"/>
    <w:charset w:val="00"/>
    <w:family w:val="roman"/>
    <w:pitch w:val="default"/>
    <w:sig w:usb0="00000287" w:usb1="00000000" w:usb2="00000000" w:usb3="00000000" w:csb0="2000009F" w:csb1="00000000"/>
    <w:embedRegular r:id="rId6" w:fontKey="{9CA130C2-A0D8-493B-BEAF-1D5D31AD1C5D}"/>
  </w:font>
  <w:font w:name="Liberation Sans">
    <w:panose1 w:val="020B0604020202020204"/>
    <w:charset w:val="00"/>
    <w:family w:val="swiss"/>
    <w:pitch w:val="default"/>
    <w:sig w:usb0="E0000AFF" w:usb1="500078FF" w:usb2="00000021" w:usb3="00000000" w:csb0="600001BF" w:csb1="DFF70000"/>
    <w:embedRegular r:id="rId7" w:fontKey="{EDA95DAB-C7A9-4256-B73B-A28808A34535}"/>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42ED0">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1F953AED">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ED89B2">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764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65259">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3C70E9AA">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63BC12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8438A"/>
    <w:multiLevelType w:val="multilevel"/>
    <w:tmpl w:val="8388438A"/>
    <w:lvl w:ilvl="0" w:tentative="0">
      <w:start w:val="1"/>
      <w:numFmt w:val="decimal"/>
      <w:lvlText w:val="%1"/>
      <w:lvlJc w:val="left"/>
      <w:pPr>
        <w:tabs>
          <w:tab w:val="left" w:pos="0"/>
        </w:tabs>
        <w:ind w:left="432" w:hanging="432"/>
      </w:pPr>
    </w:lvl>
    <w:lvl w:ilvl="1" w:tentative="0">
      <w:start w:val="1"/>
      <w:numFmt w:val="decimal"/>
      <w:lvlText w:val="%1.%2"/>
      <w:lvlJc w:val="left"/>
      <w:pPr>
        <w:tabs>
          <w:tab w:val="left" w:pos="0"/>
        </w:tabs>
        <w:ind w:left="576" w:hanging="576"/>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864" w:hanging="864"/>
      </w:pPr>
    </w:lvl>
    <w:lvl w:ilvl="4" w:tentative="0">
      <w:start w:val="1"/>
      <w:numFmt w:val="decimal"/>
      <w:lvlText w:val="%1.%2.%3.%4.%5"/>
      <w:lvlJc w:val="left"/>
      <w:pPr>
        <w:tabs>
          <w:tab w:val="left" w:pos="0"/>
        </w:tabs>
        <w:ind w:left="1008" w:hanging="1008"/>
      </w:pPr>
    </w:lvl>
    <w:lvl w:ilvl="5" w:tentative="0">
      <w:start w:val="1"/>
      <w:numFmt w:val="decimal"/>
      <w:lvlText w:val="%1.%2.%3.%4.%5.%6"/>
      <w:lvlJc w:val="left"/>
      <w:pPr>
        <w:tabs>
          <w:tab w:val="left" w:pos="0"/>
        </w:tabs>
        <w:ind w:left="1152" w:hanging="1152"/>
      </w:pPr>
    </w:lvl>
    <w:lvl w:ilvl="6" w:tentative="0">
      <w:start w:val="1"/>
      <w:numFmt w:val="decimal"/>
      <w:lvlText w:val="%1.%2.%3.%4.%5.%6.%7"/>
      <w:lvlJc w:val="left"/>
      <w:pPr>
        <w:tabs>
          <w:tab w:val="left" w:pos="0"/>
        </w:tabs>
        <w:ind w:left="1296" w:hanging="1296"/>
      </w:pPr>
    </w:lvl>
    <w:lvl w:ilvl="7" w:tentative="0">
      <w:start w:val="1"/>
      <w:numFmt w:val="decimal"/>
      <w:lvlText w:val="%1.%2.%3.%4.%5.%6.%7.%8"/>
      <w:lvlJc w:val="left"/>
      <w:pPr>
        <w:tabs>
          <w:tab w:val="left" w:pos="0"/>
        </w:tabs>
        <w:ind w:left="1440" w:hanging="1440"/>
      </w:pPr>
    </w:lvl>
    <w:lvl w:ilvl="8" w:tentative="0">
      <w:start w:val="1"/>
      <w:numFmt w:val="decimal"/>
      <w:lvlText w:val="%1.%2.%3.%4.%5.%6.%7.%8.%9"/>
      <w:lvlJc w:val="left"/>
      <w:pPr>
        <w:tabs>
          <w:tab w:val="left" w:pos="0"/>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documentProtection w:enforcement="0"/>
  <w:defaultTabStop w:val="720"/>
  <w:autoHyphenation/>
  <w:hyphenationZone w:val="0"/>
  <w:footnotePr>
    <w:footnote w:id="0"/>
    <w:footnote w:id="1"/>
  </w:footnotePr>
  <w:endnotePr>
    <w:endnote w:id="0"/>
    <w:endnote w:id="1"/>
  </w:endnotePr>
  <w:compat>
    <w:compatSetting w:name="compatibilityMode" w:uri="http://schemas.microsoft.com/office/word" w:val="15"/>
  </w:compat>
  <w:rsids>
    <w:rsidRoot w:val="00000000"/>
    <w:rsid w:val="03E75FC9"/>
    <w:rsid w:val="0E3A73C0"/>
    <w:rsid w:val="154F2ABF"/>
    <w:rsid w:val="2C1B3E3D"/>
    <w:rsid w:val="37816D17"/>
    <w:rsid w:val="46E010FE"/>
    <w:rsid w:val="54BC7DEB"/>
    <w:rsid w:val="59E678F3"/>
    <w:rsid w:val="5DFA0956"/>
    <w:rsid w:val="79F53997"/>
    <w:rsid w:val="7BED7A43"/>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2">
    <w:name w:val="heading 1"/>
    <w:basedOn w:val="3"/>
    <w:next w:val="3"/>
    <w:qFormat/>
    <w:uiPriority w:val="0"/>
    <w:pPr>
      <w:keepNext/>
      <w:keepLines/>
      <w:pageBreakBefore/>
      <w:ind w:left="284" w:hanging="284"/>
    </w:pPr>
    <w:rPr>
      <w:b/>
      <w:bCs/>
      <w:smallCaps/>
    </w:rPr>
  </w:style>
  <w:style w:type="paragraph" w:styleId="4">
    <w:name w:val="heading 2"/>
    <w:basedOn w:val="3"/>
    <w:next w:val="3"/>
    <w:qFormat/>
    <w:uiPriority w:val="0"/>
    <w:pPr>
      <w:keepNext/>
      <w:keepLines/>
      <w:ind w:left="567" w:hanging="567"/>
    </w:pPr>
    <w:rPr>
      <w:b/>
      <w:bCs/>
    </w:rPr>
  </w:style>
  <w:style w:type="paragraph" w:styleId="5">
    <w:name w:val="heading 3"/>
    <w:basedOn w:val="3"/>
    <w:next w:val="3"/>
    <w:qFormat/>
    <w:uiPriority w:val="0"/>
    <w:pPr>
      <w:keepNext/>
      <w:keepLines/>
      <w:tabs>
        <w:tab w:val="left" w:pos="709"/>
      </w:tabs>
      <w:ind w:left="227" w:hanging="227"/>
    </w:pPr>
  </w:style>
  <w:style w:type="paragraph" w:styleId="6">
    <w:name w:val="heading 4"/>
    <w:basedOn w:val="3"/>
    <w:next w:val="3"/>
    <w:qFormat/>
    <w:uiPriority w:val="0"/>
    <w:pPr>
      <w:keepNext/>
      <w:keepLines/>
      <w:ind w:left="851" w:hanging="879"/>
    </w:pPr>
    <w:rPr>
      <w:i/>
      <w:iCs/>
    </w:rPr>
  </w:style>
  <w:style w:type="paragraph" w:styleId="7">
    <w:name w:val="heading 5"/>
    <w:basedOn w:val="3"/>
    <w:next w:val="3"/>
    <w:qFormat/>
    <w:uiPriority w:val="0"/>
    <w:pPr>
      <w:keepNext/>
      <w:keepLines/>
      <w:ind w:left="1134" w:hanging="1162"/>
    </w:pPr>
    <w:rPr>
      <w:u w:val="single"/>
    </w:rPr>
  </w:style>
  <w:style w:type="paragraph" w:styleId="8">
    <w:name w:val="heading 6"/>
    <w:basedOn w:val="3"/>
    <w:next w:val="3"/>
    <w:qFormat/>
    <w:uiPriority w:val="0"/>
    <w:pPr>
      <w:pageBreakBefore/>
      <w:ind w:firstLine="0"/>
      <w:jc w:val="center"/>
    </w:pPr>
    <w:rPr>
      <w:b/>
      <w:bCs/>
      <w:smallCaps/>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11">
    <w:name w:val="Body Text"/>
    <w:basedOn w:val="1"/>
    <w:qFormat/>
    <w:uiPriority w:val="0"/>
    <w:pPr>
      <w:spacing w:before="0" w:after="140" w:line="276" w:lineRule="auto"/>
    </w:pPr>
  </w:style>
  <w:style w:type="paragraph" w:styleId="12">
    <w:name w:val="caption"/>
    <w:basedOn w:val="1"/>
    <w:qFormat/>
    <w:uiPriority w:val="0"/>
    <w:pPr>
      <w:suppressLineNumbers/>
      <w:spacing w:before="120" w:after="120"/>
    </w:pPr>
    <w:rPr>
      <w:rFonts w:cs="Arial"/>
      <w:i/>
      <w:iCs/>
      <w:sz w:val="24"/>
      <w:szCs w:val="24"/>
    </w:rPr>
  </w:style>
  <w:style w:type="paragraph" w:styleId="13">
    <w:name w:val="header"/>
    <w:basedOn w:val="14"/>
    <w:qFormat/>
    <w:uiPriority w:val="0"/>
  </w:style>
  <w:style w:type="paragraph" w:customStyle="1" w:styleId="14">
    <w:name w:val="Cabeçalho e rodapé"/>
    <w:basedOn w:val="1"/>
    <w:qFormat/>
    <w:uiPriority w:val="0"/>
  </w:style>
  <w:style w:type="character" w:styleId="15">
    <w:name w:val="Hyperlink"/>
    <w:qFormat/>
    <w:uiPriority w:val="0"/>
    <w:rPr>
      <w:color w:val="000080"/>
      <w:u w:val="single"/>
    </w:rPr>
  </w:style>
  <w:style w:type="paragraph" w:styleId="16">
    <w:name w:val="List"/>
    <w:basedOn w:val="11"/>
    <w:qFormat/>
    <w:uiPriority w:val="0"/>
    <w:rPr>
      <w:rFonts w:cs="Arial"/>
    </w:rPr>
  </w:style>
  <w:style w:type="paragraph" w:styleId="17">
    <w:name w:val="Subtitle"/>
    <w:basedOn w:val="3"/>
    <w:next w:val="3"/>
    <w:qFormat/>
    <w:uiPriority w:val="0"/>
    <w:pPr>
      <w:keepNext/>
      <w:keepLines/>
      <w:pageBreakBefore w:val="0"/>
      <w:spacing w:before="360" w:after="80" w:line="240" w:lineRule="auto"/>
    </w:pPr>
    <w:rPr>
      <w:rFonts w:ascii="Georgia" w:hAnsi="Georgia" w:eastAsia="Georgia" w:cs="Georgia"/>
      <w:i/>
      <w:iCs/>
      <w:color w:val="666666"/>
      <w:sz w:val="48"/>
      <w:szCs w:val="48"/>
    </w:rPr>
  </w:style>
  <w:style w:type="paragraph" w:styleId="18">
    <w:name w:val="Title"/>
    <w:basedOn w:val="3"/>
    <w:next w:val="3"/>
    <w:qFormat/>
    <w:uiPriority w:val="0"/>
    <w:pPr>
      <w:keepNext/>
      <w:keepLines/>
      <w:pageBreakBefore w:val="0"/>
      <w:spacing w:before="480" w:after="120" w:line="240" w:lineRule="auto"/>
    </w:pPr>
    <w:rPr>
      <w:b/>
      <w:bCs/>
      <w:sz w:val="72"/>
      <w:szCs w:val="7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qFormat/>
    <w:uiPriority w:val="0"/>
    <w:pPr>
      <w:ind w:left="840" w:leftChars="400"/>
    </w:pPr>
  </w:style>
  <w:style w:type="paragraph" w:styleId="22">
    <w:name w:val="toc 6"/>
    <w:basedOn w:val="1"/>
    <w:next w:val="1"/>
    <w:qFormat/>
    <w:uiPriority w:val="0"/>
    <w:pPr>
      <w:ind w:left="2100" w:leftChars="1000"/>
    </w:pPr>
  </w:style>
  <w:style w:type="character" w:customStyle="1" w:styleId="23">
    <w:name w:val="Vínculo de índice"/>
    <w:qFormat/>
    <w:uiPriority w:val="0"/>
  </w:style>
  <w:style w:type="character" w:customStyle="1" w:styleId="24">
    <w:name w:val="Vínculo de índice (user)"/>
    <w:qFormat/>
    <w:uiPriority w:val="0"/>
  </w:style>
  <w:style w:type="paragraph" w:customStyle="1" w:styleId="25">
    <w:name w:val="Título"/>
    <w:basedOn w:val="1"/>
    <w:next w:val="11"/>
    <w:qFormat/>
    <w:uiPriority w:val="0"/>
    <w:pPr>
      <w:keepNext/>
      <w:spacing w:before="240" w:after="120"/>
    </w:pPr>
    <w:rPr>
      <w:rFonts w:ascii="Liberation Sans" w:hAnsi="Liberation Sans" w:eastAsia="Microsoft YaHei" w:cs="Arial"/>
      <w:sz w:val="28"/>
      <w:szCs w:val="28"/>
    </w:rPr>
  </w:style>
  <w:style w:type="paragraph" w:customStyle="1" w:styleId="26">
    <w:name w:val="Índice"/>
    <w:basedOn w:val="1"/>
    <w:qFormat/>
    <w:uiPriority w:val="0"/>
    <w:pPr>
      <w:suppressLineNumbers/>
    </w:pPr>
    <w:rPr>
      <w:rFonts w:cs="Arial"/>
    </w:rPr>
  </w:style>
  <w:style w:type="paragraph" w:customStyle="1" w:styleId="27">
    <w:name w:val="Título (user)"/>
    <w:basedOn w:val="1"/>
    <w:next w:val="11"/>
    <w:qFormat/>
    <w:uiPriority w:val="0"/>
    <w:pPr>
      <w:keepNext/>
      <w:spacing w:before="240" w:after="120"/>
    </w:pPr>
    <w:rPr>
      <w:rFonts w:ascii="Liberation Sans" w:hAnsi="Liberation Sans" w:eastAsia="Microsoft YaHei" w:cs="Arial"/>
      <w:sz w:val="28"/>
      <w:szCs w:val="28"/>
    </w:rPr>
  </w:style>
  <w:style w:type="paragraph" w:customStyle="1" w:styleId="28">
    <w:name w:val="Índice (user)"/>
    <w:basedOn w:val="1"/>
    <w:qFormat/>
    <w:uiPriority w:val="0"/>
    <w:pPr>
      <w:suppressLineNumbers/>
    </w:pPr>
    <w:rPr>
      <w:rFonts w:cs="Arial"/>
    </w:rPr>
  </w:style>
  <w:style w:type="paragraph" w:customStyle="1" w:styleId="29">
    <w:name w:val="Conteúdo do quadro"/>
    <w:basedOn w:val="1"/>
    <w:qFormat/>
    <w:uiPriority w:val="0"/>
  </w:style>
  <w:style w:type="paragraph" w:customStyle="1" w:styleId="30">
    <w:name w:val="Cabeçalho e rodapé (user)"/>
    <w:basedOn w:val="1"/>
    <w:qFormat/>
    <w:uiPriority w:val="0"/>
  </w:style>
  <w:style w:type="paragraph" w:customStyle="1" w:styleId="31">
    <w:name w:val="Conteúdo do quadro (user)"/>
    <w:basedOn w:val="1"/>
    <w:qFormat/>
    <w:uiPriority w:val="0"/>
  </w:style>
  <w:style w:type="table" w:customStyle="1" w:styleId="3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65</Pages>
  <Words>9961</Words>
  <Characters>54488</Characters>
  <Paragraphs>463</Paragraphs>
  <TotalTime>2</TotalTime>
  <ScaleCrop>false</ScaleCrop>
  <LinksUpToDate>false</LinksUpToDate>
  <CharactersWithSpaces>64076</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2026-07-21T17:28:00Z</dcterms:created>
  <dc:creator>Artur Oliveira Santiago</dc:creator>
  <cp:lastModifiedBy>Artur Oliveira Santiago</cp:lastModifiedBy>
  <dcterms:modified xsi:type="dcterms:W3CDTF">2026-07-25T00:02:58Z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1033-12.1.0.27458</vt:lpwstr>
  </property>
  <property fmtid="{D5CDD505-2E9C-101B-9397-08002B2CF9AE}" pid="5" name="KSOTemplateDocerSaveRecord">
    <vt:lpwstr>eyJoZGlkIjoiNzgyNTQwY2RlMDIwNzkxMTA1ZGEyZjUwMTQ2ODA2NjAiLCJ1c2VySWQiOiIxNjY2NTk4MDEzMDg0In0=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