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Técnico — Fase 5</w:t>
      </w:r>
    </w:p>
    <w:p>
      <w:pPr>
        <w:pStyle w:val="Heading1"/>
      </w:pPr>
      <w:r>
        <w:t>Baselines de Modelagem: Ridge e Random Forest</w:t>
      </w:r>
    </w:p>
    <w:p>
      <w:pPr>
        <w:jc w:val="left"/>
      </w:pPr>
      <w:r>
        <w:rPr>
          <w:b/>
          <w:sz w:val="22"/>
        </w:rPr>
        <w:t xml:space="preserve">Versão: </w:t>
      </w:r>
      <w:r>
        <w:rPr>
          <w:sz w:val="22"/>
        </w:rPr>
        <w:t>1.1</w:t>
        <w:br/>
      </w:r>
      <w:r>
        <w:rPr>
          <w:b/>
          <w:sz w:val="22"/>
        </w:rPr>
        <w:t xml:space="preserve">Data: </w:t>
      </w:r>
      <w:r>
        <w:rPr>
          <w:sz w:val="22"/>
        </w:rPr>
        <w:t>2026-06-11</w:t>
        <w:br/>
      </w:r>
      <w:r>
        <w:rPr>
          <w:b/>
          <w:sz w:val="22"/>
        </w:rPr>
        <w:t xml:space="preserve">Escopo: </w:t>
      </w:r>
      <w:r>
        <w:rPr>
          <w:sz w:val="22"/>
        </w:rPr>
        <w:t>Pipelines sklearn, validação cruzada agrupada, transformações de target, validação temporal, análise de resíduos e avaliação complementar da metodologia (M1–M8)</w:t>
        <w:br/>
      </w:r>
      <w:r>
        <w:rPr>
          <w:b/>
          <w:sz w:val="22"/>
        </w:rPr>
        <w:t xml:space="preserve">Entrada: </w:t>
      </w:r>
      <w:r>
        <w:rPr>
          <w:sz w:val="22"/>
        </w:rPr>
        <w:t>data/processed/features.parquet (1.586 obs × 38 features + target)</w:t>
        <w:br/>
      </w:r>
      <w:r>
        <w:rPr>
          <w:b/>
          <w:sz w:val="22"/>
        </w:rPr>
        <w:t xml:space="preserve">Saídas: </w:t>
      </w:r>
      <w:r>
        <w:rPr>
          <w:sz w:val="22"/>
        </w:rPr>
        <w:t>src/models/{train,evaluate}.py · notebooks/06_baseline_modelos.py · notebooks/07_avaliacao_complementar.py · reports/metricas_*.csv · reports/residuos_top20_temporal.csv · models/baseline_ridge_v1.joblib · reports/figuras/M*.png</w:t>
        <w:br/>
      </w:r>
    </w:p>
    <w:p>
      <w:r>
        <w:br w:type="page"/>
      </w:r>
    </w:p>
    <w:p>
      <w:pPr>
        <w:pStyle w:val="Heading1"/>
      </w:pPr>
      <w:r>
        <w:t>1. Contexto e objetivo da fase</w:t>
      </w:r>
    </w:p>
    <w:p>
      <w:r>
        <w:t>A Fase 3 (feature engineering) produziu o dataset final de modelagem com 1.586 observações (escola × ano-feature), 38 features e o target taxa_abandono_t1 — a taxa de abandono do EM observada no ano seguinte ao das features. A Fase 5 inaugura a etapa de modelagem: treinar e avaliar modelos de referência (baselines) que estabelecem o patamar de desempenho que o XGBoost (Fase 6) precisará superar.</w:t>
      </w:r>
    </w:p>
    <w:p>
      <w:r>
        <w:t>Conforme a metodologia (decisoes_projeto.md, seções 4.1 e 8), os baselines são a Regressão Ridge (linear) e o Random Forest (não-linear), acompanhados de um DummyRegressor (prediz a média do treino) como piso trivial de referência. O problema é de regressão: prever a taxa contínua de abandono em pontos percentuais.</w:t>
      </w:r>
    </w:p>
    <w:p>
      <w:pPr>
        <w:pStyle w:val="Heading1"/>
      </w:pPr>
      <w:r>
        <w:t>2. Módulos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68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538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src/models/evaluate.py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Métricas (RMSE, MAE, R², Spearman, Precision@K) e loop de validação cruzada agrupada (GroupKFold por município)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src/models/train.py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Carga do dataset, pipelines de pré-processamento + modelo, grades de hiperparâmetros, transformações de target, split temporal e serialização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notebooks/06_baseline_modelos.py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Script de análise M1–M4: executa comparações, gera figuras, registra métricas em CSV e serializa o melhor baseline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notebooks/07_avaliacao_complementar.py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Script de análise M5–M8: cobre os itens da metodologia não contemplados pelo notebook 06 (ranking flexível, erro padrão via CV repetida, avaliação binarizada pós-hoc e top-20 resíduos)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tests/test_models.py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13 testes unitários: precision@K, não-vazamento de grupos na CV, split temporal e escala das predições com target transformado</w:t>
            </w:r>
          </w:p>
        </w:tc>
      </w:tr>
    </w:tbl>
    <w:p/>
    <w:p>
      <w:pPr>
        <w:pStyle w:val="Heading2"/>
      </w:pPr>
      <w:r>
        <w:t>2.1 src/models/evaluate.py — métricas e validação</w:t>
      </w:r>
    </w:p>
    <w:p>
      <w:r>
        <w:t>Funções principais:</w:t>
      </w:r>
    </w:p>
    <w:p>
      <w:pPr>
        <w:pStyle w:val="ListBullet"/>
      </w:pPr>
      <w:r>
        <w:t>precision_at_k(y_true, y_pred, k): das K observações com maior valor predito, quantas estão entre as K com maior valor real. Mede diretamente a utilidade do modelo para o caso de uso de priorização (ranking top-K de escolas em risco). K = 10% do conjunto avaliado.</w:t>
      </w:r>
    </w:p>
    <w:p>
      <w:pPr>
        <w:pStyle w:val="ListBullet"/>
      </w:pPr>
      <w:r>
        <w:t>calcular_metricas(): consolida RMSE, MAE, R², correlação de Spearman e Precision@K, sempre na escala original do target (pontos percentuais).</w:t>
      </w:r>
    </w:p>
    <w:p>
      <w:pPr>
        <w:pStyle w:val="ListBullet"/>
      </w:pPr>
      <w:r>
        <w:t>validacao_cruzada_grupos(): loop manual de GroupKFold com 5 folds, agrupado por CO_MUNICIPIO. O modelo é clonado e re-treinado em cada fold; o loop manual (em vez de cross_validate) permite calcular Spearman e Precision@K por fold na escala original.</w:t>
      </w:r>
    </w:p>
    <w:p>
      <w:r>
        <w:t>O agrupamento por município na validação cruzada implementa a mitigação de autocorrelação espacial prevista na metodologia: escolas do mesmo município nunca aparecem simultaneamente em treino e teste, evitando métricas otimistas por vazamento de contexto local. Os 185 municípios do dataset são distribuídos entre os folds.</w:t>
      </w:r>
    </w:p>
    <w:p>
      <w:pPr>
        <w:pStyle w:val="Heading2"/>
      </w:pPr>
      <w:r>
        <w:t>2.2 src/models/train.py — pipelines e preparação</w:t>
      </w:r>
    </w:p>
    <w:p>
      <w:r>
        <w:t>Decisões de pré-processamento (sklearn ColumnTransformer):</w:t>
      </w:r>
    </w:p>
    <w:p>
      <w:pPr>
        <w:pStyle w:val="ListBullet"/>
      </w:pPr>
      <w:r>
        <w:t>Features numéricas (37): imputação por mediana + StandardScaler. A padronização é necessária para o Ridge (regularização L2 sensível à escala); é inócua para Random Forest e Dummy, mantida por uniformidade do pipeline.</w:t>
      </w:r>
    </w:p>
    <w:p>
      <w:pPr>
        <w:pStyle w:val="ListBullet"/>
      </w:pPr>
      <w:r>
        <w:t>CO_MESORREGIAO: tratada como categórica nominal via OneHotEncoder (handle_unknown='ignore'). O código IBGE (2601–2605) não tem ordem significativa.</w:t>
      </w:r>
    </w:p>
    <w:p>
      <w:pPr>
        <w:pStyle w:val="ListBullet"/>
      </w:pPr>
      <w:r>
        <w:t>Identificadores (CO_ENTIDADE, NO_ENTIDADE, CO_MUNICIPIO, NO_MUNICIPIO, NU_ANO_CENSO) são excluídos das features; CO_MUNICIPIO é usado apenas como variável de agrupamento da CV.</w:t>
      </w:r>
    </w:p>
    <w:p>
      <w:r>
        <w:t>Transformações de target testadas (via TransformedTargetRegressor):</w:t>
      </w:r>
    </w:p>
    <w:p>
      <w:pPr>
        <w:pStyle w:val="ListBullet"/>
      </w:pPr>
      <w:r>
        <w:t>identidade — sem transformação (referência).</w:t>
      </w:r>
    </w:p>
    <w:p>
      <w:pPr>
        <w:pStyle w:val="ListBullet"/>
      </w:pPr>
      <w:r>
        <w:t>log1p / expm1 — comprime a cauda direita (skewness ≈ 3 do target).</w:t>
      </w:r>
    </w:p>
    <w:p>
      <w:pPr>
        <w:pStyle w:val="ListBullet"/>
      </w:pPr>
      <w:r>
        <w:t>sqrt / square — compressão intermediária.</w:t>
      </w:r>
    </w:p>
    <w:p>
      <w:r>
        <w:t>O TransformedTargetRegressor garante que o predict() devolva valores já na escala original (%), de modo que todas as métricas são comparáveis entre transformações.</w:t>
      </w:r>
    </w:p>
    <w:p>
      <w:pPr>
        <w:pStyle w:val="Heading2"/>
      </w:pPr>
      <w:r>
        <w:t>2.3 Busca de hiperparâmetros</w:t>
      </w:r>
    </w:p>
    <w:p>
      <w:r>
        <w:t>GridSearchCV com a mesma validação agrupada (GroupKFold 5 folds por município), otimizando RMSE. As grades são deliberadamente leves — o tuning fino é reservado ao XGBoost na Fase 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Grade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Melhor configuração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RMSE CV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alpha ∈ {0.1, 1, 10, 100}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alpha = 100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2,735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max_depth ∈ {None, 8} × min_samples_leaf ∈ {1, 5} (300 árvores)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max_depth = 8, min_samples_leaf = 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2,703</w:t>
            </w:r>
          </w:p>
        </w:tc>
      </w:tr>
    </w:tbl>
    <w:p/>
    <w:p>
      <w:pPr>
        <w:pStyle w:val="Heading1"/>
      </w:pPr>
      <w:r>
        <w:t>3. M1 — Baselines em validação cruzada</w:t>
      </w:r>
    </w:p>
    <w:p>
      <w:r>
        <w:t>Métricas em validação cruzada (média ± desvio-padrão entre os 5 folds, escala original em pontos percentuais):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MAE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R²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Spearman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P@K (10%)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Dummy (média)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3,316 ± 1,166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1,695 ± 0,271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−0,030 ± 0,035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0,069 ± 0,041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2,735 ± 0,642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1,321 ± 0,177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0,203 ± 0,326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0,393 ± 0,092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0,500 ± 0,115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2,703 ± 0,626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1,192 ± 0,193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0,209 ± 0,353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0,438 ± 0,076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0,506 ± 0,075</w:t>
            </w:r>
          </w:p>
        </w:tc>
      </w:tr>
    </w:tbl>
    <w:p/>
    <w:p>
      <w:r>
        <w:t>Leituras principais:</w:t>
      </w:r>
    </w:p>
    <w:p>
      <w:pPr>
        <w:pStyle w:val="ListBullet"/>
      </w:pPr>
      <w:r>
        <w:t>Os dois baselines superam claramente o piso trivial: RMSE ~18% menor que o Dummy e Precision@K sete vezes maior (0,50 vs 0,07).</w:t>
      </w:r>
    </w:p>
    <w:p>
      <w:pPr>
        <w:pStyle w:val="ListBullet"/>
      </w:pPr>
      <w:r>
        <w:t>Random Forest e Ridge são estatisticamente próximos em RMSE; o RF tem leve vantagem em Spearman (0,44 vs 0,39) e MAE.</w:t>
      </w:r>
    </w:p>
    <w:p>
      <w:pPr>
        <w:pStyle w:val="ListBullet"/>
      </w:pPr>
      <w:r>
        <w:t>O R² modesto (~0,20) reflete a dificuldade do problema: a maior parte da variância do abandono escolar não é explicada pelos indicadores institucionais disponíveis — consistente com a literatura e com a limitação nº 6 declarada na metodologia.</w:t>
      </w:r>
    </w:p>
    <w:p>
      <w:pPr>
        <w:pStyle w:val="ListBullet"/>
      </w:pPr>
      <w:r>
        <w:t>O Spearman do Dummy é indefinido (predição constante não produz ranking) — por construção, qualquer ranking informativo já é ganho sobre o piso.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13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baselines_c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M1 — Distribuição das métricas por fold (GroupKFold por município).</w:t>
      </w:r>
    </w:p>
    <w:p>
      <w:pPr>
        <w:pStyle w:val="Heading1"/>
      </w:pPr>
      <w:r>
        <w:t>4. M2 — Transformação do target</w:t>
      </w:r>
    </w:p>
    <w:p>
      <w:r>
        <w:t>O target tem distribuição fortemente assimétrica (skewness ≈ 3; 29% das escolas com abandono zero). Testou-se se comprimir a cauda melhora os modelos: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81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Transformação</w:t>
            </w:r>
          </w:p>
        </w:tc>
        <w:tc>
          <w:tcPr>
            <w:tcW w:type="dxa" w:w="19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158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Spearman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P@K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identidade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2,735 ± 0,64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0,393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0,500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log1p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2,845 ± 1,02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0,419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0,519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sqrt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2,727 ± 0,90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0,412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0,512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identidade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2,703 ± 0,63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0,438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0,506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log1p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2,766 ± 0,93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0,454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0,519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sqrt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2,735 ± 0,88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0,458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0,506</w:t>
            </w:r>
          </w:p>
        </w:tc>
      </w:tr>
    </w:tbl>
    <w:p/>
    <w:p>
      <w:pPr>
        <w:pStyle w:val="ListBullet"/>
      </w:pPr>
      <w:r>
        <w:t>O efeito é pequeno e com trade-off: log1p melhora as métricas de ranking (Spearman, P@K) mas piora o RMSE — a compressão da cauda sacrifica a calibração das escolas de abandono alto, justamente as mais relevantes.</w:t>
      </w:r>
    </w:p>
    <w:p>
      <w:pPr>
        <w:pStyle w:val="ListBullet"/>
      </w:pPr>
      <w:r>
        <w:t>Critério de escolha: RMSE (métrica primária). Melhor configuração: Ridge + sqrt e Random Forest + identidade.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64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transformacao_tar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6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M2 — Efeito das transformações de target em RMSE e Spearman.</w:t>
      </w:r>
    </w:p>
    <w:p>
      <w:pPr>
        <w:pStyle w:val="Heading1"/>
      </w:pPr>
      <w:r>
        <w:t>5. M3 — Validação temporal</w:t>
      </w:r>
    </w:p>
    <w:p>
      <w:r>
        <w:t>Simulação do uso real do sistema: o modelo é treinado com os dados disponíveis em um ciclo (features 2022 → abandono 2023, n=797) e testado no ciclo seguinte (features 2023 → abandono 2024, n=789).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MAE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R²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Spearman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P@K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Dummy (média)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2,540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1,617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−0,038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0,089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2,749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0,973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−0,216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0,370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0,418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2,751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1,138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−0,217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0,343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0,405</w:t>
            </w:r>
          </w:p>
        </w:tc>
      </w:tr>
    </w:tbl>
    <w:p/>
    <w:p>
      <w:r>
        <w:t>Achado central da fase — deslocamento de distribuição entre anos:</w:t>
      </w:r>
    </w:p>
    <w:p>
      <w:pPr>
        <w:pStyle w:val="ListBullet"/>
      </w:pPr>
      <w:r>
        <w:t>Em nível (RMSE/R²), os modelos NÃO superam o Dummy no split temporal: o perfil médio de abandono mudou de 2023 para 2024 e os modelos, calibrados no nível de 2023, erram sistematicamente o nível de 2024 (R² negativo).</w:t>
      </w:r>
    </w:p>
    <w:p>
      <w:pPr>
        <w:pStyle w:val="ListBullet"/>
      </w:pPr>
      <w:r>
        <w:t>Em ranking, os modelos seguem muito superiores: Spearman 0,37 vs — e Precision@K 0,42 vs 0,09 do Dummy. O modelo continua identificando QUAIS escolas terão abandono alto, ainda que erre QUANTO.</w:t>
      </w:r>
    </w:p>
    <w:p>
      <w:pPr>
        <w:pStyle w:val="ListBullet"/>
      </w:pPr>
      <w:r>
        <w:t>Implicação para a pesquisa: como a pergunta P2 é de priorização (ranking top-K para a Secretaria), as métricas de ranking sustentam a viabilidade. O resultado deve ser reportado na monografia como evidência de mudança de distribuição entre ciclos (consequência da janela curta de dados, 2 pares de anos).</w:t>
      </w:r>
    </w:p>
    <w:p>
      <w:pPr>
        <w:pStyle w:val="ListBullet"/>
      </w:pPr>
      <w:r>
        <w:t>Mitigações a testar na Fase 6: recalibração do intercepto por ano, inclusão de efeito de ano, ou foco explícito em métricas de ranking como critério de tuning.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661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validacao_tempo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M3 — Predito × real (Ridge) e erro por modelo no teste temporal 2023→2024.</w:t>
      </w:r>
    </w:p>
    <w:p>
      <w:pPr>
        <w:pStyle w:val="Heading1"/>
      </w:pPr>
      <w:r>
        <w:t>6. M4 — Análise preliminar de resíduos (preview da P3)</w:t>
      </w:r>
    </w:p>
    <w:p>
      <w:r>
        <w:t>Resíduo = real − predito, calculado no teste temporal com o Ridge (média 0,22 p.p., DP 2,74 p.p.). Esta análise antecipa a pergunta secundária P3 (escolas fora do esperado pelo perfil), que será aprofundada na Fase 7 com o modelo definitivo.</w:t>
      </w:r>
    </w:p>
    <w:p>
      <w:r>
        <w:t>Padrões já visíveis:</w:t>
      </w:r>
    </w:p>
    <w:p>
      <w:pPr>
        <w:pStyle w:val="ListBullet"/>
      </w:pPr>
      <w:r>
        <w:t>Resíduos positivos (abandono acima do esperado): EREMs da Região Metropolitana e escolas de referência aparecem com abandono real muito acima do predito — candidatas a investigação qualitativa.</w:t>
      </w:r>
    </w:p>
    <w:p>
      <w:pPr>
        <w:pStyle w:val="ListBullet"/>
      </w:pPr>
      <w:r>
        <w:t>Resíduos negativos (escolas resilientes): escolas indígenas do Sertão de Itaparica (Jatobá, Tacaratu, Inajá, Carnaubeira da Penha) têm abandono real próximo de zero apesar de perfil contextual que prediz abandono alto (15–28%). O modelo aprende que o perfil 'rural + INSE baixo + TDI alto' prediz abandono, mas essas escolas contrariam o padrão — possível efeito de vínculo comunitário, não capturado pelas features.</w:t>
      </w:r>
    </w:p>
    <w:p>
      <w:pPr>
        <w:pStyle w:val="ListBullet"/>
      </w:pPr>
      <w:r>
        <w:t>Leve heterocedasticidade: o erro cresce com o valor predito, comportamento esperado dado o piso em zero do 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623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residu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6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M4 — Distribuição dos resíduos e resíduo × predito (Ridge, teste temporal).</w:t>
      </w:r>
    </w:p>
    <w:p>
      <w:pPr>
        <w:pStyle w:val="Heading1"/>
      </w:pPr>
      <w:r>
        <w:t>7. M5 — Ranking flexível: Precision@K e captura por K</w:t>
      </w:r>
    </w:p>
    <w:p>
      <w:r>
        <w:t>A metodologia (§2.1) justifica a escolha de regressão — em vez de classificação — pela possibilidade de ranking flexível top-N sem retreinar o modelo. Esta análise demonstra essa propriedade variando K (tamanho da lista de priorização) no teste temporal 2023→2024 e medindo duas grandezas: a Precision@K (sobreposição entre os top-K preditos e os top-K reais) e a captura de escolas críticas (fração das escolas com abandono real no decil superior, ≥ 2,7%, incluídas na lista priorizada).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K</w:t>
            </w:r>
          </w:p>
        </w:tc>
        <w:tc>
          <w:tcPr>
            <w:tcW w:type="dxa" w:w="153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P@K Ridge</w:t>
            </w:r>
          </w:p>
        </w:tc>
        <w:tc>
          <w:tcPr>
            <w:tcW w:type="dxa" w:w="153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P@K RF</w:t>
            </w:r>
          </w:p>
        </w:tc>
        <w:tc>
          <w:tcPr>
            <w:tcW w:type="dxa" w:w="164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Captura Ridge</w:t>
            </w:r>
          </w:p>
        </w:tc>
        <w:tc>
          <w:tcPr>
            <w:tcW w:type="dxa" w:w="164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Captura RF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Aleatório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0,40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0,30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0,05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0,04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0,01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0,33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0,37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0,17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0,17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0,04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0,36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0,38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0,28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0,30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0,06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0,46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0,48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0,49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0,49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0,13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0,51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0,53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0,66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0,65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0,19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0,53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0,52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0,72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0,72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0,25</w:t>
            </w:r>
          </w:p>
        </w:tc>
      </w:tr>
    </w:tbl>
    <w:p/>
    <w:p>
      <w:pPr>
        <w:pStyle w:val="ListBullet"/>
      </w:pPr>
      <w:r>
        <w:t>Leitura gerencial: intervindo nas top-50 escolas indicadas, a Secretaria alcança 28–30% das escolas críticas — cinco vezes mais que a seleção aleatória (6%); nas top-150, alcança cerca de dois terços delas.</w:t>
      </w:r>
    </w:p>
    <w:p>
      <w:pPr>
        <w:pStyle w:val="ListBullet"/>
      </w:pPr>
      <w:r>
        <w:t>O desempenho cresce de forma aproximadamente monotônica com K, confirmando que o mesmo modelo serve a diferentes capacidades de intervenção sem retreino.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661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_precision_por_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M5 — Precision@K e captura de escolas críticas por tamanho da lista (teste temporal).</w:t>
      </w:r>
    </w:p>
    <w:p>
      <w:pPr>
        <w:pStyle w:val="Heading1"/>
      </w:pPr>
      <w:r>
        <w:t>8. M6 — Estabilidade das métricas (CV repetida)</w:t>
      </w:r>
    </w:p>
    <w:p>
      <w:r>
        <w:t>A metodologia (§8.3) pede o erro padrão das métricas via repetições da validação cruzada. Foram executadas 20 repetições de partição agrupada (GroupShuffleSplit, 20% dos municípios em teste a cada repetição), gerando a distribuição amostral das métricas — registrada em reports/metricas_cv_repetida.csv.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58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Média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DP</w:t>
            </w:r>
          </w:p>
        </w:tc>
        <w:tc>
          <w:tcPr>
            <w:tcW w:type="dxa" w:w="136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Erro padrão</w:t>
            </w:r>
          </w:p>
        </w:tc>
        <w:tc>
          <w:tcPr>
            <w:tcW w:type="dxa" w:w="19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IC 95%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Dummy (média)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RMSE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3,154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0,965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0,216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[2,730; 3,577]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RMSE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2,627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0,636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0,142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[2,348; 2,905]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Spearman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0,426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0,080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0,018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[0,391; 0,461]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P@K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0,516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0,091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0,020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[0,477; 0,556]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RMSE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2,546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0,606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0,135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[2,281; 2,812]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Spearman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0,431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0,072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0,016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[0,399; 0,463]</w:t>
            </w:r>
          </w:p>
        </w:tc>
      </w:tr>
      <w:tr>
        <w:tc>
          <w:tcPr>
            <w:tcW w:type="dxa" w:w="1567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P@K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0,500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0,100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0,022</w:t>
            </w:r>
          </w:p>
        </w:tc>
        <w:tc>
          <w:tcPr>
            <w:tcW w:type="dxa" w:w="1567"/>
          </w:tcPr>
          <w:p>
            <w:r>
              <w:rPr>
                <w:sz w:val="18"/>
              </w:rPr>
              <w:t>[0,457; 0,544]</w:t>
            </w:r>
          </w:p>
        </w:tc>
      </w:tr>
    </w:tbl>
    <w:p/>
    <w:p>
      <w:r>
        <w:t>Comparação pareada (diferença RF − Ridge calculada repetição a repetição):</w:t>
      </w:r>
    </w:p>
    <w:p>
      <w:pPr>
        <w:pStyle w:val="ListBullet"/>
      </w:pPr>
      <w:r>
        <w:t>RMSE: −0,080 ± 0,065 (IC 95%) — o intervalo exclui zero: o Random Forest é significativamente melhor que o Ridge em erro de magnitude.</w:t>
      </w:r>
    </w:p>
    <w:p>
      <w:pPr>
        <w:pStyle w:val="ListBullet"/>
      </w:pPr>
      <w:r>
        <w:t>Spearman: +0,005 ± 0,023 — estatisticamente empatados em qualidade de ranking.</w:t>
      </w:r>
    </w:p>
    <w:p>
      <w:pPr>
        <w:pStyle w:val="ListBullet"/>
      </w:pPr>
      <w:r>
        <w:t>Implicação para a Fase 6: como a pergunta de pesquisa é de ranking, os dois baselines são patamares equivalentes em Spearman; em RMSE, o patamar a superar é o do Random Forest (2,55).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13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_cv_repeti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M6 — Distribuição das métricas em 20 repetições de validação agrupada.</w:t>
      </w:r>
    </w:p>
    <w:p>
      <w:pPr>
        <w:pStyle w:val="Heading1"/>
      </w:pPr>
      <w:r>
        <w:t>9. M7 — Avaliação binarizada pós-hoc</w:t>
      </w:r>
    </w:p>
    <w:p>
      <w:r>
        <w:t>A metodologia (§2.1) prevê análise binarizada pós-hoc para comparação com a literatura, que majoritariamente trata evasão como classificação. Definiu-se alto risco como abandono 2024 no decil superior (≥ 2,7%; 80 escolas; prevalência 10,1%) e usaram-se as predições contínuas da regressão como scores — sem retreinar.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ROC-AUC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PR-AUC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PR-AUC / prevalência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Ridge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0,812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0,340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3,4×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0,829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0,343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3,4×</w:t>
            </w:r>
          </w:p>
        </w:tc>
      </w:tr>
    </w:tbl>
    <w:p/>
    <w:p>
      <w:pPr>
        <w:pStyle w:val="ListBullet"/>
      </w:pPr>
      <w:r>
        <w:t>ROC-AUC de 0,81–0,83 situa os baselines na faixa tipicamente reportada pela literatura de predição de evasão (AUC ≈ 0,80), dando referência externa de qualidade antes mesmo do tuning do XGBoost.</w:t>
      </w:r>
    </w:p>
    <w:p>
      <w:pPr>
        <w:pStyle w:val="ListBullet"/>
      </w:pPr>
      <w:r>
        <w:t>O limiar P90 de apenas 2,7% de abandono em 2024 é confirmação independente do deslocamento de nível observado no M3: o abandono geral caiu de 2023 para 2024.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661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_avaliacao_binariz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M7 — Curvas ROC e Precision-Recall da avaliação binarizada (teste temporal).</w:t>
      </w:r>
    </w:p>
    <w:p>
      <w:pPr>
        <w:pStyle w:val="Heading1"/>
      </w:pPr>
      <w:r>
        <w:t>10. M8 — Top-20 resíduos e viés por grupo</w:t>
      </w:r>
    </w:p>
    <w:p>
      <w:r>
        <w:t>Atendendo à §8.4 da metodologia, as 20 escolas com maior resíduo positivo (abandono acima do esperado) e as 20 com maior resíduo negativo (escolas resilientes) foram persistidas em reports/residuos_top20_temporal.csv, com identificação, município, mesorregião, valores reais e preditos — insumo direto para a análise qualitativa da P3 na Fase 7.</w:t>
      </w:r>
    </w:p>
    <w:p>
      <w:r>
        <w:t>A análise do resíduo médio por grupo revelou viés sistemático do modelo: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Resíduo médio (real − predito)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Urbana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+0,42 p.p.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680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Rural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−1,02 p.p.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Localização comum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+0,45 p.p.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748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Localização diferenciada (indígenas/quilombolas)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−4,09 p.p.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Sertão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−0,57 p.p.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114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Demais mesorregiões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+0,23 a +0,48 p.p.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675</w:t>
            </w:r>
          </w:p>
        </w:tc>
      </w:tr>
    </w:tbl>
    <w:p/>
    <w:p>
      <w:pPr>
        <w:pStyle w:val="ListBullet"/>
      </w:pPr>
      <w:r>
        <w:t>O modelo superprediz fortemente o abandono em escolas de localização diferenciada (−4,1 p.p.): o perfil contextual dessas escolas (rural, INSE baixo, TDI alta) está associado a abandono alto, mas o abandono observado é próximo de zero — consistente com fatores de vínculo comunitário não capturados pelas features (limitação nº 6 da metodologia).</w:t>
      </w:r>
    </w:p>
    <w:p>
      <w:pPr>
        <w:pStyle w:val="ListBullet"/>
      </w:pPr>
      <w:r>
        <w:t>Este resultado deve ser reportado na monografia como análise de equidade do modelo e reavaliado após o XGBoost; se o viés persistir, considerar feature de vínculo comunitário ou calibração por grupo.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721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_residuos_grup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M8 — Distribuição dos resíduos por mesorregião e por tipo de localização.</w:t>
      </w:r>
    </w:p>
    <w:p>
      <w:pPr>
        <w:pStyle w:val="Heading1"/>
      </w:pPr>
      <w:r>
        <w:t>11. Testes automatizados</w:t>
      </w:r>
    </w:p>
    <w:p>
      <w:r>
        <w:t>tests/test_models.py adiciona 13 testes (suíte total: 55, todos passando). Riscos cobertos: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510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Teste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precision@K incorreta → ranking de priorização sem sentido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Casos de ranking perfeito (1,0), invertido (0,0), parcial (0,5) e k inválido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Vazamento espacial na CV → métricas otimistas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Nenhum município aparece em treino e teste do mesmo fold (GroupKFold)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Erro no split temporal → contaminação 2023/2024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Treino contém apenas 2022 e teste apenas 2023; partição completa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Transformação de target sem inversa → predições em escala errada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predict() com log1p/sqrt devolve valores na escala original (%)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Features contaminadas por IDs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CO_ENTIDADE, NO_ENTIDADE e CO_MUNICIPIO excluídos; CO_MESORREGIAO mantida</w:t>
            </w:r>
          </w:p>
        </w:tc>
      </w:tr>
    </w:tbl>
    <w:p/>
    <w:p>
      <w:pPr>
        <w:pStyle w:val="Heading1"/>
      </w:pPr>
      <w:r>
        <w:t>12. Artefatos gerados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2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481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reports/metricas_baselines.csv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Métricas por modelo × fold (CV) e do split temporal — registro da Fase 5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reports/metricas_transformacoes.csv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Métricas por modelo × transformação de target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reports/metricas_cv_repetida.csv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Métricas por modelo × repetição da CV agrupada (20 repetições) — base do M6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reports/residuos_top20_temporal.csv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Top-20 escolas com resíduo positivo e negativo no teste temporal — insumo da P3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models/baseline_ridge_v1.joblib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Melhor baseline (Ridge alpha=100, target sqrt) re-treinado com os 1.586 registros</w:t>
            </w:r>
          </w:p>
        </w:tc>
      </w:tr>
      <w:tr>
        <w:tc>
          <w:tcPr>
            <w:tcW w:type="dxa" w:w="4702"/>
          </w:tcPr>
          <w:p>
            <w:r>
              <w:rPr>
                <w:sz w:val="18"/>
              </w:rPr>
              <w:t>reports/figuras/M1–M8.png</w:t>
            </w:r>
          </w:p>
        </w:tc>
        <w:tc>
          <w:tcPr>
            <w:tcW w:type="dxa" w:w="4702"/>
          </w:tcPr>
          <w:p>
            <w:r>
              <w:rPr>
                <w:sz w:val="18"/>
              </w:rPr>
              <w:t>Figuras das análises desta fase</w:t>
            </w:r>
          </w:p>
        </w:tc>
      </w:tr>
    </w:tbl>
    <w:p/>
    <w:p>
      <w:pPr>
        <w:pStyle w:val="Heading1"/>
      </w:pPr>
      <w:r>
        <w:t>13. Conclusões e próximos passos</w:t>
      </w:r>
    </w:p>
    <w:p>
      <w:r>
        <w:t>Com as análises M5–M8, todos os itens de avaliação previstos na metodologia para esta etapa possuem artefato correspondente: métricas primárias e de ranking (M1/M3), transformação de target (M2), ranking flexível top-N (M5), erro padrão via repetições (M6), avaliação binarizada pós-hoc (M7) e top-20 resíduos (M8).</w:t>
      </w:r>
    </w:p>
    <w:p>
      <w:r>
        <w:t>Patamar estabelecido para a Fase 6 (tuning do XGBoost):</w:t>
      </w:r>
    </w:p>
    <w:p>
      <w:pPr>
        <w:pStyle w:val="ListBullet"/>
      </w:pPr>
      <w:r>
        <w:t>CV agrupada repetida: RMSE ≤ 2,55 (Random Forest, significativamente melhor que o Ridge na comparação pareada) · Spearman ≥ 0,43 · Precision@K ≥ 0,50.</w:t>
      </w:r>
    </w:p>
    <w:p>
      <w:pPr>
        <w:pStyle w:val="ListBullet"/>
      </w:pPr>
      <w:r>
        <w:t>Validação temporal: Spearman ≥ 0,37 · Precision@K ≥ 0,42 · ROC-AUC ≥ 0,83 na binarização pós-hoc.</w:t>
      </w:r>
    </w:p>
    <w:p>
      <w:r>
        <w:t>Encaminhamentos:</w:t>
      </w:r>
    </w:p>
    <w:p>
      <w:pPr>
        <w:pStyle w:val="ListBullet"/>
      </w:pPr>
      <w:r>
        <w:t>Fase 6 — tuning do XGBRegressor com a mesma validação (GroupKFold + temporal), grade da seção 7 da metodologia; avaliar mitigações para o deslocamento de nível entre anos.</w:t>
      </w:r>
    </w:p>
    <w:p>
      <w:pPr>
        <w:pStyle w:val="ListBullet"/>
      </w:pPr>
      <w:r>
        <w:t>Discutir na monografia o achado do M3/M7: predição de nível não generaliza entre ciclos com 2 pares de anos (o abandono geral caiu em 2024), mas o ranking (objetivo da pesquisa) sim.</w:t>
      </w:r>
    </w:p>
    <w:p>
      <w:pPr>
        <w:pStyle w:val="ListBullet"/>
      </w:pPr>
      <w:r>
        <w:t>Reavaliar após o XGBoost o viés por grupo identificado no M8 (superpredição em escolas rurais e de localização diferenciada) — análise de equidade do modelo a reportar na monografia.</w:t>
      </w:r>
    </w:p>
    <w:p>
      <w:pPr>
        <w:pStyle w:val="ListBullet"/>
      </w:pPr>
      <w:r>
        <w:t>Fase 7 — análise SHAP e aprofundamento dos resíduos (P3), partindo do residuos_top20_temporal.csv, incluindo o caso das escolas indígenas resilientes.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