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39 características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mais da metade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características contínuas na rede estadual</w:t>
      </w:r>
    </w:p>
    <w:p w14:paraId="1D62E1CA">
      <w:pPr>
        <w:pStyle w:val="3"/>
        <w:ind w:firstLine="0"/>
        <w:rPr>
          <w:color w:val="2E75B5"/>
        </w:rPr>
      </w:pPr>
      <w:r>
        <w:rPr>
          <w:rFonts w:ascii="Arial" w:hAnsi="Arial"/>
          <w:sz w:val="22"/>
        </w:rPr>
        <w:t>Figura 9 – Repartição das escolas por atributo de sim ou não e taxa média de abandono de cada grupo</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38 características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12CBFCCB">
      <w:pPr>
        <w:pStyle w:val="3"/>
        <w:ind w:firstLine="0"/>
        <w:rPr>
          <w:color w:val="2E75B5"/>
        </w:rPr>
      </w:pPr>
      <w:r>
        <w:rPr>
          <w:rFonts w:ascii="Arial" w:hAnsi="Arial"/>
          <w:color w:val="1F4E9B"/>
          <w:sz w:val="22"/>
          <w:highlight w:val="yellow"/>
        </w:rPr>
        <w:t>Figura 13 – Desempenho do modelo adotado em cada transição anual (2022→2023 e 2023→2024)</w:t>
      </w:r>
    </w:p>
    <w:p w14:paraId="3199E1D8">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0BCC53AB">
      <w:pPr>
        <w:pStyle w:val="3"/>
        <w:ind w:firstLine="0"/>
        <w:rPr>
          <w:color w:val="2E75B5"/>
        </w:rPr>
      </w:pPr>
      <w:r>
        <w:rPr>
          <w:rFonts w:ascii="Arial" w:hAnsi="Arial"/>
          <w:sz w:val="22"/>
        </w:rPr>
        <w:t>Figura 15 – Ganho prático da lista de prioridade em relação à escolha ao acaso</w:t>
      </w:r>
    </w:p>
    <w:p w14:paraId="243493A6">
      <w:pPr>
        <w:pStyle w:val="3"/>
        <w:ind w:firstLine="0"/>
        <w:rPr>
          <w:color w:val="2E75B5"/>
        </w:rPr>
      </w:pPr>
      <w:r>
        <w:rPr>
          <w:rFonts w:ascii="Arial" w:hAnsi="Arial"/>
          <w:sz w:val="22"/>
        </w:rPr>
        <w:t>Figura 16 – Acerto e alcance da lista para diferentes tamanhos de lista</w:t>
      </w:r>
    </w:p>
    <w:p w14:paraId="145FB100">
      <w:pPr>
        <w:pStyle w:val="3"/>
        <w:ind w:firstLine="0"/>
        <w:rPr>
          <w:color w:val="2E75B5"/>
        </w:rPr>
      </w:pPr>
      <w:r>
        <w:rPr>
          <w:rFonts w:ascii="Arial" w:hAnsi="Arial"/>
          <w:sz w:val="22"/>
        </w:rPr>
        <w:t>Figura 17 – Contribuição de cada característica para as previsões do sistema</w:t>
      </w:r>
    </w:p>
    <w:p w14:paraId="44E8BD78">
      <w:pPr>
        <w:pStyle w:val="3"/>
        <w:ind w:firstLine="0"/>
        <w:rPr>
          <w:color w:val="2E75B5"/>
        </w:rPr>
      </w:pPr>
      <w:r>
        <w:rPr>
          <w:rFonts w:ascii="Arial" w:hAnsi="Arial"/>
          <w:sz w:val="22"/>
        </w:rPr>
        <w:t>Figura 18 – Peso e direção de cada característica nas previsões do sistema</w:t>
      </w:r>
    </w:p>
    <w:p w14:paraId="4F99997E">
      <w:pPr>
        <w:pStyle w:val="3"/>
        <w:ind w:firstLine="0"/>
        <w:rPr>
          <w:color w:val="2E75B5"/>
        </w:rPr>
      </w:pPr>
      <w:r>
        <w:rPr>
          <w:rFonts w:ascii="Arial" w:hAnsi="Arial"/>
          <w:sz w:val="22"/>
        </w:rPr>
        <w:t>Figura 19 – Explicação individual da escola de maior risco previsto</w:t>
      </w:r>
    </w:p>
    <w:p w14:paraId="1A68FE01">
      <w:pPr>
        <w:pStyle w:val="3"/>
        <w:ind w:firstLine="0"/>
        <w:rPr>
          <w:color w:val="2E75B5"/>
        </w:rPr>
      </w:pPr>
      <w:r>
        <w:rPr>
          <w:rFonts w:ascii="Arial" w:hAnsi="Arial"/>
          <w:sz w:val="22"/>
        </w:rPr>
        <w:t>Figura 20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90CAEDE">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11370E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_Toc13940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_Toc13940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C3A69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_Toc26261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_Toc26261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BB861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_Toc3380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_Toc3380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5697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_Toc24453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_Toc24453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A9D6A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_Toc5243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_Toc5243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81FF5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_Toc13965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_Toc13965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A691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_Toc32619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_Toc32619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315E6B">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_Toc451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_Toc451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03C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_Toc25943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_Toc25943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38B75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_Toc13945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_Toc13945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325AB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_Toc23654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_Toc23654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2EB1F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_Toc14288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_Toc14288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965FF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_Toc12908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_Toc12908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91E4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_Toc32446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_Toc32446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A483849">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_Toc32074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_Toc32074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A415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_Toc20309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_Toc20309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0EE4B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_Toc18326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_Toc18326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5E568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_Toc19801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_Toc19801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234BA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_Toc872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_Toc872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6883E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_Toc4707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_Toc4707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3C3D80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_Toc31851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_Toc31851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14905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_Toc14873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_Toc14873 \h </w:instrText>
          </w:r>
          <w:r>
            <w:fldChar w:fldCharType="separate"/>
          </w:r>
          <w:r>
            <w:t>25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08B8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_Toc2988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D3A29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_Toc15695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_Toc15695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4CBC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_Toc8897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_Toc8897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F0D5F3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_Toc31499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_Toc31499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92A9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_Toc12600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_Toc12600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EFCA52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_Toc1728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_Toc1728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01E6B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_Toc15985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_Toc15985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F06DE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_Toc19766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_Toc19766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CCD21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_Toc9036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_Toc9036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038B5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_Toc28166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_Toc28166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87BE3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_Toc27226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_Toc27226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75D4D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_Toc21897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_Toc21897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C6BAF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_Toc21097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_Toc21097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53C779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_Toc17325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_Toc17325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AB33C3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_Toc3752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_Toc3752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61959A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_Toc3602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_Toc3602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D9E4F81">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_Toc30902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_Toc30902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17A5E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_Toc8274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_Toc8274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7CA11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_Toc19542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_Toc19542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7FA5E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_Toc4977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_Toc4977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BCA42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_Toc418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_Toc418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31E75A">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_Toc15798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_Toc15798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AC415A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_Toc16881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_Toc16881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8E7B1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_Toc26251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_Toc26251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6565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_Toc5323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_Toc5323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ABBE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_Toc26129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_Toc26129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8FE54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_Toc3487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_Toc3487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8FF8269">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_Toc30339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_Toc30339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A2EED4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_Toc18463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_Toc18463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DE204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_Toc28073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highlight w:val="yellow"/>
            </w:rPr>
            <w:t>Resultados em Cada Transição Anual</w:t>
          </w:r>
          <w:r>
            <w:tab/>
          </w:r>
          <w:r>
            <w:fldChar w:fldCharType="begin"/>
          </w:r>
          <w:r>
            <w:instrText xml:space="preserve"> PAGEREF _Toc28073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9E217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_Toc12385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_Toc12385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2013A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_Toc1766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_Toc1766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4674E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_Toc15680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_Toc15680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08F2C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_Toc27298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_Toc27298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17B361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_Toc13973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_Toc13973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803A96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_Toc17957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_Toc17957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A95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_Toc11821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_Toc11821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B0E34F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_Toc7960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_Toc7960 \h </w:instrText>
          </w:r>
          <w:r>
            <w:fldChar w:fldCharType="separate"/>
          </w:r>
          <w:r>
            <w:t>54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AA569E">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_Toc18879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_Toc18879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484810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_Toc10313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_Toc10313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25D0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_Toc11552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_Toc11552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5FFFF9">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_Toc18795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_Toc18795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A00C37">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_Toc3976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_Toc3976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3940"/>
      <w:r>
        <w:rPr>
          <w:rFonts w:ascii="Arial" w:hAnsi="Arial" w:eastAsia="Arial" w:cs="Arial"/>
          <w:b w:val="0"/>
        </w:rPr>
        <w:t>Introdução</w:t>
      </w:r>
      <w:bookmarkEnd w:id="1"/>
    </w:p>
    <w:p w14:paraId="71BF03DA">
      <w:pPr>
        <w:pStyle w:val="4"/>
        <w:numPr>
          <w:ilvl w:val="1"/>
          <w:numId w:val="1"/>
        </w:numPr>
      </w:pPr>
      <w:bookmarkStart w:id="2" w:name="_Toc26261"/>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380"/>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Pergunta de previsão (P2): 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24453"/>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5243"/>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13965"/>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2619"/>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51"/>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25943"/>
      <w:r>
        <w:rPr>
          <w:rFonts w:ascii="Arial" w:hAnsi="Arial" w:eastAsia="Arial" w:cs="Arial"/>
          <w:b w:val="0"/>
        </w:rPr>
        <w:t>Fundamentação Teórica</w:t>
      </w:r>
      <w:bookmarkEnd w:id="9"/>
    </w:p>
    <w:p w14:paraId="0ED2592D">
      <w:pPr>
        <w:pStyle w:val="5"/>
        <w:numPr>
          <w:ilvl w:val="2"/>
          <w:numId w:val="1"/>
        </w:numPr>
      </w:pPr>
      <w:bookmarkStart w:id="10" w:name="_Toc13945"/>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instituição de ensino. Tinto (1975), em um dos modelos teóricos mais influentes sobre o tema, descreve o abandono como resultado do baixo grau de integração acadêmica e social do estudante ao ambiente escolar, de modo que fatores individuais e institucionais se combinam ao longo do tempo até a decisão de sair. Rumberger (2011), ao revisar décadas de pesquisa sobre o ensino médio, reforça essa leitura processual e chama atenção para o caráter multinível do fenômeno: além das características do aluno — desempenho, defasagem idade-série e condição socioeconômica —, pesam atributos da própria escola e do território em que ela se insere.</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23654"/>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Romero e Ventura (2010) definem a área como o desenvolvimento de métodos para explorar os dados originados em contextos de ensino, com o objetivo de compreender melhor os estudantes e os ambientes de aprendizagem. Baker e Yacef (2009), ao revisarem o estado do campo, apontam a predição como uma de suas tarefas centrais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 a partir de variáveis escolares e socioeconômicas.</w:t>
      </w:r>
    </w:p>
    <w:p w14:paraId="73A69EFE">
      <w:pPr>
        <w:pStyle w:val="5"/>
        <w:numPr>
          <w:ilvl w:val="2"/>
          <w:numId w:val="1"/>
        </w:numPr>
      </w:pPr>
      <w:bookmarkStart w:id="12" w:name="_Toc1428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12908"/>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boosting são frequentemente descritos como caixas-pretas, pois a relação entre suas entradas e saídas não é diretamente legível. Em decisões de interesse público, saber por que uma previsão foi feita é tão importante quanto a previsão em si. Duas técnicas tornaram-se referência para explicar previsões de qualquer modelo: o LIME, de Ribeiro, Singh e Guestrin (2016), que aproxima localmente o modelo por um substituto interpretável; e o SHAP, de Lundberg e Lee (2017), que atribui a cada atributo uma contribuição para a previsão com base na teoria dos valores de Shapley, oferecendo explicações consistentes tanto no nível individual quanto no global. Molnar (2022) sistematiza esse conjunto de métodos e argumenta que a interpretabilidade é condição para a confiança e a auditabilidade de sistemas preditivos. Este trabalho adota o SHAP para explicar o risco previsto de cada escola.</w:t>
      </w:r>
    </w:p>
    <w:p w14:paraId="23F01F44">
      <w:pPr>
        <w:pStyle w:val="4"/>
        <w:numPr>
          <w:ilvl w:val="1"/>
          <w:numId w:val="1"/>
        </w:numPr>
      </w:pPr>
      <w:bookmarkStart w:id="14" w:name="_Toc32446"/>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o volume e a orientação da produção nacional: Jesus e Gusmão (2024) analisaram 336 estudos, e Nascimento et al. (2024) revisaram a literatura sobre técnicas de mineração de dados aplicadas à evasão estudantil, ambos evidenciando o predomínio de abordagens de classificação e a concentração de trabalhos no ensino superior. Ainda no contexto brasileiro,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Bowers, Sprott e Taff (2013) revisaram 110 indicadores de risco de abandono em 36 estudos e mostraram, por meio de análise ROC, que muitos indicadores usuais têm alta precisão mas baixa acurácia, sendo os mais confiáveis aqueles baseados em desempenho e trajetória. Esse resultado justifica avaliar um sistema de priorização não apenas por seu erro médio, mas por sua capacidade de ordenar corretamente as escolas de maior risco — critério adotado neste trabalho. Cabe registrar, por fim, uma lacuna: a maior parte da literatura opera no nível do estudante e no ensino superior, ao passo que esta monografia toma a escola como unidade de análise na educação básica, combinando dados públicos, um modelo de boosting e explicações por SHAP para apoiar a priorização de intervenções pela gestão estadual.</w:t>
      </w:r>
    </w:p>
    <w:p w14:paraId="1319101A">
      <w:pPr>
        <w:pStyle w:val="2"/>
        <w:numPr>
          <w:ilvl w:val="0"/>
          <w:numId w:val="1"/>
        </w:numPr>
        <w:rPr>
          <w:color w:val="000000"/>
        </w:rPr>
      </w:pPr>
      <w:bookmarkStart w:id="15" w:name="_Toc32074"/>
      <w:r>
        <w:rPr>
          <w:rFonts w:ascii="Arial" w:hAnsi="Arial" w:eastAsia="Arial" w:cs="Arial"/>
          <w:b w:val="0"/>
        </w:rPr>
        <w:t>Método de Desenvolvimento</w:t>
      </w:r>
      <w:bookmarkEnd w:id="15"/>
    </w:p>
    <w:p w14:paraId="39EFBDEF">
      <w:pPr>
        <w:pStyle w:val="4"/>
        <w:numPr>
          <w:ilvl w:val="1"/>
          <w:numId w:val="1"/>
        </w:numPr>
      </w:pPr>
      <w:bookmarkStart w:id="16" w:name="_Toc20309"/>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7" w:name="_Toc18326"/>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19801"/>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872"/>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20" w:name="_Toc470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3185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O sistema usa 39. A redução é deliberada: com 1.586 observações, manter centenas de colunas faria o sistema decorar a base em vez de aprender o padrão — ele acertaria o passado e erraria o ano seguinte.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14873"/>
      <w:r>
        <w:rPr>
          <w:rFonts w:ascii="Arial" w:hAnsi="Arial" w:eastAsia="Arial" w:cs="Arial"/>
          <w:b w:val="0"/>
        </w:rPr>
        <w:t>Construção e Ajuste do Modelo de Previsão</w:t>
      </w:r>
      <w:bookmarkEnd w:id="22"/>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23" w:name="_Toc2988"/>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24" w:name="_Toc15695"/>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5" w:name="_Toc8897"/>
      <w:r>
        <w:rPr>
          <w:rFonts w:ascii="Arial" w:hAnsi="Arial" w:eastAsia="Arial" w:cs="Arial"/>
          <w:b w:val="0"/>
        </w:rPr>
        <w:t>Práticas de Engenharia de Software</w:t>
      </w:r>
      <w:bookmarkEnd w:id="25"/>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6" w:name="_Toc31499"/>
      <w:r>
        <w:rPr>
          <w:rFonts w:ascii="Arial" w:hAnsi="Arial" w:eastAsia="Arial" w:cs="Arial"/>
          <w:b w:val="0"/>
        </w:rPr>
        <w:t>Arquitetura do Software</w:t>
      </w:r>
      <w:bookmarkEnd w:id="26"/>
    </w:p>
    <w:p w14:paraId="527CA8A8">
      <w:pPr>
        <w:pStyle w:val="4"/>
        <w:numPr>
          <w:ilvl w:val="1"/>
          <w:numId w:val="1"/>
        </w:numPr>
      </w:pPr>
      <w:bookmarkStart w:id="27" w:name="_Toc12600"/>
      <w:r>
        <w:rPr>
          <w:rFonts w:ascii="Arial" w:hAnsi="Arial" w:eastAsia="Arial" w:cs="Arial"/>
          <w:b w:val="0"/>
        </w:rPr>
        <w:t>Aspectos Funcionais e Não-Funcionais</w:t>
      </w:r>
      <w:bookmarkEnd w:id="27"/>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8" w:name="_Toc1728"/>
      <w:r>
        <w:rPr>
          <w:rFonts w:ascii="Arial" w:hAnsi="Arial" w:eastAsia="Arial" w:cs="Arial"/>
          <w:b w:val="0"/>
        </w:rPr>
        <w:t>Visão Estrutural</w:t>
      </w:r>
      <w:bookmarkEnd w:id="28"/>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características depende da camada de dados; a camada de modelo depende da de características;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9" w:name="_Toc15985"/>
      <w:r>
        <w:rPr>
          <w:rFonts w:ascii="Arial" w:hAnsi="Arial" w:eastAsia="Arial" w:cs="Arial"/>
          <w:b w:val="0"/>
        </w:rPr>
        <w:t>Visão Comportamental</w:t>
      </w:r>
      <w:bookmarkEnd w:id="29"/>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0" w:name="_Toc19766"/>
      <w:r>
        <w:rPr>
          <w:rFonts w:ascii="Arial" w:hAnsi="Arial" w:eastAsia="Arial" w:cs="Arial"/>
          <w:b w:val="0"/>
        </w:rPr>
        <w:t>Visão de Implementação e Implantação</w:t>
      </w:r>
      <w:bookmarkEnd w:id="30"/>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1" w:name="_Toc9036"/>
      <w:r>
        <w:rPr>
          <w:rFonts w:ascii="Arial" w:hAnsi="Arial" w:eastAsia="Arial" w:cs="Arial"/>
          <w:b w:val="0"/>
        </w:rPr>
        <w:t>Tecnologias e Aspectos de Implementação</w:t>
      </w:r>
      <w:bookmarkEnd w:id="31"/>
    </w:p>
    <w:p w14:paraId="6E080A24">
      <w:pPr>
        <w:pStyle w:val="4"/>
        <w:numPr>
          <w:ilvl w:val="1"/>
          <w:numId w:val="1"/>
        </w:numPr>
      </w:pPr>
      <w:bookmarkStart w:id="32" w:name="_Toc28166"/>
      <w:r>
        <w:rPr>
          <w:rFonts w:ascii="Arial" w:hAnsi="Arial" w:eastAsia="Arial" w:cs="Arial"/>
          <w:b w:val="0"/>
        </w:rPr>
        <w:t>Soluções de Tecnologia</w:t>
      </w:r>
      <w:bookmarkEnd w:id="32"/>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características,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3" w:name="_Toc27226"/>
      <w:r>
        <w:rPr>
          <w:rFonts w:ascii="Arial" w:hAnsi="Arial" w:eastAsia="Arial" w:cs="Arial"/>
          <w:b w:val="0"/>
        </w:rPr>
        <w:t>Aspectos de Implementação</w:t>
      </w:r>
      <w:bookmarkEnd w:id="33"/>
    </w:p>
    <w:p w14:paraId="1D664FD8">
      <w:pPr>
        <w:pStyle w:val="5"/>
        <w:numPr>
          <w:ilvl w:val="2"/>
          <w:numId w:val="1"/>
        </w:numPr>
      </w:pPr>
      <w:bookmarkStart w:id="34" w:name="_Toc21897"/>
      <w:r>
        <w:rPr>
          <w:rFonts w:ascii="Arial" w:hAnsi="Arial" w:eastAsia="Arial" w:cs="Arial"/>
          <w:b w:val="0"/>
        </w:rPr>
        <w:t>Estrutura do Código</w:t>
      </w:r>
      <w:bookmarkEnd w:id="34"/>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5" w:name="_Toc21097"/>
      <w:r>
        <w:rPr>
          <w:rFonts w:ascii="Arial" w:hAnsi="Arial" w:eastAsia="Arial" w:cs="Arial"/>
          <w:b w:val="0"/>
        </w:rPr>
        <w:t>Fluxo dos Dados</w:t>
      </w:r>
      <w:bookmarkEnd w:id="35"/>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6" w:name="_Toc17325"/>
      <w:r>
        <w:rPr>
          <w:rFonts w:ascii="Arial" w:hAnsi="Arial" w:eastAsia="Arial" w:cs="Arial"/>
          <w:b w:val="0"/>
        </w:rPr>
        <w:t>Painel Interativo</w:t>
      </w:r>
      <w:bookmarkEnd w:id="36"/>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7" w:name="_Toc3752"/>
      <w:r>
        <w:rPr>
          <w:rFonts w:ascii="Arial" w:hAnsi="Arial" w:eastAsia="Arial" w:cs="Arial"/>
          <w:b w:val="0"/>
        </w:rPr>
        <w:t>Testes Automatizados</w:t>
      </w:r>
      <w:bookmarkEnd w:id="37"/>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as características e o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8" w:name="_Toc3602"/>
      <w:r>
        <w:rPr>
          <w:rFonts w:ascii="Arial" w:hAnsi="Arial" w:eastAsia="Arial" w:cs="Arial"/>
          <w:b w:val="0"/>
        </w:rPr>
        <w:t>Gerenciamento de Dependências</w:t>
      </w:r>
      <w:bookmarkEnd w:id="38"/>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9" w:name="_Toc30902"/>
      <w:r>
        <w:rPr>
          <w:rFonts w:ascii="Arial" w:hAnsi="Arial" w:eastAsia="Arial" w:cs="Arial"/>
          <w:b w:val="0"/>
        </w:rPr>
        <w:t>Testes e Análise dos Resultados</w:t>
      </w:r>
      <w:bookmarkEnd w:id="39"/>
    </w:p>
    <w:p w14:paraId="5264F51A">
      <w:pPr>
        <w:pStyle w:val="4"/>
        <w:numPr>
          <w:ilvl w:val="1"/>
          <w:numId w:val="1"/>
        </w:numPr>
      </w:pPr>
      <w:bookmarkStart w:id="40" w:name="_Toc8274"/>
      <w:r>
        <w:rPr>
          <w:rFonts w:ascii="Arial" w:hAnsi="Arial" w:eastAsia="Arial" w:cs="Arial"/>
          <w:b w:val="0"/>
        </w:rPr>
        <w:t>Testes de Software</w:t>
      </w:r>
      <w:bookmarkEnd w:id="40"/>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as características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41" w:name="_Toc19542"/>
      <w:r>
        <w:rPr>
          <w:rFonts w:ascii="Arial" w:hAnsi="Arial" w:eastAsia="Arial" w:cs="Arial"/>
          <w:b w:val="0"/>
        </w:rPr>
        <w:t>Caracterização dos Dados e Análise das Características Usadas</w:t>
      </w:r>
      <w:bookmarkEnd w:id="41"/>
    </w:p>
    <w:p w14:paraId="4D464269">
      <w:pPr>
        <w:pStyle w:val="5"/>
        <w:numPr>
          <w:ilvl w:val="2"/>
          <w:numId w:val="1"/>
        </w:numPr>
      </w:pPr>
      <w:bookmarkStart w:id="42" w:name="_Toc4977"/>
      <w:r>
        <w:rPr>
          <w:rFonts w:ascii="Arial" w:hAnsi="Arial" w:eastAsia="Arial" w:cs="Arial"/>
          <w:b w:val="0"/>
        </w:rPr>
        <w:t>Base Construída</w:t>
      </w:r>
      <w:bookmarkEnd w:id="42"/>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39 características e nenhuma lacuna. O Quadro 6 detalha a passagem de um total ao outro.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D9B71D0">
      <w:pPr>
        <w:pStyle w:val="3"/>
        <w:ind w:firstLine="0"/>
        <w:rPr>
          <w:color w:val="2E75B5"/>
        </w:rPr>
      </w:pPr>
      <w:r>
        <w:rPr>
          <w:rFonts w:ascii="Arial" w:hAnsi="Arial" w:eastAsia="Arial" w:cs="Arial"/>
          <w:b w:val="0"/>
        </w:rPr>
        <w:t>A diferença entre os dois totais não decorre de descarte por qualidade. O sistema aprende com pares: os atributos da escola em um ano e o abandono observado no ano seguinte. Com três anos de painel formam-se apenas dois pares por escola — 2022 para 2023 e 2023 para 2024 —, de modo que as 791 linhas de 2024 não servem de origem, por não haver 2025 a observar. Elas não são perdidas: são justamente o alvo das linhas de 2023. Descontadas essas, restam 1.601 pares potenciais, dos quais 15 não se completam porque a escola não aparece no ano seguinte, tendo saído da rede ou deixado de ofertar Ensino Médio. Chega-se assim às 1.586 observações de escola e ano usadas na previsão.</w:t>
      </w:r>
    </w:p>
    <w:p w14:paraId="79C78634">
      <w:pPr>
        <w:pStyle w:val="5"/>
        <w:numPr>
          <w:ilvl w:val="2"/>
          <w:numId w:val="1"/>
        </w:numPr>
      </w:pPr>
      <w:bookmarkStart w:id="43" w:name="_Toc418"/>
      <w:r>
        <w:rPr>
          <w:rFonts w:ascii="Arial" w:hAnsi="Arial" w:eastAsia="Arial" w:cs="Arial"/>
          <w:b w:val="0"/>
        </w:rPr>
        <w:t>O Que o Sistema Prevê</w:t>
      </w:r>
      <w:bookmarkEnd w:id="43"/>
    </w:p>
    <w:p w14:paraId="5A81BC93">
      <w:pPr>
        <w:pStyle w:val="3"/>
        <w:ind w:firstLine="0"/>
        <w:rPr>
          <w:color w:val="2E75B5"/>
        </w:rPr>
      </w:pPr>
      <w:r>
        <w:rPr>
          <w:rFonts w:ascii="Arial" w:hAnsi="Arial" w:eastAsia="Arial" w:cs="Arial"/>
          <w:b w:val="0"/>
        </w:rPr>
        <w:t>O sistema prevê um único indicador: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 a maioria das escolas não registra abandono no ano. A segunda: o risco é muito desigual entre grupos. Em 2024 a taxa média foi de 0,6% nas 680 escolas urbanas (desvio-padrão de 1,8 ponto), 0,9% nas 70 rurais (desvio-padrão de 1,8) e 6,6% nas 40 escolas indígenas e quilombolas (desvio-padrão de 9,0). O desvio elevado neste último grupo mostra que a média alta não é uniforme: convivem escolas sem abandono algum e escolas com taxas acima de 30%.</w:t>
      </w:r>
    </w:p>
    <w:p w14:paraId="19559515">
      <w:pPr>
        <w:pStyle w:val="3"/>
        <w:ind w:firstLine="0"/>
        <w:rPr>
          <w:color w:val="2E75B5"/>
        </w:rPr>
      </w:pPr>
      <w:r>
        <w:rPr>
          <w:rFonts w:ascii="Arial" w:hAnsi="Arial" w:eastAsia="Arial" w:cs="Arial"/>
          <w:b w:val="0"/>
        </w:rPr>
        <w:t>A Figura 7 resume esses dois traços. No painel da esquerda, as observações de escola e ano estão distribuídas por faixa de abandono: a barra “nenhum abandono” concentra 68% dos casos, e as faixas seguintes — de baixo a crítico — encolhem rapidamente, de modo que apenas 2% das observações superam 10% de abandono. No painel da direita está a taxa média de 2024 por grupo de localização, que torna visível a desigualdade descrita acima: as barras urbana e rural ficam próximas de zero, enquanto a das escolas indígenas e quilombolas se destaca, mais de dez vezes acima. Juntos, os dois painéis explicam por que o valor médio da taxa diz pouco e por que o esforço do sistema se volta para ordenar as escolas por risco.</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4" w:name="_Toc15798"/>
      <w:r>
        <w:rPr>
          <w:rFonts w:ascii="Arial" w:hAnsi="Arial" w:eastAsia="Arial" w:cs="Arial"/>
          <w:b w:val="0"/>
        </w:rPr>
        <w:t>Análise Estatística das Características Contínuas</w:t>
      </w:r>
      <w:bookmarkEnd w:id="44"/>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Quatro famílias de indicadores aparecem no quadro e merecem definição. As taxas de abandono e de reprovação do ano anterior são percentuais de matrículas publicados pelo INEP, apresentados para o Ensino Médio como um todo e para cada série. A distorção idade-série é o percentual de alunos com dois anos ou mais acima da idade esperada para a série que cursam. O nível socioeconômico (INSE) é uma escala contínua calculada pelo INEP a partir do perfil das famílias dos alunos — escolaridade dos pais, renda e bens do domicílio —, em que valores maiores indicam comunidades mais favorecidas: entre as 69.820 escolas brasileiras avaliadas em 2021 ela vai de 2,45 a 6,85, e nesta rede varia de 2,97 a 6,10, com média de 4,46. A adequação da formação docente reparte os professores da escola em cinco grupos que somam 100%: o Grupo 1 reúne os que têm licenciatura na própria disciplina que lecionam — a formação considerada ideal —, o Grupo 3 os que têm licenciatura em área diferente da que lecionam, e o Grupo 5 os que não têm ensino superior. Apenas esses três entram no sistema, por resumirem os dois extremos e o caso intermediário mais comum. 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e o desvio-padrão diz o quanto as escolas se afastam dele: quanto maior, mais desigual é a rede naquela característica. Mínimo, mediana e máximo descrevem a distribuição — a mediana é o valor que divide a rede ao meio e, quando fica muito abaixo da média, indica que poucas escolas com valores altos puxam o resultado para cima. A última coluna resume a relação de cada característica com o abandono do ano seguinte por um indicador que varia de −1 a +1: positivo significa que a característica acompanha o aumento do abandono; negativo, que acompanha a redução; e quanto mais distante de zero, mais forte a associação. Os asteriscos indicam a confiança do resultado (* 95%, ** 99%, *** 99,9%); sem asterisco, a relação não se distingue do acaso. As unidades variam conforme a linha: as taxas de abandono, de reprovação e de distorção idade-série, assim como as proporções de matrícula e de formação docente, estão em pontos percentuais; as demais seguem as escalas descritas acima. O porte é a única característica transformada: entra no sistema como logaritmo do número de matrículas, para que escolas muito grandes não dominem a comparação, de modo que a mediana de 5,87 do quadro corresponde a cerca de 350 matrículas.</w:t>
      </w: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agregam a 1ª, 2ª e 3ª séries, a 4ª série e a matrícula não seriada (educação de jovens e adultos e organização modular). Por isso o valor da rede pode superar o máximo observado em qualquer série isolada: o máximo de 55,3% na reprovação corresponde a uma escola cuja matrícula de Ensino Médio é integralmente não seriada. As 283 observações nessa situação — 17,8% do conjunto —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características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5" w:name="_Toc16881"/>
      <w:r>
        <w:rPr>
          <w:rFonts w:ascii="Arial" w:hAnsi="Arial" w:eastAsia="Arial" w:cs="Arial"/>
          <w:b w:val="0"/>
        </w:rPr>
        <w:t>Análise Estatística das Características de Sim ou Não</w:t>
      </w:r>
      <w:bookmarkEnd w:id="45"/>
    </w:p>
    <w:p w14:paraId="5679240A">
      <w:pPr>
        <w:pStyle w:val="3"/>
        <w:ind w:firstLine="0"/>
        <w:rPr>
          <w:color w:val="2E75B5"/>
        </w:rPr>
      </w:pPr>
      <w:r>
        <w:rPr>
          <w:rFonts w:ascii="Arial" w:hAnsi="Arial" w:eastAsia="Arial" w:cs="Arial"/>
          <w:b w:val="0"/>
        </w:rPr>
        <w:t>As 15 características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e vale distingui-las. As duas primeiras colunas repartem as 1.586 observações em dois grupos — as escolas que têm o atributo e as que não têm — e por isso se completam: somadas, dão o total da rede. As duas colunas seguintes são de outra natureza: cada uma traz a taxa média de abandono no ano seguinte dentro de um desses grupos. São duas médias do mesmo indicador, medidas em conjuntos diferentes de escolas, e não há razão para que se somem a 100% —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são estatisticamente distinguíveis do acaso e não devem ser lidas como efeito do atributo.</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32314"/>
                    </a:xfrm>
                    <a:prstGeom prst="rect">
                      <a:avLst/>
                    </a:prstGeom>
                  </pic:spPr>
                </pic:pic>
              </a:graphicData>
            </a:graphic>
          </wp:anchor>
        </w:drawing>
      </w:r>
      <w:r>
        <w:rPr>
          <w:rFonts w:ascii="Arial" w:hAnsi="Arial" w:eastAsia="Arial" w:cs="Arial"/>
          <w:b w:val="0"/>
          <w:sz w:val="20"/>
        </w:rPr>
        <w:t>Figura 9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6" w:name="_Toc26251"/>
      <w:r>
        <w:rPr>
          <w:rFonts w:ascii="Arial" w:hAnsi="Arial" w:eastAsia="Arial" w:cs="Arial"/>
          <w:b w:val="0"/>
        </w:rPr>
        <w:t>A Região do Estado</w:t>
      </w:r>
      <w:bookmarkEnd w:id="46"/>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características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7" w:name="_Toc5323"/>
      <w:r>
        <w:rPr>
          <w:rFonts w:ascii="Arial" w:hAnsi="Arial" w:eastAsia="Arial" w:cs="Arial"/>
          <w:b w:val="0"/>
        </w:rPr>
        <w:t>Quais Características Têm Valor para a Previsão</w:t>
      </w:r>
      <w:bookmarkEnd w:id="47"/>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característica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63600EC3">
      <w:pPr>
        <w:pStyle w:val="3"/>
        <w:ind w:firstLine="0"/>
        <w:rPr>
          <w:color w:val="2E75B5"/>
        </w:rPr>
      </w:pPr>
      <w:r>
        <w:rPr>
          <w:rFonts w:ascii="Arial" w:hAnsi="Arial" w:eastAsia="Arial" w:cs="Arial"/>
          <w:b w:val="0"/>
        </w:rPr>
        <w:t>Concluída a caracterização das escolas e de suas características, o critério que orienta o restante do capítulo já se delineia. Como o que se exige do sistema é colocar no topo da lista as escolas que de fato terão abandono alto, a avaliação a seguir julga sobretudo a ordem prevista, e não o valor exato da taxa — é essa ordem que a próxima seção mede.</w:t>
      </w:r>
    </w:p>
    <w:p w14:paraId="3F71063F">
      <w:pPr>
        <w:pStyle w:val="4"/>
        <w:numPr>
          <w:ilvl w:val="1"/>
          <w:numId w:val="1"/>
        </w:numPr>
      </w:pPr>
      <w:bookmarkStart w:id="48" w:name="_Toc26129"/>
      <w:r>
        <w:rPr>
          <w:rFonts w:ascii="Arial" w:hAnsi="Arial" w:eastAsia="Arial" w:cs="Arial"/>
          <w:b w:val="0"/>
        </w:rPr>
        <w:t>Desempenho do Sistema</w:t>
      </w:r>
      <w:bookmarkEnd w:id="48"/>
    </w:p>
    <w:p w14:paraId="4805032B">
      <w:pPr>
        <w:pStyle w:val="5"/>
        <w:numPr>
          <w:ilvl w:val="2"/>
          <w:numId w:val="1"/>
        </w:numPr>
      </w:pPr>
      <w:bookmarkStart w:id="49" w:name="_Toc3487"/>
      <w:r>
        <w:rPr>
          <w:rFonts w:ascii="Arial" w:hAnsi="Arial" w:eastAsia="Arial" w:cs="Arial"/>
          <w:b w:val="0"/>
        </w:rPr>
        <w:t>Como o Desempenho Foi Medido</w:t>
      </w:r>
      <w:bookmarkEnd w:id="49"/>
    </w:p>
    <w:p w14:paraId="22E30C10">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50" w:name="_Toc30339"/>
      <w:r>
        <w:rPr>
          <w:rFonts w:ascii="Arial" w:hAnsi="Arial" w:eastAsia="Arial" w:cs="Arial"/>
          <w:b w:val="0"/>
        </w:rPr>
        <w:t>Resultados em Validação Repetida</w:t>
      </w:r>
      <w:bookmarkEnd w:id="50"/>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em relação à média da rede. Os três modelos ficam praticamente empatados na ordenação — seus intervalos de confiança se sobrepõem, sem vencedor claro —, e o modelo adotado acompanha os demais: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1" w:name="_Toc18463"/>
      <w:r>
        <w:rPr>
          <w:rFonts w:ascii="Arial" w:hAnsi="Arial" w:eastAsia="Arial" w:cs="Arial"/>
          <w:b w:val="0"/>
        </w:rPr>
        <w:t>Resultados no Teste do Ano Nunca Visto</w:t>
      </w:r>
      <w:bookmarkEnd w:id="51"/>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0,798 para o modelo adotado, na faixa típica dos estudos da área.</w:t>
      </w:r>
    </w:p>
    <w:p w14:paraId="24977E46">
      <w:pPr>
        <w:pStyle w:val="5"/>
        <w:numPr>
          <w:ilvl w:val="2"/>
          <w:numId w:val="1"/>
        </w:numPr>
      </w:pPr>
      <w:bookmarkStart w:id="52" w:name="_Toc28073"/>
      <w:r>
        <w:rPr>
          <w:rFonts w:ascii="Arial" w:hAnsi="Arial" w:eastAsia="Arial" w:cs="Arial"/>
          <w:b w:val="0"/>
          <w:color w:val="1F4E9B"/>
          <w:highlight w:val="yellow"/>
        </w:rPr>
        <w:t>Resultados em Cada Transição Anual</w:t>
      </w:r>
      <w:bookmarkEnd w:id="52"/>
    </w:p>
    <w:p w14:paraId="68971E2A">
      <w:pPr>
        <w:pStyle w:val="3"/>
        <w:ind w:firstLine="0"/>
        <w:rPr>
          <w:color w:val="2E75B5"/>
        </w:rPr>
      </w:pPr>
      <w:r>
        <w:rPr>
          <w:rFonts w:ascii="Arial" w:hAnsi="Arial" w:eastAsia="Arial" w:cs="Arial"/>
          <w:b w:val="0"/>
          <w:color w:val="1F4E9B"/>
          <w:highlight w:val="yellow"/>
        </w:rPr>
        <w:t>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w:t>
      </w:r>
    </w:p>
    <w:p w14:paraId="07971620">
      <w:pPr>
        <w:pStyle w:val="3"/>
        <w:ind w:firstLine="0"/>
        <w:rPr>
          <w:color w:val="2E75B5"/>
        </w:rPr>
      </w:pPr>
      <w:r>
        <w:rPr>
          <w:rFonts w:ascii="Arial" w:hAnsi="Arial"/>
          <w:color w:val="1F4E9B"/>
          <w:sz w:val="22"/>
          <w:highlight w:val="yellow"/>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color w:val="1F4E9B"/>
                <w:sz w:val="18"/>
                <w:highlight w:val="yellow"/>
              </w:rPr>
              <w:t>Indicador de desempenho</w:t>
            </w:r>
          </w:p>
        </w:tc>
        <w:tc>
          <w:tcPr>
            <w:tcW w:w="2484" w:type="dxa"/>
          </w:tcPr>
          <w:p w14:paraId="434758FF">
            <w:r>
              <w:rPr>
                <w:rFonts w:ascii="Arial" w:hAnsi="Arial" w:eastAsia="Arial" w:cs="Arial"/>
                <w:b/>
                <w:color w:val="1F4E9B"/>
                <w:sz w:val="18"/>
                <w:highlight w:val="yellow"/>
              </w:rPr>
              <w:t>Cenário 2022 → 2023</w:t>
            </w:r>
          </w:p>
        </w:tc>
        <w:tc>
          <w:tcPr>
            <w:tcW w:w="2484" w:type="dxa"/>
          </w:tcPr>
          <w:p w14:paraId="7D368DAD">
            <w:r>
              <w:rPr>
                <w:rFonts w:ascii="Arial" w:hAnsi="Arial" w:eastAsia="Arial" w:cs="Arial"/>
                <w:b/>
                <w:color w:val="1F4E9B"/>
                <w:sz w:val="18"/>
                <w:highlight w:val="yellow"/>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color w:val="1F4E9B"/>
                <w:sz w:val="18"/>
                <w:highlight w:val="yellow"/>
              </w:rPr>
              <w:t>Erro médio da taxa, p.p. (RMSE) — menor é melhor</w:t>
            </w:r>
          </w:p>
        </w:tc>
        <w:tc>
          <w:tcPr>
            <w:tcW w:w="2484" w:type="dxa"/>
          </w:tcPr>
          <w:p w14:paraId="290B08DD">
            <w:r>
              <w:rPr>
                <w:rFonts w:ascii="Arial" w:hAnsi="Arial" w:eastAsia="Arial" w:cs="Arial"/>
                <w:b w:val="0"/>
                <w:color w:val="1F4E9B"/>
                <w:sz w:val="18"/>
                <w:highlight w:val="yellow"/>
              </w:rPr>
              <w:t>2,82 ± 0,34</w:t>
            </w:r>
          </w:p>
        </w:tc>
        <w:tc>
          <w:tcPr>
            <w:tcW w:w="2484" w:type="dxa"/>
          </w:tcPr>
          <w:p w14:paraId="4AFD25CB">
            <w:r>
              <w:rPr>
                <w:rFonts w:ascii="Arial" w:hAnsi="Arial" w:eastAsia="Arial" w:cs="Arial"/>
                <w:b w:val="0"/>
                <w:color w:val="1F4E9B"/>
                <w:sz w:val="18"/>
                <w:highlight w:val="yellow"/>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color w:val="1F4E9B"/>
                <w:sz w:val="18"/>
                <w:highlight w:val="yellow"/>
              </w:rPr>
              <w:t>Acerto da ordenação, de 0 a 1 (Spearman)</w:t>
            </w:r>
          </w:p>
        </w:tc>
        <w:tc>
          <w:tcPr>
            <w:tcW w:w="2484" w:type="dxa"/>
          </w:tcPr>
          <w:p w14:paraId="44C44AAA">
            <w:r>
              <w:rPr>
                <w:rFonts w:ascii="Arial" w:hAnsi="Arial" w:eastAsia="Arial" w:cs="Arial"/>
                <w:b w:val="0"/>
                <w:color w:val="1F4E9B"/>
                <w:sz w:val="18"/>
                <w:highlight w:val="yellow"/>
              </w:rPr>
              <w:t>0,469 ± 0,039</w:t>
            </w:r>
          </w:p>
        </w:tc>
        <w:tc>
          <w:tcPr>
            <w:tcW w:w="2484" w:type="dxa"/>
          </w:tcPr>
          <w:p w14:paraId="3904D936">
            <w:r>
              <w:rPr>
                <w:rFonts w:ascii="Arial" w:hAnsi="Arial" w:eastAsia="Arial" w:cs="Arial"/>
                <w:b w:val="0"/>
                <w:color w:val="1F4E9B"/>
                <w:sz w:val="18"/>
                <w:highlight w:val="yellow"/>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color w:val="1F4E9B"/>
                <w:sz w:val="18"/>
                <w:highlight w:val="yellow"/>
              </w:rPr>
              <w:t>Acerto na lista prioritária, top 10% (Precision@K)</w:t>
            </w:r>
          </w:p>
        </w:tc>
        <w:tc>
          <w:tcPr>
            <w:tcW w:w="2484" w:type="dxa"/>
          </w:tcPr>
          <w:p w14:paraId="05EBC5C6">
            <w:r>
              <w:rPr>
                <w:rFonts w:ascii="Arial" w:hAnsi="Arial" w:eastAsia="Arial" w:cs="Arial"/>
                <w:b w:val="0"/>
                <w:color w:val="1F4E9B"/>
                <w:sz w:val="18"/>
                <w:highlight w:val="yellow"/>
              </w:rPr>
              <w:t>0,627 ± 0,060</w:t>
            </w:r>
          </w:p>
        </w:tc>
        <w:tc>
          <w:tcPr>
            <w:tcW w:w="2484" w:type="dxa"/>
          </w:tcPr>
          <w:p w14:paraId="5ADDB3E1">
            <w:r>
              <w:rPr>
                <w:rFonts w:ascii="Arial" w:hAnsi="Arial" w:eastAsia="Arial" w:cs="Arial"/>
                <w:b w:val="0"/>
                <w:color w:val="1F4E9B"/>
                <w:sz w:val="18"/>
                <w:highlight w:val="yellow"/>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color w:val="1F4E9B"/>
                <w:sz w:val="18"/>
                <w:highlight w:val="yellow"/>
              </w:rPr>
              <w:t>Separação alto/baixo risco (ROC-AUC)</w:t>
            </w:r>
          </w:p>
        </w:tc>
        <w:tc>
          <w:tcPr>
            <w:tcW w:w="2484" w:type="dxa"/>
          </w:tcPr>
          <w:p w14:paraId="240799C6">
            <w:r>
              <w:rPr>
                <w:rFonts w:ascii="Arial" w:hAnsi="Arial" w:eastAsia="Arial" w:cs="Arial"/>
                <w:b w:val="0"/>
                <w:color w:val="1F4E9B"/>
                <w:sz w:val="18"/>
                <w:highlight w:val="yellow"/>
              </w:rPr>
              <w:t>0,901 ± 0,035</w:t>
            </w:r>
          </w:p>
        </w:tc>
        <w:tc>
          <w:tcPr>
            <w:tcW w:w="2484" w:type="dxa"/>
          </w:tcPr>
          <w:p w14:paraId="1B1D9CD6">
            <w:r>
              <w:rPr>
                <w:rFonts w:ascii="Arial" w:hAnsi="Arial" w:eastAsia="Arial" w:cs="Arial"/>
                <w:b w:val="0"/>
                <w:color w:val="1F4E9B"/>
                <w:sz w:val="18"/>
                <w:highlight w:val="yellow"/>
              </w:rPr>
              <w:t>0,813 ± 0,019</w:t>
            </w:r>
          </w:p>
        </w:tc>
      </w:tr>
    </w:tbl>
    <w:p w14:paraId="1C5D7AC1">
      <w:pPr>
        <w:pStyle w:val="3"/>
        <w:ind w:firstLine="0"/>
        <w:rPr>
          <w:color w:val="2E75B5"/>
        </w:rPr>
      </w:pPr>
      <w:r>
        <w:rPr>
          <w:rFonts w:ascii="Arial" w:hAnsi="Arial"/>
          <w:color w:val="1F4E9B"/>
          <w:sz w:val="22"/>
          <w:highlight w:val="yellow"/>
        </w:rPr>
        <w:t>Fonte: elaborado pelo autor.</w:t>
      </w:r>
    </w:p>
    <w:p w14:paraId="326796B6">
      <w:pPr>
        <w:pStyle w:val="3"/>
        <w:ind w:firstLine="0"/>
        <w:rPr>
          <w:color w:val="2E75B5"/>
        </w:rPr>
      </w:pPr>
      <w:r>
        <w:rPr>
          <w:rFonts w:ascii="Arial" w:hAnsi="Arial" w:eastAsia="Arial" w:cs="Arial"/>
          <w:b w:val="0"/>
          <w:color w:val="1F4E9B"/>
          <w:highlight w:val="yellow"/>
        </w:rPr>
        <w:t>O modelo mantém utilidade nas duas transições, mas rende mais na primeira. Na transição de 2022 para 2023, entre as escolas que ele coloca no topo da lista de prioridade, 63% estão de fato entre as de maior abandono; na de 2023 para 2024, esse acerto cai para 38% — ainda muito acima dos cerca de 10% de uma escolha ao acaso. A queda acompanha a própria mudança da rede: o abandono médio caiu de 1,36% para 0,88% e as escolas se aproximaram de zero, o que ao mesmo tempo reduz o erro absoluto e comprime o sinal que permite ordená-las. Mesmo no cenário mais difícil, a capacidade de separar as escolas de alto risco das demais permanece alta (0,81 numa escala em que 0,5 é o acaso). Tomados em conjunto, os dois cenários cercam os valores do Quadro 9, que avalia as duas transições agregadas — sinal de que a decomposição é coerente com o desempenho global, e não efeito de um ano específico.</w:t>
      </w:r>
    </w:p>
    <w:p w14:paraId="06ABB063">
      <w:pPr>
        <w:pStyle w:val="3"/>
        <w:ind w:firstLine="0"/>
        <w:rPr>
          <w:color w:val="2E75B5"/>
        </w:rPr>
      </w:pPr>
      <w:r>
        <w:rPr>
          <w:rFonts w:ascii="Arial" w:hAnsi="Arial"/>
          <w:color w:val="1F4E9B"/>
          <w:sz w:val="22"/>
          <w:highlight w:val="yellow"/>
        </w:rPr>
        <w:t>Figura 13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color w:val="1F4E9B"/>
          <w:sz w:val="22"/>
          <w:highlight w:val="yellow"/>
        </w:rPr>
        <w:t>Fonte: elaborado pelo autor.</w:t>
      </w:r>
    </w:p>
    <w:p w14:paraId="433FF695">
      <w:pPr>
        <w:pStyle w:val="3"/>
        <w:ind w:firstLine="0"/>
        <w:rPr>
          <w:color w:val="2E75B5"/>
        </w:rPr>
      </w:pPr>
      <w:r>
        <w:rPr>
          <w:rFonts w:ascii="Arial" w:hAnsi="Arial" w:eastAsia="Arial" w:cs="Arial"/>
          <w:b w:val="0"/>
          <w:color w:val="1F4E9B"/>
          <w:highlight w:val="yellow"/>
        </w:rPr>
        <w:t>A mesma comparação entre os dois anos pode ser lida em número de alunos, e não em taxa. Convertendo a taxa de abandono de cada escola em quantidade de estudantes — multiplicando-a pela matrícula do ensino médio no ano em que o abandono é medido —, o resíduo passa a exprimir quantos alunos o sistema errou, para mais ou para menos, em cada escola. A figura a seguir apresenta esse resíduo, escola a escola, nas duas transições. Em ambas, a maioria das escolas concentra-se em torno de zero e o erro médio é de cerca de três alunos por escola (3,3 na transição de 2022 para 2023 e 3,0 na de 2023 para 2024), sem tendência sistemática de superestimar ou subestimar; as poucas escolas de maior porte, com dezenas de evasões, concentram os maiores desvios.</w:t>
      </w:r>
    </w:p>
    <w:p w14:paraId="23069A4F">
      <w:pPr>
        <w:pStyle w:val="3"/>
        <w:ind w:firstLine="0"/>
        <w:rPr>
          <w:color w:val="2E75B5"/>
        </w:rPr>
      </w:pPr>
      <w:r>
        <w:rPr>
          <w:rFonts w:ascii="Arial" w:hAnsi="Arial"/>
          <w:color w:val="1F4E9B"/>
          <w:sz w:val="22"/>
          <w:highlight w:val="yellow"/>
        </w:rPr>
        <w:t>Figura 14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color w:val="1F4E9B"/>
          <w:sz w:val="22"/>
          <w:highlight w:val="yellow"/>
        </w:rPr>
        <w:t>Fonte: elaborado pelo autor.</w:t>
      </w:r>
    </w:p>
    <w:p w14:paraId="2277BBB5">
      <w:pPr>
        <w:pStyle w:val="4"/>
        <w:numPr>
          <w:ilvl w:val="1"/>
          <w:numId w:val="1"/>
        </w:numPr>
      </w:pPr>
      <w:bookmarkStart w:id="53" w:name="_Toc12385"/>
      <w:r>
        <w:rPr>
          <w:rFonts w:ascii="Arial" w:hAnsi="Arial" w:eastAsia="Arial" w:cs="Arial"/>
          <w:b w:val="0"/>
        </w:rPr>
        <w:t>Capacidade de Priorização</w:t>
      </w:r>
      <w:bookmarkEnd w:id="53"/>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4"/>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5"/>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54" w:name="_Toc1766"/>
      <w:r>
        <w:rPr>
          <w:rFonts w:ascii="Arial" w:hAnsi="Arial" w:eastAsia="Arial" w:cs="Arial"/>
          <w:b w:val="0"/>
        </w:rPr>
        <w:t>Explicação das Indicações</w:t>
      </w:r>
      <w:bookmarkEnd w:id="54"/>
    </w:p>
    <w:p w14:paraId="4564E80B">
      <w:pPr>
        <w:pStyle w:val="5"/>
        <w:numPr>
          <w:ilvl w:val="2"/>
          <w:numId w:val="1"/>
        </w:numPr>
      </w:pPr>
      <w:bookmarkStart w:id="55" w:name="_Toc15680"/>
      <w:r>
        <w:rPr>
          <w:rFonts w:ascii="Arial" w:hAnsi="Arial" w:eastAsia="Arial" w:cs="Arial"/>
          <w:b w:val="0"/>
        </w:rPr>
        <w:t>Visão Geral</w:t>
      </w:r>
      <w:bookmarkEnd w:id="55"/>
    </w:p>
    <w:p w14:paraId="5B8734FD">
      <w:pPr>
        <w:pStyle w:val="3"/>
        <w:ind w:firstLine="0"/>
        <w:rPr>
          <w:color w:val="2E75B5"/>
        </w:rPr>
      </w:pPr>
      <w:r>
        <w:rPr>
          <w:rFonts w:ascii="Arial" w:hAnsi="Arial" w:eastAsia="Arial" w:cs="Arial"/>
          <w:b w:val="0"/>
        </w:rPr>
        <w:t>Saber que uma escola está no topo da lista não basta; é preciso saber por quê. A técnica de explicação adotada decompõe cada previsão na contribuição de cada característica. Aplicada a todo o conjunto, ela mostra quais características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Contribuição de cada característica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6"/>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6" w:name="_Toc27298"/>
      <w:r>
        <w:rPr>
          <w:rFonts w:ascii="Arial" w:hAnsi="Arial" w:eastAsia="Arial" w:cs="Arial"/>
          <w:b w:val="0"/>
        </w:rPr>
        <w:t>Direção dos Efeitos</w:t>
      </w:r>
      <w:bookmarkEnd w:id="56"/>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7"/>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7" w:name="_Toc13973"/>
      <w:r>
        <w:rPr>
          <w:rFonts w:ascii="Arial" w:hAnsi="Arial" w:eastAsia="Arial" w:cs="Arial"/>
          <w:b w:val="0"/>
        </w:rPr>
        <w:t>Explicação de Uma Escola</w:t>
      </w:r>
      <w:bookmarkEnd w:id="57"/>
    </w:p>
    <w:p w14:paraId="2C975AF9">
      <w:pPr>
        <w:pStyle w:val="3"/>
        <w:ind w:firstLine="0"/>
        <w:rPr>
          <w:color w:val="2E75B5"/>
        </w:rPr>
      </w:pPr>
      <w:r>
        <w:rPr>
          <w:rFonts w:ascii="Arial" w:hAnsi="Arial" w:eastAsia="Arial" w:cs="Arial"/>
          <w:b w:val="0"/>
        </w:rPr>
        <w:t>A decomposição também vale caso a caso. Para qualquer escola é possível mostrar como cada característica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8"/>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8" w:name="_Toc17957"/>
      <w:r>
        <w:rPr>
          <w:rFonts w:ascii="Arial" w:hAnsi="Arial" w:eastAsia="Arial" w:cs="Arial"/>
          <w:b w:val="0"/>
        </w:rPr>
        <w:t>Erros do Modelo e Equidade</w:t>
      </w:r>
      <w:bookmarkEnd w:id="58"/>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9"/>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9" w:name="_Toc11821"/>
      <w:r>
        <w:rPr>
          <w:rFonts w:ascii="Arial" w:hAnsi="Arial" w:eastAsia="Arial" w:cs="Arial"/>
          <w:b w:val="0"/>
        </w:rPr>
        <w:t>O Painel de Priorização ao Gestor</w:t>
      </w:r>
      <w:bookmarkEnd w:id="59"/>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0" w:name="_Toc7960"/>
      <w:r>
        <w:rPr>
          <w:rFonts w:ascii="Arial" w:hAnsi="Arial" w:eastAsia="Arial" w:cs="Arial"/>
          <w:b w:val="0"/>
        </w:rPr>
        <w:t>Síntese dos Resultados</w:t>
      </w:r>
      <w:bookmarkEnd w:id="60"/>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características é enxuto e justificado: 39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mais da metade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61" w:name="_Toc18879"/>
      <w:bookmarkStart w:id="66" w:name="_GoBack"/>
      <w:bookmarkEnd w:id="66"/>
      <w:r>
        <w:rPr>
          <w:rFonts w:ascii="Arial" w:hAnsi="Arial" w:eastAsia="Arial" w:cs="Arial"/>
          <w:b w:val="0"/>
        </w:rPr>
        <w:t>Conclusões e Trabalhos Futuros</w:t>
      </w:r>
      <w:bookmarkEnd w:id="61"/>
    </w:p>
    <w:p w14:paraId="2B49EC9B">
      <w:pPr>
        <w:pStyle w:val="4"/>
        <w:numPr>
          <w:ilvl w:val="1"/>
          <w:numId w:val="1"/>
        </w:numPr>
      </w:pPr>
      <w:bookmarkStart w:id="62" w:name="_Toc10313"/>
      <w:r>
        <w:rPr>
          <w:rFonts w:ascii="Arial" w:hAnsi="Arial" w:eastAsia="Arial" w:cs="Arial"/>
          <w:b w:val="0"/>
        </w:rPr>
        <w:t>Conclusões</w:t>
      </w:r>
      <w:bookmarkEnd w:id="62"/>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Resposta à pergunta de previsão (P2). 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63" w:name="_Toc11552"/>
      <w:r>
        <w:rPr>
          <w:rFonts w:ascii="Arial" w:hAnsi="Arial" w:eastAsia="Arial" w:cs="Arial"/>
          <w:b w:val="0"/>
        </w:rPr>
        <w:t>Trabalhos Futuros</w:t>
      </w:r>
      <w:bookmarkEnd w:id="63"/>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64" w:name="_Toc18795"/>
      <w:r>
        <w:rPr>
          <w:rFonts w:ascii="Arial" w:hAnsi="Arial" w:eastAsia="Arial" w:cs="Arial"/>
          <w:b w:val="0"/>
        </w:rPr>
        <w:t>Referências</w:t>
      </w:r>
      <w:bookmarkEnd w:id="64"/>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2FB4A314">
      <w:pPr>
        <w:pStyle w:val="3"/>
        <w:ind w:firstLine="0"/>
        <w:rPr>
          <w:color w:val="2E75B5"/>
        </w:rPr>
      </w:pPr>
      <w:r>
        <w:rPr>
          <w:rFonts w:ascii="Arial" w:hAnsi="Arial" w:eastAsia="Arial" w:cs="Arial"/>
          <w:b w:val="0"/>
        </w:rPr>
        <w:t>BREIMAN, L. Random forests. Machine Learning, v. 45, n. 1, p. 5–32, 2001.</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DE2185E">
      <w:pPr>
        <w:pStyle w:val="3"/>
        <w:ind w:firstLine="0"/>
        <w:rPr>
          <w:color w:val="2E75B5"/>
        </w:rPr>
      </w:pPr>
      <w:r>
        <w:rPr>
          <w:rFonts w:ascii="Arial" w:hAnsi="Arial" w:eastAsia="Arial" w:cs="Arial"/>
          <w:b w:val="0"/>
        </w:rPr>
        <w:t>MOLNAR, C. Interpretable machine learning: a guide for making black box models explainable. 2. ed. [S. l.: s. n.], 2022.</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1C353865">
      <w:pPr>
        <w:pStyle w:val="3"/>
        <w:ind w:firstLine="0"/>
        <w:rPr>
          <w:color w:val="2E75B5"/>
        </w:rPr>
      </w:pPr>
      <w:r>
        <w:rPr>
          <w:rFonts w:ascii="Arial" w:hAnsi="Arial" w:eastAsia="Arial" w:cs="Arial"/>
          <w:b w:val="0"/>
        </w:rPr>
        <w:t>ROMERO, C.; VENTURA, S. Educational data mining: a review of the state of the art. IEEE Transactions on Systems, Man, and Cybernetics, Part C: Applications and Reviews, v. 40, n. 6, p. 601–618, 2010.</w:t>
      </w:r>
    </w:p>
    <w:p w14:paraId="7162C159">
      <w:pPr>
        <w:pStyle w:val="3"/>
        <w:ind w:firstLine="0"/>
        <w:rPr>
          <w:color w:val="2E75B5"/>
        </w:rPr>
      </w:pPr>
      <w:r>
        <w:rPr>
          <w:rFonts w:ascii="Arial" w:hAnsi="Arial" w:eastAsia="Arial" w:cs="Arial"/>
          <w:b w:val="0"/>
        </w:rPr>
        <w:t>RUMBERGER, R. W. Dropping out: why students drop out of high school and what can be done about it. Cambridge: Harvard University Press, 2011.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2A8FD802">
      <w:pPr>
        <w:pStyle w:val="3"/>
        <w:ind w:firstLine="0"/>
        <w:rPr>
          <w:color w:val="2E75B5"/>
        </w:rPr>
      </w:pPr>
      <w:r>
        <w:rPr>
          <w:rFonts w:ascii="Arial" w:hAnsi="Arial" w:eastAsia="Arial" w:cs="Arial"/>
          <w:b w:val="0"/>
        </w:rPr>
        <w:t>TINTO, V. Dropout from higher education: a theoretical synthesis of recent research. Review of Educational Research, v. 45, n. 1, p. 89–125, 1975.</w:t>
      </w:r>
    </w:p>
    <w:p w14:paraId="6FD186B2">
      <w:pPr>
        <w:pStyle w:val="8"/>
        <w:rPr>
          <w:color w:val="000000"/>
        </w:rPr>
      </w:pPr>
      <w:bookmarkStart w:id="65" w:name="_Toc3976"/>
      <w:r>
        <w:rPr>
          <w:rFonts w:ascii="Arial" w:hAnsi="Arial" w:eastAsia="Arial" w:cs="Arial"/>
          <w:b w:val="0"/>
        </w:rPr>
        <w:t>Apêndice A – Relação das 39 características usadas pelo sistema</w:t>
      </w:r>
      <w:bookmarkEnd w:id="65"/>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6AC53498-390E-4DA3-967D-C94B88123DB5}"/>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6BDADACB-BFEE-469B-8575-A984266A41E2}"/>
  </w:font>
  <w:font w:name="Wingdings">
    <w:panose1 w:val="05000000000000000000"/>
    <w:charset w:val="02"/>
    <w:family w:val="auto"/>
    <w:pitch w:val="default"/>
    <w:sig w:usb0="00000000" w:usb1="00000000" w:usb2="00000000" w:usb3="00000000" w:csb0="80000000" w:csb1="00000000"/>
    <w:embedRegular r:id="rId3" w:fontKey="{DF8ACA3E-218E-45A9-BC21-0CD0050404CF}"/>
  </w:font>
  <w:font w:name="Calibri">
    <w:panose1 w:val="020F0502020204030204"/>
    <w:charset w:val="00"/>
    <w:family w:val="swiss"/>
    <w:pitch w:val="default"/>
    <w:sig w:usb0="E4002EFF" w:usb1="C200247B" w:usb2="00000009" w:usb3="00000000" w:csb0="200001FF" w:csb1="00000000"/>
    <w:embedRegular r:id="rId4" w:fontKey="{79B3CE9E-3FE2-4941-8428-A957EDBB05BE}"/>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0F5DD7A4-4D4E-4CB2-9B5D-058FDFB82F12}"/>
  </w:font>
  <w:font w:name="Liberation Sans">
    <w:panose1 w:val="020B0604020202020204"/>
    <w:charset w:val="00"/>
    <w:family w:val="swiss"/>
    <w:pitch w:val="default"/>
    <w:sig w:usb0="E0000AFF" w:usb1="500078FF" w:usb2="00000021" w:usb3="00000000" w:csb0="600001BF" w:csb1="DFF70000"/>
    <w:embedRegular r:id="rId6" w:fontKey="{0AB423E9-91D7-49FB-9EE3-3AC9F31C2F5E}"/>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0E3A73C0"/>
    <w:rsid w:val="154F2ABF"/>
    <w:rsid w:val="2C1B3E3D"/>
    <w:rsid w:val="37816D17"/>
    <w:rsid w:val="46E010FE"/>
    <w:rsid w:val="54BC7DEB"/>
    <w:rsid w:val="55540C4E"/>
    <w:rsid w:val="59E678F3"/>
    <w:rsid w:val="5DFA0956"/>
    <w:rsid w:val="79F53997"/>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6"/>
    <w:basedOn w:val="1"/>
    <w:next w:val="1"/>
    <w:qFormat/>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65</Pages>
  <Words>9961</Words>
  <Characters>54488</Characters>
  <Paragraphs>463</Paragraphs>
  <TotalTime>17</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2026-07-25T00:26:37Z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