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color w:val="1F4E9B"/>
          <w:sz w:val="22"/>
          <w:highlight w:val="yellow"/>
        </w:rPr>
        <w:t>Figura 13 – Desempenho do modelo adotado em cada transição anual (2022→2023 e 2023→2024)</w:t>
      </w:r>
    </w:p>
    <w:p w14:paraId="0BCC53AB">
      <w:pPr>
        <w:pStyle w:val="3"/>
        <w:ind w:firstLine="0"/>
        <w:rPr>
          <w:color w:val="2E75B5"/>
        </w:rPr>
      </w:pPr>
      <w:r>
        <w:rPr>
          <w:rFonts w:ascii="Arial" w:hAnsi="Arial"/>
          <w:sz w:val="22"/>
        </w:rPr>
        <w:t>Figura 14 – Ganho prático da lista de prioridade em relação à escolha ao acaso</w:t>
      </w:r>
    </w:p>
    <w:p w14:paraId="243493A6">
      <w:pPr>
        <w:pStyle w:val="3"/>
        <w:ind w:firstLine="0"/>
        <w:rPr>
          <w:color w:val="2E75B5"/>
        </w:rPr>
      </w:pPr>
      <w:r>
        <w:rPr>
          <w:rFonts w:ascii="Arial" w:hAnsi="Arial"/>
          <w:sz w:val="22"/>
        </w:rPr>
        <w:t>Figura 15 – Acerto e alcance da lista para diferentes tamanhos de lista</w:t>
      </w:r>
    </w:p>
    <w:p w14:paraId="145FB100">
      <w:pPr>
        <w:pStyle w:val="3"/>
        <w:ind w:firstLine="0"/>
        <w:rPr>
          <w:color w:val="2E75B5"/>
        </w:rPr>
      </w:pPr>
      <w:r>
        <w:rPr>
          <w:rFonts w:ascii="Arial" w:hAnsi="Arial"/>
          <w:sz w:val="22"/>
        </w:rPr>
        <w:t>Figura 16 – Contribuição de cada característica para as previsões do sistema</w:t>
      </w:r>
    </w:p>
    <w:p w14:paraId="44E8BD78">
      <w:pPr>
        <w:pStyle w:val="3"/>
        <w:ind w:firstLine="0"/>
        <w:rPr>
          <w:color w:val="2E75B5"/>
        </w:rPr>
      </w:pPr>
      <w:r>
        <w:rPr>
          <w:rFonts w:ascii="Arial" w:hAnsi="Arial"/>
          <w:sz w:val="22"/>
        </w:rPr>
        <w:t>Figura 17 – Peso e direção de cada característica nas previsões do sistema</w:t>
      </w:r>
    </w:p>
    <w:p w14:paraId="4F99997E">
      <w:pPr>
        <w:pStyle w:val="3"/>
        <w:ind w:firstLine="0"/>
        <w:rPr>
          <w:color w:val="2E75B5"/>
        </w:rPr>
      </w:pPr>
      <w:r>
        <w:rPr>
          <w:rFonts w:ascii="Arial" w:hAnsi="Arial"/>
          <w:sz w:val="22"/>
        </w:rPr>
        <w:t>Figura 18 – Explicação individual da escola de maior risco previsto</w:t>
      </w:r>
    </w:p>
    <w:p w14:paraId="1A68FE01">
      <w:pPr>
        <w:pStyle w:val="3"/>
        <w:ind w:firstLine="0"/>
        <w:rPr>
          <w:color w:val="2E75B5"/>
        </w:rPr>
      </w:pPr>
      <w:r>
        <w:rPr>
          <w:rFonts w:ascii="Arial" w:hAnsi="Arial"/>
          <w:sz w:val="22"/>
        </w:rPr>
        <w:t>Figura 19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color w:val="1F4E9B"/>
          <w:sz w:val="22"/>
          <w:highlight w:val="yellow"/>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3B20391E">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bookmarkStart w:id="61" w:name="_GoBack"/>
          <w:bookmarkEnd w:id="61"/>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87C588E">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_Toc29521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_Toc29521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A7312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_Toc7999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_Toc7999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AF689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_Toc10839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_Toc10839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882C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_Toc29721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_Toc29721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DFF00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_Toc20134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_Toc20134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C3B6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_Toc27826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_Toc27826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44224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_Toc18911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_Toc18911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B6EE4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_Toc2842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_Toc2842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5E7D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_Toc280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D85A3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_Toc26176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_Toc26176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EAEF4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_Toc17616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_Toc17616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2B696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_Toc5301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_Toc5301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2AF87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_Toc24894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_Toc24894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AB791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_Toc2605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_Toc2605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FBA22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_Toc23086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_Toc23086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A966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_Toc26222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_Toc26222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A2933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_Toc30423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_Toc30423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0FEF30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_Toc26701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_Toc26701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5D440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_Toc9547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_Toc9547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E7751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_Toc3552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_Toc3552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3337B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_Toc14955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_Toc14955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A1C81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_Toc29465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_Toc29465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DCA7E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_Toc31373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_Toc31373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1D06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_Toc19046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_Toc19046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F534B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_Toc30767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_Toc30767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B22E9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_Toc26370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_Toc26370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D08FC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_Toc369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B1BAF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_Toc20252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_Toc20252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0FB67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_Toc23082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_Toc23082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562A8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_Toc15366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_Toc15366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DD6BC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_Toc12240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_Toc12240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3AC66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_Toc24838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_Toc24838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2327F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_Toc23958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_Toc23958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49A3AB">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_Toc21888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_Toc21888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41460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_Toc2657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_Toc2657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2590B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_Toc9614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_Toc9614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5D8C9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_Toc14217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_Toc14217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8B866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_Toc25668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_Toc25668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D2A16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_Toc20096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_Toc20096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FCD76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_Toc13620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_Toc13620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65A84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_Toc27860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_Toc27860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A29F9A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_Toc12011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_Toc12011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5D153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_Toc26925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_Toc26925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7188D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_Toc18049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_Toc18049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67A2A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_Toc8491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D0D93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_Toc13420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_Toc13420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36DCD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_Toc24408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highlight w:val="yellow"/>
            </w:rPr>
            <w:t>Resultados em Cada Transição Anual</w:t>
          </w:r>
          <w:r>
            <w:tab/>
          </w:r>
          <w:r>
            <w:fldChar w:fldCharType="begin"/>
          </w:r>
          <w:r>
            <w:instrText xml:space="preserve"> PAGEREF _Toc24408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9084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_Toc1340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_Toc1340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B0636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_Toc24967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_Toc24967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5A85F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_Toc23789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_Toc23789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8C722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_Toc2908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_Toc2908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A40972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_Toc27105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_Toc27105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2C3FC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_Toc28105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_Toc28105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04A2F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_Toc11480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_Toc11480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6AE6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_Toc21449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_Toc21449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F9B23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_Toc9551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_Toc9551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27FF1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_Toc17824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_Toc17824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E0C02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_Toc11824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_Toc11824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99DD86">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_Toc16230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_Toc16230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08CCFA">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_Toc29889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_Toc29889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9521"/>
      <w:r>
        <w:rPr>
          <w:rFonts w:ascii="Arial" w:hAnsi="Arial" w:eastAsia="Arial" w:cs="Arial"/>
          <w:b w:val="0"/>
        </w:rPr>
        <w:t>Introdução</w:t>
      </w:r>
      <w:bookmarkEnd w:id="1"/>
    </w:p>
    <w:p w14:paraId="71BF03DA">
      <w:pPr>
        <w:pStyle w:val="4"/>
        <w:numPr>
          <w:ilvl w:val="1"/>
          <w:numId w:val="1"/>
        </w:numPr>
      </w:pPr>
      <w:bookmarkStart w:id="2" w:name="_Toc7999"/>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10839"/>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29721"/>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134"/>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7826"/>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8911"/>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842"/>
      <w:r>
        <w:rPr>
          <w:rFonts w:ascii="Arial" w:hAnsi="Arial" w:eastAsia="Arial" w:cs="Arial"/>
          <w:b w:val="0"/>
        </w:rPr>
        <w:t>Revisão Bibliográfica</w:t>
      </w:r>
      <w:bookmarkEnd w:id="8"/>
    </w:p>
    <w:p w14:paraId="39C81C03">
      <w:pPr>
        <w:pStyle w:val="4"/>
        <w:numPr>
          <w:ilvl w:val="1"/>
          <w:numId w:val="1"/>
        </w:numPr>
      </w:pPr>
      <w:bookmarkStart w:id="9" w:name="_Toc280"/>
      <w:r>
        <w:rPr>
          <w:rFonts w:ascii="Arial" w:hAnsi="Arial" w:eastAsia="Arial" w:cs="Arial"/>
          <w:b w:val="0"/>
        </w:rPr>
        <w:t>Fundamentação Teórica</w:t>
      </w:r>
      <w:bookmarkEnd w:id="9"/>
    </w:p>
    <w:p w14:paraId="1319101A">
      <w:pPr>
        <w:pStyle w:val="2"/>
        <w:numPr>
          <w:ilvl w:val="0"/>
          <w:numId w:val="1"/>
        </w:numPr>
        <w:rPr>
          <w:color w:val="000000"/>
        </w:rPr>
      </w:pPr>
      <w:bookmarkStart w:id="10" w:name="_Toc26176"/>
      <w:r>
        <w:rPr>
          <w:rFonts w:ascii="Arial" w:hAnsi="Arial" w:eastAsia="Arial" w:cs="Arial"/>
          <w:b w:val="0"/>
        </w:rPr>
        <w:t>Método de Desenvolvimento</w:t>
      </w:r>
      <w:bookmarkEnd w:id="10"/>
    </w:p>
    <w:p w14:paraId="39EFBDEF">
      <w:pPr>
        <w:pStyle w:val="4"/>
        <w:numPr>
          <w:ilvl w:val="1"/>
          <w:numId w:val="1"/>
        </w:numPr>
      </w:pPr>
      <w:bookmarkStart w:id="11" w:name="_Toc17616"/>
      <w:r>
        <w:rPr>
          <w:rFonts w:ascii="Arial" w:hAnsi="Arial" w:eastAsia="Arial" w:cs="Arial"/>
          <w:b w:val="0"/>
        </w:rPr>
        <w:t>Processo de Desenvolvimento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5301"/>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24894"/>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2605"/>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23086"/>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26222"/>
      <w:r>
        <w:rPr>
          <w:rFonts w:ascii="Arial" w:hAnsi="Arial" w:eastAsia="Arial" w:cs="Arial"/>
          <w:b w:val="0"/>
        </w:rPr>
        <w:t>Seleção e Preparação das Características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17" w:name="_Toc30423"/>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26701"/>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9547"/>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3552"/>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4955"/>
      <w:r>
        <w:rPr>
          <w:rFonts w:ascii="Arial" w:hAnsi="Arial" w:eastAsia="Arial" w:cs="Arial"/>
          <w:b w:val="0"/>
        </w:rPr>
        <w:t>Arquitetura do Software</w:t>
      </w:r>
      <w:bookmarkEnd w:id="21"/>
    </w:p>
    <w:p w14:paraId="527CA8A8">
      <w:pPr>
        <w:pStyle w:val="4"/>
        <w:numPr>
          <w:ilvl w:val="1"/>
          <w:numId w:val="1"/>
        </w:numPr>
      </w:pPr>
      <w:bookmarkStart w:id="22" w:name="_Toc29465"/>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31373"/>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19046"/>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30767"/>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26370"/>
      <w:r>
        <w:rPr>
          <w:rFonts w:ascii="Arial" w:hAnsi="Arial" w:eastAsia="Arial" w:cs="Arial"/>
          <w:b w:val="0"/>
        </w:rPr>
        <w:t>Tecnologias e Aspectos de Implementação</w:t>
      </w:r>
      <w:bookmarkEnd w:id="26"/>
    </w:p>
    <w:p w14:paraId="6E080A24">
      <w:pPr>
        <w:pStyle w:val="4"/>
        <w:numPr>
          <w:ilvl w:val="1"/>
          <w:numId w:val="1"/>
        </w:numPr>
      </w:pPr>
      <w:bookmarkStart w:id="27" w:name="_Toc369"/>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20252"/>
      <w:r>
        <w:rPr>
          <w:rFonts w:ascii="Arial" w:hAnsi="Arial" w:eastAsia="Arial" w:cs="Arial"/>
          <w:b w:val="0"/>
        </w:rPr>
        <w:t>Aspectos de Implementação</w:t>
      </w:r>
      <w:bookmarkEnd w:id="28"/>
    </w:p>
    <w:p w14:paraId="1D664FD8">
      <w:pPr>
        <w:pStyle w:val="5"/>
        <w:numPr>
          <w:ilvl w:val="2"/>
          <w:numId w:val="1"/>
        </w:numPr>
      </w:pPr>
      <w:bookmarkStart w:id="29" w:name="_Toc23082"/>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15366"/>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12240"/>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24838"/>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3958"/>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21888"/>
      <w:r>
        <w:rPr>
          <w:rFonts w:ascii="Arial" w:hAnsi="Arial" w:eastAsia="Arial" w:cs="Arial"/>
          <w:b w:val="0"/>
        </w:rPr>
        <w:t>Testes e Análise dos Resultados</w:t>
      </w:r>
      <w:bookmarkEnd w:id="34"/>
    </w:p>
    <w:p w14:paraId="5264F51A">
      <w:pPr>
        <w:pStyle w:val="4"/>
        <w:numPr>
          <w:ilvl w:val="1"/>
          <w:numId w:val="1"/>
        </w:numPr>
      </w:pPr>
      <w:bookmarkStart w:id="35" w:name="_Toc2657"/>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9614"/>
      <w:r>
        <w:rPr>
          <w:rFonts w:ascii="Arial" w:hAnsi="Arial" w:eastAsia="Arial" w:cs="Arial"/>
          <w:b w:val="0"/>
        </w:rPr>
        <w:t>Caracterização dos Dados e Análise das Características Usadas</w:t>
      </w:r>
      <w:bookmarkEnd w:id="36"/>
    </w:p>
    <w:p w14:paraId="4D464269">
      <w:pPr>
        <w:pStyle w:val="5"/>
        <w:numPr>
          <w:ilvl w:val="2"/>
          <w:numId w:val="1"/>
        </w:numPr>
      </w:pPr>
      <w:bookmarkStart w:id="37" w:name="_Toc14217"/>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25668"/>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(desvio-padrão de 1,8 ponto), 0,9% nas 70 rurais (desvio-padrão de 1,8) e 6,6% nas 40 escolas indígenas e quilombolas (desvio-padrão de 9,0).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 de baixo a crítico —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39" w:name="_Toc20096"/>
      <w:r>
        <w:rPr>
          <w:rFonts w:ascii="Arial" w:hAnsi="Arial" w:eastAsia="Arial" w:cs="Arial"/>
          <w:b w:val="0"/>
        </w:rPr>
        <w:t>Análise Estatística das Características Contínuas</w:t>
      </w:r>
      <w:bookmarkEnd w:id="39"/>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13620"/>
      <w:r>
        <w:rPr>
          <w:rFonts w:ascii="Arial" w:hAnsi="Arial" w:eastAsia="Arial" w:cs="Arial"/>
          <w:b w:val="0"/>
        </w:rPr>
        <w:t>Análise Estatística das Características de Sim ou Não</w:t>
      </w:r>
      <w:bookmarkEnd w:id="40"/>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27860"/>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12011"/>
      <w:r>
        <w:rPr>
          <w:rFonts w:ascii="Arial" w:hAnsi="Arial" w:eastAsia="Arial" w:cs="Arial"/>
          <w:b w:val="0"/>
        </w:rPr>
        <w:t>Quais Características Têm Valor para a Previsão</w:t>
      </w:r>
      <w:bookmarkEnd w:id="42"/>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Concluída a caracterização das escolas e de suas características, o critério que orienta o restante do capítulo já se delineia. Como o que se exige do sistema é colocar no topo da lista as escolas que de fato terão abandono alto, a avaliação a seguir julga sobretudo a ordem prevista, e não o valor exato da taxa — é essa ordem que a próxima seção mede.</w:t>
      </w:r>
    </w:p>
    <w:p w14:paraId="3F71063F">
      <w:pPr>
        <w:pStyle w:val="4"/>
        <w:numPr>
          <w:ilvl w:val="1"/>
          <w:numId w:val="1"/>
        </w:numPr>
      </w:pPr>
      <w:bookmarkStart w:id="43" w:name="_Toc26925"/>
      <w:r>
        <w:rPr>
          <w:rFonts w:ascii="Arial" w:hAnsi="Arial" w:eastAsia="Arial" w:cs="Arial"/>
          <w:b w:val="0"/>
        </w:rPr>
        <w:t>Desempenho do Sistema</w:t>
      </w:r>
      <w:bookmarkEnd w:id="43"/>
    </w:p>
    <w:p w14:paraId="4805032B">
      <w:pPr>
        <w:pStyle w:val="5"/>
        <w:numPr>
          <w:ilvl w:val="2"/>
          <w:numId w:val="1"/>
        </w:numPr>
      </w:pPr>
      <w:bookmarkStart w:id="44" w:name="_Toc18049"/>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8491"/>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em relação à média da rede. Os três modelos ficam praticamente empatados na ordenação — seus intervalos de confiança se sobrepõem, sem vencedor claro —, e o modelo adotado acompanha os demais: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13420"/>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24977E46">
      <w:pPr>
        <w:pStyle w:val="5"/>
        <w:numPr>
          <w:ilvl w:val="2"/>
          <w:numId w:val="1"/>
        </w:numPr>
      </w:pPr>
      <w:bookmarkStart w:id="47" w:name="_Toc24408"/>
      <w:r>
        <w:rPr>
          <w:rFonts w:ascii="Arial" w:hAnsi="Arial" w:eastAsia="Arial" w:cs="Arial"/>
          <w:b w:val="0"/>
          <w:color w:val="1F4E9B"/>
          <w:highlight w:val="yellow"/>
        </w:rPr>
        <w:t>Resultados em Cada Transição Anual</w:t>
      </w:r>
      <w:bookmarkEnd w:id="47"/>
    </w:p>
    <w:p w14:paraId="68971E2A">
      <w:pPr>
        <w:pStyle w:val="3"/>
        <w:ind w:firstLine="0"/>
        <w:rPr>
          <w:color w:val="2E75B5"/>
        </w:rPr>
      </w:pPr>
      <w:r>
        <w:rPr>
          <w:rFonts w:ascii="Arial" w:hAnsi="Arial" w:eastAsia="Arial" w:cs="Arial"/>
          <w:b w:val="0"/>
          <w:color w:val="1F4E9B"/>
          <w:highlight w:val="yellow"/>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w:t>
      </w:r>
    </w:p>
    <w:p w14:paraId="07971620">
      <w:pPr>
        <w:pStyle w:val="3"/>
        <w:ind w:firstLine="0"/>
        <w:rPr>
          <w:color w:val="2E75B5"/>
        </w:rPr>
      </w:pPr>
      <w:r>
        <w:rPr>
          <w:rFonts w:ascii="Arial" w:hAnsi="Arial"/>
          <w:color w:val="1F4E9B"/>
          <w:sz w:val="22"/>
          <w:highlight w:val="yellow"/>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color w:val="1F4E9B"/>
                <w:sz w:val="18"/>
                <w:highlight w:val="yellow"/>
              </w:rPr>
              <w:t>Indicador de desempenho</w:t>
            </w:r>
          </w:p>
        </w:tc>
        <w:tc>
          <w:tcPr>
            <w:tcW w:w="2484" w:type="dxa"/>
          </w:tcPr>
          <w:p w14:paraId="434758FF">
            <w:r>
              <w:rPr>
                <w:rFonts w:ascii="Arial" w:hAnsi="Arial" w:eastAsia="Arial" w:cs="Arial"/>
                <w:b/>
                <w:color w:val="1F4E9B"/>
                <w:sz w:val="18"/>
                <w:highlight w:val="yellow"/>
              </w:rPr>
              <w:t>Cenário 2022 → 2023</w:t>
            </w:r>
          </w:p>
        </w:tc>
        <w:tc>
          <w:tcPr>
            <w:tcW w:w="2484" w:type="dxa"/>
          </w:tcPr>
          <w:p w14:paraId="7D368DAD">
            <w:r>
              <w:rPr>
                <w:rFonts w:ascii="Arial" w:hAnsi="Arial" w:eastAsia="Arial" w:cs="Arial"/>
                <w:b/>
                <w:color w:val="1F4E9B"/>
                <w:sz w:val="18"/>
                <w:highlight w:val="yellow"/>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color w:val="1F4E9B"/>
                <w:sz w:val="18"/>
                <w:highlight w:val="yellow"/>
              </w:rPr>
              <w:t>Erro médio da taxa, p.p. (RMSE) — menor é melhor</w:t>
            </w:r>
          </w:p>
        </w:tc>
        <w:tc>
          <w:tcPr>
            <w:tcW w:w="2484" w:type="dxa"/>
          </w:tcPr>
          <w:p w14:paraId="290B08DD">
            <w:r>
              <w:rPr>
                <w:rFonts w:ascii="Arial" w:hAnsi="Arial" w:eastAsia="Arial" w:cs="Arial"/>
                <w:b w:val="0"/>
                <w:color w:val="1F4E9B"/>
                <w:sz w:val="18"/>
                <w:highlight w:val="yellow"/>
              </w:rPr>
              <w:t>2,82 ± 0,34</w:t>
            </w:r>
          </w:p>
        </w:tc>
        <w:tc>
          <w:tcPr>
            <w:tcW w:w="2484" w:type="dxa"/>
          </w:tcPr>
          <w:p w14:paraId="4AFD25CB">
            <w:r>
              <w:rPr>
                <w:rFonts w:ascii="Arial" w:hAnsi="Arial" w:eastAsia="Arial" w:cs="Arial"/>
                <w:b w:val="0"/>
                <w:color w:val="1F4E9B"/>
                <w:sz w:val="18"/>
                <w:highlight w:val="yellow"/>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color w:val="1F4E9B"/>
                <w:sz w:val="18"/>
                <w:highlight w:val="yellow"/>
              </w:rPr>
              <w:t>Acerto da ordenação, de 0 a 1 (Spearman)</w:t>
            </w:r>
          </w:p>
        </w:tc>
        <w:tc>
          <w:tcPr>
            <w:tcW w:w="2484" w:type="dxa"/>
          </w:tcPr>
          <w:p w14:paraId="44C44AAA">
            <w:r>
              <w:rPr>
                <w:rFonts w:ascii="Arial" w:hAnsi="Arial" w:eastAsia="Arial" w:cs="Arial"/>
                <w:b w:val="0"/>
                <w:color w:val="1F4E9B"/>
                <w:sz w:val="18"/>
                <w:highlight w:val="yellow"/>
              </w:rPr>
              <w:t>0,469 ± 0,039</w:t>
            </w:r>
          </w:p>
        </w:tc>
        <w:tc>
          <w:tcPr>
            <w:tcW w:w="2484" w:type="dxa"/>
          </w:tcPr>
          <w:p w14:paraId="3904D936">
            <w:r>
              <w:rPr>
                <w:rFonts w:ascii="Arial" w:hAnsi="Arial" w:eastAsia="Arial" w:cs="Arial"/>
                <w:b w:val="0"/>
                <w:color w:val="1F4E9B"/>
                <w:sz w:val="18"/>
                <w:highlight w:val="yellow"/>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color w:val="1F4E9B"/>
                <w:sz w:val="18"/>
                <w:highlight w:val="yellow"/>
              </w:rPr>
              <w:t>Acerto na lista prioritária, top 10% (Precision@K)</w:t>
            </w:r>
          </w:p>
        </w:tc>
        <w:tc>
          <w:tcPr>
            <w:tcW w:w="2484" w:type="dxa"/>
          </w:tcPr>
          <w:p w14:paraId="05EBC5C6">
            <w:r>
              <w:rPr>
                <w:rFonts w:ascii="Arial" w:hAnsi="Arial" w:eastAsia="Arial" w:cs="Arial"/>
                <w:b w:val="0"/>
                <w:color w:val="1F4E9B"/>
                <w:sz w:val="18"/>
                <w:highlight w:val="yellow"/>
              </w:rPr>
              <w:t>0,627 ± 0,060</w:t>
            </w:r>
          </w:p>
        </w:tc>
        <w:tc>
          <w:tcPr>
            <w:tcW w:w="2484" w:type="dxa"/>
          </w:tcPr>
          <w:p w14:paraId="5ADDB3E1">
            <w:r>
              <w:rPr>
                <w:rFonts w:ascii="Arial" w:hAnsi="Arial" w:eastAsia="Arial" w:cs="Arial"/>
                <w:b w:val="0"/>
                <w:color w:val="1F4E9B"/>
                <w:sz w:val="18"/>
                <w:highlight w:val="yellow"/>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color w:val="1F4E9B"/>
                <w:sz w:val="18"/>
                <w:highlight w:val="yellow"/>
              </w:rPr>
              <w:t>Separação alto/baixo risco (ROC-AUC)</w:t>
            </w:r>
          </w:p>
        </w:tc>
        <w:tc>
          <w:tcPr>
            <w:tcW w:w="2484" w:type="dxa"/>
          </w:tcPr>
          <w:p w14:paraId="240799C6">
            <w:r>
              <w:rPr>
                <w:rFonts w:ascii="Arial" w:hAnsi="Arial" w:eastAsia="Arial" w:cs="Arial"/>
                <w:b w:val="0"/>
                <w:color w:val="1F4E9B"/>
                <w:sz w:val="18"/>
                <w:highlight w:val="yellow"/>
              </w:rPr>
              <w:t>0,901 ± 0,035</w:t>
            </w:r>
          </w:p>
        </w:tc>
        <w:tc>
          <w:tcPr>
            <w:tcW w:w="2484" w:type="dxa"/>
          </w:tcPr>
          <w:p w14:paraId="1B1D9CD6">
            <w:r>
              <w:rPr>
                <w:rFonts w:ascii="Arial" w:hAnsi="Arial" w:eastAsia="Arial" w:cs="Arial"/>
                <w:b w:val="0"/>
                <w:color w:val="1F4E9B"/>
                <w:sz w:val="18"/>
                <w:highlight w:val="yellow"/>
              </w:rPr>
              <w:t>0,813 ± 0,019</w:t>
            </w:r>
          </w:p>
        </w:tc>
      </w:tr>
    </w:tbl>
    <w:p w14:paraId="1C5D7AC1">
      <w:pPr>
        <w:pStyle w:val="3"/>
        <w:ind w:firstLine="0"/>
        <w:rPr>
          <w:color w:val="2E75B5"/>
        </w:rPr>
      </w:pPr>
      <w:r>
        <w:rPr>
          <w:rFonts w:ascii="Arial" w:hAnsi="Arial"/>
          <w:color w:val="1F4E9B"/>
          <w:sz w:val="22"/>
          <w:highlight w:val="yellow"/>
        </w:rPr>
        <w:t>Fonte: elaborado pelo autor.</w:t>
      </w:r>
    </w:p>
    <w:p w14:paraId="326796B6">
      <w:pPr>
        <w:pStyle w:val="3"/>
        <w:ind w:firstLine="0"/>
        <w:rPr>
          <w:color w:val="2E75B5"/>
        </w:rPr>
      </w:pPr>
      <w:r>
        <w:rPr>
          <w:rFonts w:ascii="Arial" w:hAnsi="Arial" w:eastAsia="Arial" w:cs="Arial"/>
          <w:b w:val="0"/>
          <w:color w:val="1F4E9B"/>
          <w:highlight w:val="yellow"/>
        </w:rPr>
        <w:t>O modelo mantém utilidade nas duas transições, mas rende mais na primeira. Na transição de 2022 para 2023, entre as escolas que ele coloca no topo da lista de prioridade, 63% estão de fato entre as de maior abandono; na de 2023 para 2024, esse acerto cai para 38% —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 sinal de que a decomposição é coerente com o desempenho global, e não efeito de um ano específico.</w:t>
      </w:r>
    </w:p>
    <w:p w14:paraId="06ABB063">
      <w:pPr>
        <w:pStyle w:val="3"/>
        <w:ind w:firstLine="0"/>
        <w:rPr>
          <w:color w:val="2E75B5"/>
        </w:rPr>
      </w:pPr>
      <w:r>
        <w:rPr>
          <w:rFonts w:ascii="Arial" w:hAnsi="Arial"/>
          <w:color w:val="1F4E9B"/>
          <w:sz w:val="22"/>
          <w:highlight w:val="yellow"/>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color w:val="1F4E9B"/>
          <w:sz w:val="22"/>
          <w:highlight w:val="yellow"/>
        </w:rPr>
        <w:t>Fonte: elaborado pelo autor.</w:t>
      </w:r>
    </w:p>
    <w:p w14:paraId="2277BBB5">
      <w:pPr>
        <w:pStyle w:val="4"/>
        <w:numPr>
          <w:ilvl w:val="1"/>
          <w:numId w:val="1"/>
        </w:numPr>
      </w:pPr>
      <w:bookmarkStart w:id="48" w:name="_Toc1340"/>
      <w:r>
        <w:rPr>
          <w:rFonts w:ascii="Arial" w:hAnsi="Arial" w:eastAsia="Arial" w:cs="Arial"/>
          <w:b w:val="0"/>
        </w:rPr>
        <w:t>Capacidade de Priorização</w:t>
      </w:r>
      <w:bookmarkEnd w:id="48"/>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9" w:name="_Toc24967"/>
      <w:r>
        <w:rPr>
          <w:rFonts w:ascii="Arial" w:hAnsi="Arial" w:eastAsia="Arial" w:cs="Arial"/>
          <w:b w:val="0"/>
        </w:rPr>
        <w:t>Explicação das Indicações</w:t>
      </w:r>
      <w:bookmarkEnd w:id="49"/>
    </w:p>
    <w:p w14:paraId="4564E80B">
      <w:pPr>
        <w:pStyle w:val="5"/>
        <w:numPr>
          <w:ilvl w:val="2"/>
          <w:numId w:val="1"/>
        </w:numPr>
      </w:pPr>
      <w:bookmarkStart w:id="50" w:name="_Toc23789"/>
      <w:r>
        <w:rPr>
          <w:rFonts w:ascii="Arial" w:hAnsi="Arial" w:eastAsia="Arial" w:cs="Arial"/>
          <w:b w:val="0"/>
        </w:rPr>
        <w:t>Visão Geral</w:t>
      </w:r>
      <w:bookmarkEnd w:id="50"/>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1" w:name="_Toc2908"/>
      <w:r>
        <w:rPr>
          <w:rFonts w:ascii="Arial" w:hAnsi="Arial" w:eastAsia="Arial" w:cs="Arial"/>
          <w:b w:val="0"/>
        </w:rPr>
        <w:t>Direção dos Efeitos</w:t>
      </w:r>
      <w:bookmarkEnd w:id="51"/>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2" w:name="_Toc27105"/>
      <w:r>
        <w:rPr>
          <w:rFonts w:ascii="Arial" w:hAnsi="Arial" w:eastAsia="Arial" w:cs="Arial"/>
          <w:b w:val="0"/>
        </w:rPr>
        <w:t>Explicação de Uma Escola</w:t>
      </w:r>
      <w:bookmarkEnd w:id="52"/>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3" w:name="_Toc28105"/>
      <w:r>
        <w:rPr>
          <w:rFonts w:ascii="Arial" w:hAnsi="Arial" w:eastAsia="Arial" w:cs="Arial"/>
          <w:b w:val="0"/>
        </w:rPr>
        <w:t>Erros do Modelo e Equidade</w:t>
      </w:r>
      <w:bookmarkEnd w:id="53"/>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4" w:name="_Toc11480"/>
      <w:r>
        <w:rPr>
          <w:rFonts w:ascii="Arial" w:hAnsi="Arial" w:eastAsia="Arial" w:cs="Arial"/>
          <w:b w:val="0"/>
        </w:rPr>
        <w:t>O Painel de Priorização ao Gestor</w:t>
      </w:r>
      <w:bookmarkEnd w:id="54"/>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5" w:name="_Toc21449"/>
      <w:r>
        <w:rPr>
          <w:rFonts w:ascii="Arial" w:hAnsi="Arial" w:eastAsia="Arial" w:cs="Arial"/>
          <w:b w:val="0"/>
        </w:rPr>
        <w:t>Síntese dos Resultados</w:t>
      </w:r>
      <w:bookmarkEnd w:id="55"/>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6" w:name="_Toc9551"/>
      <w:r>
        <w:rPr>
          <w:rFonts w:ascii="Arial" w:hAnsi="Arial" w:eastAsia="Arial" w:cs="Arial"/>
          <w:b w:val="0"/>
        </w:rPr>
        <w:t>Conclusões e Trabalhos Futuros</w:t>
      </w:r>
      <w:bookmarkEnd w:id="56"/>
    </w:p>
    <w:p w14:paraId="2B49EC9B">
      <w:pPr>
        <w:pStyle w:val="4"/>
        <w:numPr>
          <w:ilvl w:val="1"/>
          <w:numId w:val="1"/>
        </w:numPr>
      </w:pPr>
      <w:bookmarkStart w:id="57" w:name="_Toc17824"/>
      <w:r>
        <w:rPr>
          <w:rFonts w:ascii="Arial" w:hAnsi="Arial" w:eastAsia="Arial" w:cs="Arial"/>
          <w:b w:val="0"/>
        </w:rPr>
        <w:t>Conclusões</w:t>
      </w:r>
      <w:bookmarkEnd w:id="57"/>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Resposta à pergunta de previsão (P2). 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8" w:name="_Toc11824"/>
      <w:r>
        <w:rPr>
          <w:rFonts w:ascii="Arial" w:hAnsi="Arial" w:eastAsia="Arial" w:cs="Arial"/>
          <w:b w:val="0"/>
        </w:rPr>
        <w:t>Trabalhos Futuros</w:t>
      </w:r>
      <w:bookmarkEnd w:id="58"/>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9" w:name="_Toc16230"/>
      <w:r>
        <w:rPr>
          <w:rFonts w:ascii="Arial" w:hAnsi="Arial" w:eastAsia="Arial" w:cs="Arial"/>
          <w:b w:val="0"/>
        </w:rPr>
        <w:t>Referências</w:t>
      </w:r>
      <w:bookmarkEnd w:id="59"/>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60" w:name="_Toc29889"/>
      <w:r>
        <w:rPr>
          <w:rFonts w:ascii="Arial" w:hAnsi="Arial" w:eastAsia="Arial" w:cs="Arial"/>
          <w:b w:val="0"/>
        </w:rPr>
        <w:t>Apêndice A – Relação das 39 características usadas pelo sistema</w:t>
      </w:r>
      <w:bookmarkEnd w:id="60"/>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5946AE8-21C2-4307-958F-73213E94CA1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D2AD810-9987-4BD0-BA93-D8474BD10060}"/>
  </w:font>
  <w:font w:name="Wingdings">
    <w:panose1 w:val="05000000000000000000"/>
    <w:charset w:val="02"/>
    <w:family w:val="auto"/>
    <w:pitch w:val="default"/>
    <w:sig w:usb0="00000000" w:usb1="00000000" w:usb2="00000000" w:usb3="00000000" w:csb0="80000000" w:csb1="00000000"/>
    <w:embedRegular r:id="rId3" w:fontKey="{656F4E4B-277E-4A07-BA3B-31F169B94EAE}"/>
  </w:font>
  <w:font w:name="Calibri">
    <w:panose1 w:val="020F0502020204030204"/>
    <w:charset w:val="00"/>
    <w:family w:val="swiss"/>
    <w:pitch w:val="default"/>
    <w:sig w:usb0="E4002EFF" w:usb1="C200247B" w:usb2="00000009" w:usb3="00000000" w:csb0="200001FF" w:csb1="00000000"/>
    <w:embedRegular r:id="rId4" w:fontKey="{22AB0F9D-C8D6-4A3A-85BF-8ECDF0767FE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D33DA38-FCA0-44DB-A4B7-AF07F13C456F}"/>
  </w:font>
  <w:font w:name="Georgia">
    <w:panose1 w:val="02040502050405020303"/>
    <w:charset w:val="00"/>
    <w:family w:val="roman"/>
    <w:pitch w:val="default"/>
    <w:sig w:usb0="00000287" w:usb1="00000000" w:usb2="00000000" w:usb3="00000000" w:csb0="2000009F" w:csb1="00000000"/>
    <w:embedRegular r:id="rId6" w:fontKey="{B45D7D37-76AD-4CBD-A1CC-6EE1BDA6A59B}"/>
  </w:font>
  <w:font w:name="Liberation Sans">
    <w:panose1 w:val="020B0604020202020204"/>
    <w:charset w:val="00"/>
    <w:family w:val="swiss"/>
    <w:pitch w:val="default"/>
    <w:sig w:usb0="E0000AFF" w:usb1="500078FF" w:usb2="00000021" w:usb3="00000000" w:csb0="600001BF" w:csb1="DFF70000"/>
    <w:embedRegular r:id="rId7" w:fontKey="{712C5645-B844-44EE-AEAB-1F99ADFE323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2C1B3E3D"/>
    <w:rsid w:val="37816D17"/>
    <w:rsid w:val="46E010FE"/>
    <w:rsid w:val="54BC7DEB"/>
    <w:rsid w:val="59E678F3"/>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61</Pages>
  <Words>9961</Words>
  <Characters>54488</Characters>
  <Paragraphs>463</Paragraphs>
  <TotalTime>3</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2026-07-24T21:55:59Z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