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do(a) prof.(a), dr.(a) - (</w:t>
      </w:r>
      <w:r>
        <w:rPr>
          <w:rFonts w:eastAsia="Arial" w:cs="Arial"/>
          <w:b/>
          <w:bCs/>
          <w:i w:val="0"/>
          <w:iCs w:val="0"/>
          <w:caps w:val="0"/>
          <w:smallCaps w:val="0"/>
          <w:strike w:val="0"/>
          <w:dstrike w:val="0"/>
          <w:color w:val="000000"/>
          <w:position w:val="0"/>
          <w:sz w:val="24"/>
          <w:szCs w:val="24"/>
          <w:u w:val="none"/>
          <w:shd w:val="clear" w:fill="auto"/>
          <w:vertAlign w:val="baseline"/>
        </w:rPr>
        <w:t>nome do completo do(a) orientador(a)</w:t>
      </w:r>
      <w:r>
        <w:rPr>
          <w:rFonts w:eastAsia="Arial" w:cs="Arial"/>
          <w:b w:val="0"/>
          <w:bCs w:val="0"/>
          <w:i w:val="0"/>
          <w:iCs w:val="0"/>
          <w:caps w:val="0"/>
          <w:smallCaps w:val="0"/>
          <w:strike w:val="0"/>
          <w:dstrike w:val="0"/>
          <w:color w:val="000000"/>
          <w:position w:val="0"/>
          <w:sz w:val="24"/>
          <w:szCs w:val="24"/>
          <w:u w:val="none"/>
          <w:shd w:val="clear" w:fill="auto"/>
          <w:vertAlign w:val="baseline"/>
        </w:rPr>
        <w:t>).</w:t>
      </w:r>
    </w:p>
    <w:p w14:paraId="64CE458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F9F7E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205C22E">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062C3D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A2BCCC7">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A626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EEDDFA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0A224A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B092B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São Paulo</w:t>
      </w:r>
    </w:p>
    <w:p w14:paraId="7833F3A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2026</w:t>
      </w:r>
    </w:p>
    <w:p w14:paraId="49B57538">
      <w:pPr>
        <w:pStyle w:val="3"/>
        <w:spacing w:before="0" w:after="0" w:line="259" w:lineRule="auto"/>
        <w:jc w:val="left"/>
        <w:rPr>
          <w:color w:val="000000"/>
        </w:rPr>
      </w:pPr>
      <w:r>
        <mc:AlternateContent>
          <mc:Choice Requires="wps">
            <w:drawing>
              <wp:anchor distT="6350" distB="6350" distL="6350" distR="6350" simplePos="0" relativeHeight="251659264" behindDoc="0" locked="0" layoutInCell="1" allowOverlap="1">
                <wp:simplePos x="0" y="0"/>
                <wp:positionH relativeFrom="column">
                  <wp:posOffset>18415</wp:posOffset>
                </wp:positionH>
                <wp:positionV relativeFrom="paragraph">
                  <wp:posOffset>-219710</wp:posOffset>
                </wp:positionV>
                <wp:extent cx="5746750" cy="1612900"/>
                <wp:effectExtent l="6350" t="6350" r="6350" b="6350"/>
                <wp:wrapNone/>
                <wp:docPr id="2" name="Shape 2"/>
                <wp:cNvGraphicFramePr/>
                <a:graphic xmlns:a="http://schemas.openxmlformats.org/drawingml/2006/main">
                  <a:graphicData uri="http://schemas.microsoft.com/office/word/2010/wordprocessingShape">
                    <wps:wsp>
                      <wps:cNvSpPr/>
                      <wps:spPr>
                        <a:xfrm>
                          <a:off x="0" y="0"/>
                          <a:ext cx="5746680" cy="1612800"/>
                        </a:xfrm>
                        <a:prstGeom prst="rect">
                          <a:avLst/>
                        </a:prstGeom>
                        <a:noFill/>
                        <a:ln w="12700">
                          <a:solidFill>
                            <a:srgbClr val="000000"/>
                          </a:solidFill>
                          <a:miter/>
                        </a:ln>
                      </wps:spPr>
                      <wps:style>
                        <a:lnRef idx="0">
                          <a:srgbClr val="FFFFFF"/>
                        </a:lnRef>
                        <a:fillRef idx="0">
                          <a:srgbClr val="FFFFFF"/>
                        </a:fillRef>
                        <a:effectRef idx="0">
                          <a:srgbClr val="FFFFFF"/>
                        </a:effectRef>
                        <a:fontRef idx="minor"/>
                      </wps:style>
                      <wps:txbx>
                        <w:txbxContent>
                          <w:p w14:paraId="5039EB54">
                            <w:pPr>
                              <w:pStyle w:val="29"/>
                              <w:spacing w:before="0" w:after="0" w:line="240" w:lineRule="auto"/>
                              <w:ind w:left="0" w:right="0" w:firstLine="0"/>
                              <w:jc w:val="left"/>
                              <w:rPr>
                                <w:color w:val="000000"/>
                              </w:rPr>
                            </w:pPr>
                          </w:p>
                        </w:txbxContent>
                      </wps:txbx>
                      <wps:bodyPr lIns="91440" tIns="91440" rIns="91440" bIns="91440" anchor="ctr">
                        <a:noAutofit/>
                      </wps:bodyPr>
                    </wps:wsp>
                  </a:graphicData>
                </a:graphic>
              </wp:anchor>
            </w:drawing>
          </mc:Choice>
          <mc:Fallback>
            <w:pict>
              <v:rect id="Shape 2" o:spid="_x0000_s1026" o:spt="1" style="position:absolute;left:0pt;margin-left:1.45pt;margin-top:-17.3pt;height:127pt;width:452.5pt;z-index:251659264;v-text-anchor:middle;mso-width-relative:page;mso-height-relative:page;" filled="f" stroked="t" coordsize="21600,21600" o:gfxdata="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KBVoqLXAAAACQEAAA8AAAAAAAAAAQAgAAAA&#10;IgAAAGRycy9kb3ducmV2LnhtbFBLAQIUABQAAAAIAIdO4kCKZixS0wEAAM0DAAAOAAAAAAAAAAEA&#10;IAAAACYBAABkcnMvZTJvRG9jLnhtbFBLBQYAAAAABgAGAFkBAABrBQAAAAA=&#10;">
                <v:fill on="f" focussize="0,0"/>
                <v:stroke weight="1pt" color="#000000" joinstyle="miter"/>
                <v:imagedata o:title=""/>
                <o:lock v:ext="edit" aspectratio="f"/>
                <v:textbox inset="2.54mm,2.54mm,2.54mm,2.54mm">
                  <w:txbxContent>
                    <w:p w14:paraId="5039EB54">
                      <w:pPr>
                        <w:pStyle w:val="29"/>
                        <w:spacing w:before="0" w:after="0" w:line="240" w:lineRule="auto"/>
                        <w:ind w:left="0" w:right="0" w:firstLine="0"/>
                        <w:jc w:val="left"/>
                        <w:rPr>
                          <w:color w:val="000000"/>
                        </w:rPr>
                      </w:pPr>
                    </w:p>
                  </w:txbxContent>
                </v:textbox>
              </v:rect>
            </w:pict>
          </mc:Fallback>
        </mc:AlternateContent>
      </w:r>
      <w:r>
        <w:rPr>
          <w:color w:val="000000"/>
        </w:rPr>
        <w:t xml:space="preserve">Gerenciador de ficha catalográfica: </w:t>
      </w:r>
    </w:p>
    <w:p w14:paraId="69158EA1">
      <w:pPr>
        <w:pStyle w:val="3"/>
        <w:spacing w:line="259" w:lineRule="auto"/>
        <w:ind w:left="284" w:firstLine="0"/>
        <w:jc w:val="left"/>
      </w:pPr>
    </w:p>
    <w:p w14:paraId="7CDAAA43">
      <w:pPr>
        <w:pStyle w:val="3"/>
        <w:spacing w:line="259" w:lineRule="auto"/>
        <w:ind w:left="284" w:firstLine="0"/>
        <w:jc w:val="left"/>
        <w:rPr>
          <w:color w:val="000000"/>
        </w:rPr>
      </w:pPr>
      <w:r>
        <w:fldChar w:fldCharType="begin"/>
      </w:r>
      <w:r>
        <w:instrText xml:space="preserve"> HYPERLINK "http://biblio2.pucsp.br/ficha/?_ga=2.154384056.1415767632.1628681585-1429258994.1628681585" \h </w:instrText>
      </w:r>
      <w:r>
        <w:fldChar w:fldCharType="separate"/>
      </w:r>
      <w:r>
        <w:rPr>
          <w:color w:val="0563C1"/>
          <w:u w:val="single"/>
        </w:rPr>
        <w:t>http://biblio2.pucsp.br/ficha/?_ga=2.154384056.1415767632.1628681585-1429258994.1628681585</w:t>
      </w:r>
      <w:r>
        <w:rPr>
          <w:color w:val="0563C1"/>
          <w:u w:val="single"/>
        </w:rPr>
        <w:fldChar w:fldCharType="end"/>
      </w:r>
    </w:p>
    <w:p w14:paraId="5EEF71C6">
      <w:pPr>
        <w:pStyle w:val="3"/>
        <w:spacing w:line="259" w:lineRule="auto"/>
        <w:jc w:val="left"/>
        <w:rPr>
          <w:color w:val="000000"/>
        </w:rPr>
      </w:pPr>
    </w:p>
    <w:p w14:paraId="4F9E2F33">
      <w:pPr>
        <w:pStyle w:val="3"/>
        <w:spacing w:line="259" w:lineRule="auto"/>
        <w:jc w:val="left"/>
        <w:rPr>
          <w:b/>
          <w:bCs/>
          <w:color w:val="000000"/>
        </w:rPr>
      </w:pPr>
      <w:r>
        <w:rPr>
          <w:b/>
          <w:bCs/>
          <w:color w:val="000000"/>
        </w:rPr>
        <w:t>Obs. Após inserir a ficha deletar este texto</w:t>
      </w:r>
    </w:p>
    <w:p w14:paraId="6E098FFF">
      <w:pPr>
        <w:pStyle w:val="3"/>
        <w:spacing w:line="259" w:lineRule="auto"/>
        <w:jc w:val="left"/>
        <w:rPr>
          <w:b/>
          <w:bCs/>
          <w:color w:val="000000"/>
        </w:rPr>
      </w:pPr>
    </w:p>
    <w:p w14:paraId="34C1F001">
      <w:pPr>
        <w:pStyle w:val="3"/>
        <w:spacing w:line="259" w:lineRule="auto"/>
        <w:jc w:val="left"/>
        <w:rPr>
          <w:b/>
          <w:bCs/>
          <w:color w:val="000000"/>
        </w:rPr>
      </w:pPr>
    </w:p>
    <w:p w14:paraId="5F189B53">
      <w:pPr>
        <w:pStyle w:val="3"/>
        <w:spacing w:line="259" w:lineRule="auto"/>
        <w:jc w:val="left"/>
        <w:rPr>
          <w:b/>
          <w:bCs/>
          <w:color w:val="000000"/>
        </w:rPr>
      </w:pPr>
    </w:p>
    <w:p w14:paraId="58953B98">
      <w:pPr>
        <w:pStyle w:val="3"/>
        <w:spacing w:line="259" w:lineRule="auto"/>
        <w:jc w:val="left"/>
        <w:rPr>
          <w:b/>
          <w:bCs/>
          <w:color w:val="000000"/>
        </w:rPr>
      </w:pPr>
    </w:p>
    <w:p w14:paraId="795AE9EC">
      <w:pPr>
        <w:pStyle w:val="3"/>
        <w:spacing w:line="259" w:lineRule="auto"/>
        <w:jc w:val="left"/>
        <w:rPr>
          <w:b/>
          <w:bCs/>
          <w:color w:val="000000"/>
        </w:rPr>
      </w:pPr>
    </w:p>
    <w:p w14:paraId="623EB1F4">
      <w:pPr>
        <w:pStyle w:val="3"/>
        <w:spacing w:line="259" w:lineRule="auto"/>
        <w:jc w:val="left"/>
        <w:rPr>
          <w:b/>
          <w:bCs/>
          <w:color w:val="000000"/>
        </w:rPr>
      </w:pPr>
    </w:p>
    <w:p w14:paraId="13F3941B">
      <w:pPr>
        <w:pStyle w:val="3"/>
        <w:spacing w:line="259" w:lineRule="auto"/>
        <w:jc w:val="left"/>
        <w:rPr>
          <w:b/>
          <w:bCs/>
          <w:color w:val="000000"/>
        </w:rPr>
      </w:pPr>
    </w:p>
    <w:p w14:paraId="4FA1C217">
      <w:pPr>
        <w:pStyle w:val="3"/>
        <w:spacing w:line="259" w:lineRule="auto"/>
        <w:jc w:val="left"/>
        <w:rPr>
          <w:b/>
          <w:bCs/>
          <w:color w:val="000000"/>
        </w:rPr>
      </w:pPr>
      <w:r>
        <w:br w:type="page"/>
      </w:r>
    </w:p>
    <w:p w14:paraId="1E1FD561">
      <w:pPr>
        <w:pStyle w:val="3"/>
        <w:keepNext w:val="0"/>
        <w:keepLines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5DABC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3F846E2">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D0D9E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CAAC4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DB182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AD404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A8AD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A4ED25">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6DC6AA">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505CF51">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12CE18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AABF28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24CD3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8D4C53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818DEB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930060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AGRADECIMENTOS</w:t>
      </w:r>
    </w:p>
    <w:p w14:paraId="1DF9DB61">
      <w:pPr>
        <w:pStyle w:val="3"/>
        <w:rPr>
          <w:color w:val="000000"/>
        </w:rPr>
      </w:pPr>
    </w:p>
    <w:p w14:paraId="3C8CBD80">
      <w:pPr>
        <w:pStyle w:val="3"/>
        <w:rPr>
          <w:color w:val="000000"/>
        </w:rPr>
      </w:pPr>
      <w:r>
        <w:rPr>
          <w:color w:val="000000"/>
        </w:rPr>
        <w:t>Agradeço ao meu orientador............................................................................... .......................................................................................................................................................................................................................</w:t>
      </w:r>
    </w:p>
    <w:p w14:paraId="5A487436">
      <w:pPr>
        <w:pStyle w:val="3"/>
        <w:rPr>
          <w:color w:val="000000"/>
        </w:rPr>
      </w:pPr>
      <w:r>
        <w:rPr>
          <w:color w:val="000000"/>
        </w:rPr>
        <w:t>A todos os meus professores............................................................................. ........................................................................................................................................................................................................................</w:t>
      </w:r>
    </w:p>
    <w:p w14:paraId="6B1FAAB8">
      <w:pPr>
        <w:pStyle w:val="3"/>
        <w:rPr>
          <w:color w:val="000000"/>
        </w:rPr>
      </w:pPr>
      <w:r>
        <w:rPr>
          <w:color w:val="000000"/>
        </w:rPr>
        <w:t>Aos meus pais.................................................................................................... ........................................................................................................................................................................................................................</w:t>
      </w:r>
    </w:p>
    <w:p w14:paraId="12A1E6D9">
      <w:pPr>
        <w:pStyle w:val="3"/>
        <w:rPr>
          <w:color w:val="000000"/>
        </w:rPr>
      </w:pPr>
      <w:r>
        <w:rPr>
          <w:color w:val="000000"/>
        </w:rPr>
        <w:t>........................................................................................................................................................................................................................</w:t>
      </w:r>
    </w:p>
    <w:p w14:paraId="2BE616FC">
      <w:pPr>
        <w:pStyle w:val="3"/>
        <w:rPr>
          <w:b/>
          <w:bCs/>
          <w:color w:val="000000"/>
        </w:rPr>
      </w:pPr>
      <w: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Ninguém ignora tudo. Ninguém sabe tudo. Todos nós sabemos alguma coisa. Todos nós ignoramos alguma coisa. Por isso aprendemos sempre. (FREIRE, 1987, p. 45).</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vem caindo — de 2,05% em 2022 para 0,96% em 2024 —, mas a média esconde o problema real: em 2024, dois terços das escolas não registraram nenhum abandono, enquanto 10% delas concentraram 76% dos 2.043 alunos que deixaram a escola. Este trabalho desenvolve um sistema que identifica antecipadamente as escolas com maior risco de abandono. O sistema reúne dados públicos do INEP — Censo Escolar de 2022 a 2024, taxas de rendimento e quatro indicadores complementares —, usa 39 características por escola e prevê a taxa de abandono do ano seguinte. O resultado é entregue ao gestor em um painel interativo que ordena as escolas por risco e explica cada indicação. O sistema acerta a ordem das escolas muito melhor do que o valor exato da taxa: das escolas que ele aponta como prioritárias, cerca de metade está de fato entre as mais críticas, contra 7 em cada 100 na escolha ao acaso. No teste mais exigente — prever um ano que o sistema não viu —, uma lista de 150 escolas alcança mais da metade das escolas críticas da rede. O histórico recente de abandono, a reprovação e a defasagem entre idade e série são os principais sinais de risco.</w:t>
      </w:r>
    </w:p>
    <w:p w14:paraId="31B565F5">
      <w:pPr>
        <w:pStyle w:val="3"/>
        <w:ind w:firstLine="0"/>
        <w:rPr>
          <w:color w:val="2E75B5"/>
        </w:rPr>
      </w:pPr>
      <w:r>
        <w:rPr>
          <w:rFonts w:ascii="Arial" w:hAnsi="Arial" w:eastAsia="Arial" w:cs="Arial"/>
          <w:b w:val="0"/>
        </w:rPr>
        <w:t>Palavras-chave: Evasão escolar. Priorização de escolas.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has been falling — from 2.05% in 2022 to 0.96% in 2024 — but the average hides the real problem: in 2024, two thirds of the schools recorded no dropout at all, while 10% of them concentrated 76% of the 2,043 students who left school. This work develops a system that identifies in advance the schools at highest risk of dropout. The system gathers public data from INEP — the School Census from 2022 to 2024, performance rates and four complementary indicators —, uses 38 pieces of information per school and predicts the dropout rate of the following year. The result is delivered to the manager through an interactive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 predicting a year the system has never seen — a list of 150 schools reaches almost two thirds of the critical schools in the network. Recent dropout history, grade retention and the gap between age and grade are the main risk signals.</w:t>
      </w:r>
    </w:p>
    <w:p w14:paraId="3D8D40F5">
      <w:pPr>
        <w:pStyle w:val="3"/>
        <w:ind w:firstLine="0"/>
        <w:rPr>
          <w:color w:val="2E75B5"/>
        </w:rPr>
      </w:pPr>
      <w:r>
        <w:rPr>
          <w:rFonts w:ascii="Arial" w:hAnsi="Arial" w:eastAsia="Arial" w:cs="Arial"/>
          <w:b w:val="0"/>
        </w:rPr>
        <w:t>Keywords: School dropout. School prioritization.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Distribuição da taxa de abandono prevista e diferença de risco entre grupos de escolas</w:t>
      </w:r>
    </w:p>
    <w:p w14:paraId="7670B9EB">
      <w:pPr>
        <w:pStyle w:val="3"/>
        <w:ind w:firstLine="0"/>
        <w:rPr>
          <w:color w:val="2E75B5"/>
        </w:rPr>
      </w:pPr>
      <w:r>
        <w:rPr>
          <w:rFonts w:ascii="Arial" w:hAnsi="Arial"/>
          <w:sz w:val="22"/>
        </w:rPr>
        <w:t>Figura 8 – Distribuição das 23 características contínuas na rede estadual</w:t>
      </w:r>
    </w:p>
    <w:p w14:paraId="1D62E1CA">
      <w:pPr>
        <w:pStyle w:val="3"/>
        <w:ind w:firstLine="0"/>
        <w:rPr>
          <w:color w:val="2E75B5"/>
        </w:rPr>
      </w:pPr>
      <w:r>
        <w:rPr>
          <w:rFonts w:ascii="Arial" w:hAnsi="Arial"/>
          <w:sz w:val="22"/>
        </w:rPr>
        <w:t>Figura 9 – Repartição das escolas por atributo de sim ou não e taxa média de abandono de cada grupo</w:t>
      </w:r>
    </w:p>
    <w:p w14:paraId="25572C24">
      <w:pPr>
        <w:pStyle w:val="3"/>
        <w:ind w:firstLine="0"/>
        <w:rPr>
          <w:color w:val="2E75B5"/>
        </w:rPr>
      </w:pPr>
      <w:r>
        <w:rPr>
          <w:rFonts w:ascii="Arial" w:hAnsi="Arial"/>
          <w:sz w:val="22"/>
        </w:rPr>
        <w:t>Figura 10 – Abandono médio e peso de cada região do estado no conjunto de dados</w:t>
      </w:r>
    </w:p>
    <w:p w14:paraId="00552AF9">
      <w:pPr>
        <w:pStyle w:val="3"/>
        <w:ind w:firstLine="0"/>
        <w:rPr>
          <w:color w:val="2E75B5"/>
        </w:rPr>
      </w:pPr>
      <w:r>
        <w:rPr>
          <w:rFonts w:ascii="Arial" w:hAnsi="Arial"/>
          <w:sz w:val="22"/>
        </w:rPr>
        <w:t>Figura 11 – As 38 características numéricas ordenadas pela relação com o abandono do ano seguinte</w:t>
      </w:r>
    </w:p>
    <w:p w14:paraId="4C704656">
      <w:pPr>
        <w:pStyle w:val="3"/>
        <w:ind w:firstLine="0"/>
        <w:rPr>
          <w:color w:val="2E75B5"/>
        </w:rPr>
      </w:pPr>
      <w:r>
        <w:rPr>
          <w:rFonts w:ascii="Arial" w:hAnsi="Arial"/>
          <w:sz w:val="22"/>
        </w:rPr>
        <w:t>Figura 12 – Distribuição das medidas de desempenho nas 20 repetições</w:t>
      </w:r>
    </w:p>
    <w:p w14:paraId="12CBFCCB">
      <w:pPr>
        <w:pStyle w:val="3"/>
        <w:ind w:firstLine="0"/>
        <w:rPr>
          <w:color w:val="2E75B5"/>
        </w:rPr>
      </w:pPr>
      <w:r>
        <w:rPr>
          <w:rFonts w:ascii="Arial" w:hAnsi="Arial"/>
          <w:color w:val="1F4E9B"/>
          <w:sz w:val="22"/>
          <w:highlight w:val="yellow"/>
        </w:rPr>
        <w:t>Figura 13 – Desempenho do modelo adotado em cada transição anual (2022→2023 e 2023→2024)</w:t>
      </w:r>
    </w:p>
    <w:p w14:paraId="0BCC53AB">
      <w:pPr>
        <w:pStyle w:val="3"/>
        <w:ind w:firstLine="0"/>
        <w:rPr>
          <w:color w:val="2E75B5"/>
        </w:rPr>
      </w:pPr>
      <w:r>
        <w:rPr>
          <w:rFonts w:ascii="Arial" w:hAnsi="Arial"/>
          <w:sz w:val="22"/>
        </w:rPr>
        <w:t>Figura 14 – Ganho prático da lista de prioridade em relação à escolha ao acaso</w:t>
      </w:r>
    </w:p>
    <w:p w14:paraId="243493A6">
      <w:pPr>
        <w:pStyle w:val="3"/>
        <w:ind w:firstLine="0"/>
        <w:rPr>
          <w:color w:val="2E75B5"/>
        </w:rPr>
      </w:pPr>
      <w:r>
        <w:rPr>
          <w:rFonts w:ascii="Arial" w:hAnsi="Arial"/>
          <w:sz w:val="22"/>
        </w:rPr>
        <w:t>Figura 15 – Acerto e alcance da lista para diferentes tamanhos de lista</w:t>
      </w:r>
    </w:p>
    <w:p w14:paraId="145FB100">
      <w:pPr>
        <w:pStyle w:val="3"/>
        <w:ind w:firstLine="0"/>
        <w:rPr>
          <w:color w:val="2E75B5"/>
        </w:rPr>
      </w:pPr>
      <w:r>
        <w:rPr>
          <w:rFonts w:ascii="Arial" w:hAnsi="Arial"/>
          <w:sz w:val="22"/>
        </w:rPr>
        <w:t>Figura 16 – Contribuição de cada característica para as previsões do sistema</w:t>
      </w:r>
    </w:p>
    <w:p w14:paraId="44E8BD78">
      <w:pPr>
        <w:pStyle w:val="3"/>
        <w:ind w:firstLine="0"/>
        <w:rPr>
          <w:color w:val="2E75B5"/>
        </w:rPr>
      </w:pPr>
      <w:r>
        <w:rPr>
          <w:rFonts w:ascii="Arial" w:hAnsi="Arial"/>
          <w:sz w:val="22"/>
        </w:rPr>
        <w:t>Figura 17 – Peso e direção de cada característica nas previsões do sistema</w:t>
      </w:r>
    </w:p>
    <w:p w14:paraId="4F99997E">
      <w:pPr>
        <w:pStyle w:val="3"/>
        <w:ind w:firstLine="0"/>
        <w:rPr>
          <w:color w:val="2E75B5"/>
        </w:rPr>
      </w:pPr>
      <w:r>
        <w:rPr>
          <w:rFonts w:ascii="Arial" w:hAnsi="Arial"/>
          <w:sz w:val="22"/>
        </w:rPr>
        <w:t>Figura 18 – Explicação individual da escola de maior risco previsto</w:t>
      </w:r>
    </w:p>
    <w:p w14:paraId="1A68FE01">
      <w:pPr>
        <w:pStyle w:val="3"/>
        <w:ind w:firstLine="0"/>
        <w:rPr>
          <w:color w:val="2E75B5"/>
        </w:rPr>
      </w:pPr>
      <w:r>
        <w:rPr>
          <w:rFonts w:ascii="Arial" w:hAnsi="Arial"/>
          <w:sz w:val="22"/>
        </w:rPr>
        <w:t>Figura 19 – Erro do sistema por grupo de localização no teste do ano nunca visto</w:t>
      </w:r>
    </w:p>
    <w:p w14:paraId="66821D4E">
      <w:pPr>
        <w:pStyle w:val="3"/>
        <w:rPr>
          <w:b/>
          <w:bCs/>
          <w:color w:val="000000"/>
        </w:rPr>
      </w:pPr>
    </w:p>
    <w:sdt>
      <w:sdtPr>
        <w:id w:val="147471518"/>
        <w:docPartObj>
          <w:docPartGallery w:val="Table of Contents"/>
          <w:docPartUnique/>
        </w:docPartObj>
      </w:sdtPr>
      <w:sdtContent>
        <w:p w14:paraId="40E3983C">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"_heading=h.jhc5tl22jlhp"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Figura 1 - Estrutura de trabalhos acadêmicos. (ABNT NBR 14724)</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E470546">
      <w:pPr>
        <w:pStyle w:val="3"/>
        <w:rPr>
          <w:b/>
          <w:bCs/>
          <w:color w:val="000000"/>
        </w:rPr>
      </w:pPr>
      <w:r>
        <w:br w:type="page"/>
      </w: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sdt>
      <w:sdtPr>
        <w:id w:val="147479382"/>
        <w:docPartObj>
          <w:docPartGallery w:val="Table of Contents"/>
          <w:docPartUnique/>
        </w:docPartObj>
      </w:sdtPr>
      <w:sdtContent>
        <w:p w14:paraId="3660C5F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"_heading=h.62ykwif5gkal"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Gráfico 1 – Grupos etários</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77DF2541">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p w14:paraId="2CB820C1">
      <w:pPr>
        <w:pStyle w:val="3"/>
        <w:rPr>
          <w:b/>
          <w:bCs/>
          <w:color w:val="000000"/>
        </w:rPr>
      </w:pPr>
    </w:p>
    <w:sdt>
      <w:sdtPr>
        <w:id w:val="147477223"/>
        <w:docPartObj>
          <w:docPartGallery w:val="Table of Contents"/>
          <w:docPartUnique/>
        </w:docPartObj>
      </w:sdtPr>
      <w:sdtContent>
        <w:p w14:paraId="74955F1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"_heading=h.hdx1pjdrbrax"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Quadro 1 – Formato de apresentação</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39E9F8A">
      <w:pPr>
        <w:pStyle w:val="3"/>
        <w:rPr>
          <w:b/>
          <w:bCs/>
          <w:color w:val="000000"/>
        </w:rPr>
      </w:pPr>
      <w:r>
        <w:br w:type="page"/>
      </w:r>
    </w:p>
    <w:p w14:paraId="6C9B4BFE">
      <w:pPr>
        <w:pStyle w:val="3"/>
        <w:rPr>
          <w:color w:val="000000"/>
        </w:rPr>
      </w:pPr>
    </w:p>
    <w:sdt>
      <w:sdtPr>
        <w:id w:val="147482777"/>
        <w:docPartObj>
          <w:docPartGallery w:val="Table of Contents"/>
          <w:docPartUnique/>
        </w:docPartObj>
      </w:sdtPr>
      <w:sdtContent>
        <w:p w14:paraId="234E00CA">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"_heading=h.fi64up6kunop"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Tabela 1 - Modelo de tabela</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c>
          <w:tcPr>
            <w:tcW w:w="1275" w:type="dxa"/>
          </w:tcPr>
          <w:p w14:paraId="67082F3A">
            <w:pPr>
              <w:pStyle w:val="3"/>
              <w:ind w:firstLine="0"/>
              <w:jc w:val="left"/>
              <w:rPr>
                <w:color w:val="000000"/>
              </w:rPr>
            </w:pPr>
            <w:r>
              <w:rPr>
                <w:color w:val="000000"/>
              </w:rPr>
              <w:t>ABNT</w:t>
            </w:r>
          </w:p>
        </w:tc>
        <w:tc>
          <w:tcPr>
            <w:tcW w:w="7604" w:type="dxa"/>
          </w:tcPr>
          <w:p w14:paraId="031A16CB">
            <w:pPr>
              <w:pStyle w:val="3"/>
              <w:ind w:firstLine="0"/>
              <w:jc w:val="left"/>
              <w:rPr>
                <w:color w:val="000000"/>
              </w:rPr>
            </w:pPr>
            <w:r>
              <w:rPr>
                <w:color w:val="000000"/>
              </w:rP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rPr>
                <w:color w:val="000000"/>
              </w:rPr>
              <w:t>BU</w:t>
            </w:r>
          </w:p>
        </w:tc>
        <w:tc>
          <w:tcPr>
            <w:tcW w:w="7604" w:type="dxa"/>
          </w:tcPr>
          <w:p w14:paraId="10CBB3A7">
            <w:pPr>
              <w:pStyle w:val="3"/>
              <w:ind w:firstLine="0"/>
              <w:jc w:val="left"/>
              <w:rPr>
                <w:color w:val="000000"/>
              </w:rPr>
            </w:pPr>
            <w:r>
              <w:rPr>
                <w:color w:val="000000"/>
              </w:rPr>
              <w:t>Biblioteca Universitária</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rPr>
                <w:color w:val="000000"/>
              </w:rPr>
              <w:t>NBR</w:t>
            </w:r>
          </w:p>
        </w:tc>
        <w:tc>
          <w:tcPr>
            <w:tcW w:w="7604" w:type="dxa"/>
          </w:tcPr>
          <w:p w14:paraId="77D1C937">
            <w:pPr>
              <w:pStyle w:val="3"/>
              <w:ind w:firstLine="0"/>
              <w:jc w:val="left"/>
              <w:rPr>
                <w:color w:val="000000"/>
              </w:rPr>
            </w:pPr>
            <w:r>
              <w:rPr>
                <w:color w:val="000000"/>
              </w:rPr>
              <w:t>Normas Técnicas Brasileiras</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rPr>
                <w:color w:val="000000"/>
              </w:rPr>
              <w:t>TCC</w:t>
            </w:r>
          </w:p>
        </w:tc>
        <w:tc>
          <w:tcPr>
            <w:tcW w:w="7604" w:type="dxa"/>
          </w:tcPr>
          <w:p w14:paraId="3C950431">
            <w:pPr>
              <w:pStyle w:val="3"/>
              <w:ind w:firstLine="0"/>
              <w:jc w:val="left"/>
              <w:rPr>
                <w:color w:val="000000"/>
              </w:rPr>
            </w:pPr>
            <w:r>
              <w:rPr>
                <w:color w:val="000000"/>
              </w:rPr>
              <w:t>Trabalho de Conclusão de Curso</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p>
        </w:tc>
        <w:tc>
          <w:tcPr>
            <w:tcW w:w="7604" w:type="dxa"/>
          </w:tcPr>
          <w:p w14:paraId="5FE4DE85">
            <w:pPr>
              <w:pStyle w:val="3"/>
              <w:ind w:firstLine="0"/>
              <w:jc w:val="left"/>
              <w:rPr>
                <w:color w:val="000000"/>
              </w:rPr>
            </w:pP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2254BDD2">
          <w:pPr>
            <w:pStyle w:val="3"/>
            <w:keepNext w:val="0"/>
            <w:keepLines w:val="0"/>
            <w:pageBreakBefore w:val="0"/>
            <w:widowControl/>
            <w:shd w:val="clear" w:fill="auto"/>
            <w:tabs>
              <w:tab w:val="right" w:pos="8494"/>
            </w:tabs>
            <w:spacing w:before="0" w:after="0" w:line="360" w:lineRule="auto"/>
            <w:ind w:left="0" w:right="0" w:firstLine="0"/>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3DBF3F7A">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_Toc9112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_Toc9112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3C5843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_Toc27391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_Toc27391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8D20D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_Toc26454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_Toc26454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04BD97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_Toc14940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_Toc14940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63C19E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_Toc27160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_Toc27160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3473B6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_Toc7595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_Toc7595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024FD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_Toc17163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_Toc17163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E308472">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_Toc14671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_Toc14671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67F88C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_Toc28492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_Toc28492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9BBAF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_Toc24361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 e Determinantes</w:t>
          </w:r>
          <w:r>
            <w:tab/>
          </w:r>
          <w:r>
            <w:fldChar w:fldCharType="begin"/>
          </w:r>
          <w:r>
            <w:instrText xml:space="preserve"> PAGEREF _Toc24361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C906DC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_Toc1412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Mineração de Dados Educacionais</w:t>
          </w:r>
          <w:r>
            <w:tab/>
          </w:r>
          <w:r>
            <w:fldChar w:fldCharType="begin"/>
          </w:r>
          <w:r>
            <w:instrText xml:space="preserve"> PAGEREF _Toc1412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1ED335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_Toc28233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Modelos Preditivos Baseados em Árvores</w:t>
          </w:r>
          <w:r>
            <w:tab/>
          </w:r>
          <w:r>
            <w:fldChar w:fldCharType="begin"/>
          </w:r>
          <w:r>
            <w:instrText xml:space="preserve"> PAGEREF _Toc28233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CD67B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_Toc10091 </w:instrText>
          </w:r>
          <w:r>
            <w:rPr>
              <w:rFonts w:eastAsia="Arial" w:cs="Arial"/>
              <w:bCs/>
              <w:i w:val="0"/>
              <w:iCs w:val="0"/>
              <w:smallCaps/>
              <w:strike w:val="0"/>
              <w:dstrike w:val="0"/>
              <w:vanish w:val="0"/>
              <w:position w:val="0"/>
              <w:szCs w:val="24"/>
              <w:shd w:val="clear" w:fill="auto"/>
              <w:vertAlign w:val="baseline"/>
            </w:rPr>
            <w:fldChar w:fldCharType="separate"/>
          </w:r>
          <w:r>
            <w:t xml:space="preserve">2.1.4 </w:t>
          </w:r>
          <w:r>
            <w:rPr>
              <w:rFonts w:ascii="Arial" w:hAnsi="Arial" w:eastAsia="Arial" w:cs="Arial"/>
            </w:rPr>
            <w:t>Interpretabilidade dos Modelos</w:t>
          </w:r>
          <w:r>
            <w:tab/>
          </w:r>
          <w:r>
            <w:fldChar w:fldCharType="begin"/>
          </w:r>
          <w:r>
            <w:instrText xml:space="preserve"> PAGEREF _Toc10091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D30AC4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_Toc19683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_Toc19683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A11F46A">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_Toc10323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_Toc10323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DD5E68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_Toc14119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_Toc14119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899B2B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_Toc22833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_Toc22833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4B3A2A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_Toc12723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_Toc12723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C3F7C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_Toc11705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_Toc11705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83A80B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_Toc9397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_Toc9397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372487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_Toc19333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_Toc19333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5A792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_Toc3320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_Toc3320 \h </w:instrText>
          </w:r>
          <w:r>
            <w:fldChar w:fldCharType="separate"/>
          </w:r>
          <w:r>
            <w:t>25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E9611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_Toc23401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_Toc23401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183E48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_Toc23145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_Toc23145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512DF1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_Toc30298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_Toc30298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236B312">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_Toc4072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_Toc4072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9DB728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_Toc4751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_Toc4751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7ED84D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_Toc5714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_Toc5714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2C3728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_Toc15059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_Toc15059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E96677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_Toc1320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_Toc1320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039563F">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_Toc26897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_Toc26897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52EB5A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_Toc30027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_Toc30027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02160E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_Toc26282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_Toc26282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B51CD9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_Toc22170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_Toc22170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FFC628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_Toc26645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_Toc26645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37BD681">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_Toc18292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_Toc18292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3225BD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_Toc1746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_Toc1746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3D67BF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_Toc9590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_Toc9590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3A0A18D">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_Toc5059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_Toc5059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1D9326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_Toc2275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_Toc2275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C44A7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_Toc19803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_Toc19803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79C6B5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_Toc10396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_Toc10396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CC73CF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_Toc8268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_Toc8268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37A0A9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_Toc21142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_Toc21142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3580FA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_Toc3735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_Toc3735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4184BF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_Toc17704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_Toc17704 \h </w:instrText>
          </w:r>
          <w:r>
            <w:fldChar w:fldCharType="separate"/>
          </w:r>
          <w:r>
            <w:t>43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1795A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_Toc30763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_Toc30763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6BFAF3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_Toc22444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_Toc22444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F720E4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_Toc6523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_Toc6523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6C6E98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_Toc5447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_Toc5447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8BF358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_Toc30635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_Toc30635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67A764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_Toc17109 </w:instrText>
          </w:r>
          <w:r>
            <w:rPr>
              <w:rFonts w:eastAsia="Arial" w:cs="Arial"/>
              <w:bCs/>
              <w:i w:val="0"/>
              <w:iCs w:val="0"/>
              <w:smallCaps/>
              <w:strike w:val="0"/>
              <w:dstrike w:val="0"/>
              <w:vanish w:val="0"/>
              <w:position w:val="0"/>
              <w:szCs w:val="24"/>
              <w:shd w:val="clear" w:fill="auto"/>
              <w:vertAlign w:val="baseline"/>
            </w:rPr>
            <w:fldChar w:fldCharType="separate"/>
          </w:r>
          <w:r>
            <w:t xml:space="preserve">6.3.4 </w:t>
          </w:r>
          <w:r>
            <w:rPr>
              <w:rFonts w:ascii="Arial" w:hAnsi="Arial" w:eastAsia="Arial" w:cs="Arial"/>
              <w:highlight w:val="yellow"/>
            </w:rPr>
            <w:t>Resultados em Cada Transição Anual</w:t>
          </w:r>
          <w:r>
            <w:tab/>
          </w:r>
          <w:r>
            <w:fldChar w:fldCharType="begin"/>
          </w:r>
          <w:r>
            <w:instrText xml:space="preserve"> PAGEREF _Toc17109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F0AE2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_Toc28487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_Toc28487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31E2DF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_Toc20810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_Toc20810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8B8DF8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_Toc425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_Toc425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01113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_Toc2056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_Toc2056 \h </w:instrText>
          </w:r>
          <w:r>
            <w:fldChar w:fldCharType="separate"/>
          </w:r>
          <w:r>
            <w:t>51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310059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_Toc7786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_Toc7786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ABE083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_Toc20217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_Toc20217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565670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_Toc20891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_Toc20891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9B4F1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_Toc32372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_Toc32372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1AEEADD">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_Toc17567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_Toc17567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DC417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_Toc2858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_Toc2858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31A22B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_Toc11985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_Toc11985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3F164C">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_Toc22200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_Toc22200 \h </w:instrText>
          </w:r>
          <w:r>
            <w:fldChar w:fldCharType="separate"/>
          </w:r>
          <w:r>
            <w:t>58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7A19126">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_Toc31837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_Toc31837 \h </w:instrText>
          </w:r>
          <w:r>
            <w:fldChar w:fldCharType="separate"/>
          </w:r>
          <w:r>
            <w:t>60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9060"/>
            </w:tabs>
            <w:spacing w:before="0" w:after="0" w:line="360" w:lineRule="auto"/>
            <w:ind w:left="1134" w:right="0" w:hanging="1134"/>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9112"/>
      <w:r>
        <w:rPr>
          <w:rFonts w:ascii="Arial" w:hAnsi="Arial" w:eastAsia="Arial" w:cs="Arial"/>
          <w:b w:val="0"/>
        </w:rPr>
        <w:t>Introdução</w:t>
      </w:r>
      <w:bookmarkEnd w:id="1"/>
    </w:p>
    <w:p w14:paraId="71BF03DA">
      <w:pPr>
        <w:pStyle w:val="4"/>
        <w:numPr>
          <w:ilvl w:val="1"/>
          <w:numId w:val="1"/>
        </w:numPr>
      </w:pPr>
      <w:bookmarkStart w:id="2" w:name="_Toc27391"/>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profundas — sociais, econômicas, geográficas e institucionais. Pernambuco implantou um programa pioneiro de Ensino Médio em tempo integral, cuja oferta passou de 56,7% das escolas estaduais em 2022 para 64,9% em 2024. Ainda assim, a rede permanece muito desigual: as escolas rurais e as da região do São Francisco Pernambucano concentram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Hoje ela não dispõe de um mecanismo que antecipe o risco. Sem ele, o gestor age depois que o abandono já apareceu nos números do ano anterior.</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vem caindo: 2,05% em 2022, 1,37% em 2023 e 0,96% em 2024. Essa leitura sugere que a situação está sob controle e, principalmente, não indica onde agir. O exame ano a ano mostra outro quadro. Em 2024, 2.043 alunos abandonaram o Ensino Médio na rede estadual; 67% das escolas não registraram nenhum abandono, e as 79 escolas mais críticas — 10% da rede — responderam por 76% de todos os alunos que saíram. O problema não está espalhado pela rede: está concentrado em poucas escolas.</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 onde alocar equipe, programa e visita — acontece exatamente nesse nível.</w:t>
      </w:r>
    </w:p>
    <w:p w14:paraId="4E5B67FE">
      <w:pPr>
        <w:pStyle w:val="4"/>
        <w:numPr>
          <w:ilvl w:val="1"/>
          <w:numId w:val="1"/>
        </w:numPr>
      </w:pPr>
      <w:bookmarkStart w:id="3" w:name="_Toc26454"/>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Pergunta de previsão (P2): 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(P3):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 seja porque perdem mais alunos do que o perfil indica, e merecem atenção imediata, seja porque resistem apesar de um perfil desfavorável, e merecem ser estudadas.</w:t>
      </w:r>
    </w:p>
    <w:p w14:paraId="1E3A4383">
      <w:pPr>
        <w:pStyle w:val="4"/>
        <w:numPr>
          <w:ilvl w:val="1"/>
          <w:numId w:val="1"/>
        </w:numPr>
      </w:pPr>
      <w:bookmarkStart w:id="4" w:name="_Toc14940"/>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27160"/>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7595"/>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17163"/>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em suas quatro visões.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14671"/>
      <w:r>
        <w:rPr>
          <w:rFonts w:ascii="Arial" w:hAnsi="Arial" w:eastAsia="Arial" w:cs="Arial"/>
          <w:b w:val="0"/>
        </w:rPr>
        <w:t>Revisão Bibliográfica</w:t>
      </w:r>
      <w:bookmarkEnd w:id="8"/>
    </w:p>
    <w:p w14:paraId="02527F0D">
      <w:pPr>
        <w:pStyle w:val="3"/>
        <w:ind w:firstLine="0"/>
        <w:rPr>
          <w:color w:val="2E75B5"/>
        </w:rPr>
      </w:pPr>
      <w:r>
        <w:rPr>
          <w:rFonts w:ascii="Arial" w:hAnsi="Arial" w:eastAsia="Arial" w:cs="Arial"/>
          <w:b w:val="0"/>
        </w:rPr>
        <w:t>Este capítulo reúne a base conceitual e os trabalhos que sustentam o sistema proposto. A primeira seção estabelece os fundamentos teóricos em quatro frentes: o fenômeno da evasão escolar e seus determinantes, a mineração de dados educacionais como campo que aplica aprendizado de máquina a dados da educação, os modelos preditivos baseados em árvores e as técnicas de interpretabilidade empregadas no trabalho. A segunda seção examina pesquisas correlatas de predição de evasão e situa a contribuição desta monografia diante do que já foi publicado, sobretudo no contexto brasileiro.</w:t>
      </w:r>
    </w:p>
    <w:p w14:paraId="39C81C03">
      <w:pPr>
        <w:pStyle w:val="4"/>
        <w:numPr>
          <w:ilvl w:val="1"/>
          <w:numId w:val="1"/>
        </w:numPr>
      </w:pPr>
      <w:bookmarkStart w:id="9" w:name="_Toc28492"/>
      <w:r>
        <w:rPr>
          <w:rFonts w:ascii="Arial" w:hAnsi="Arial" w:eastAsia="Arial" w:cs="Arial"/>
          <w:b w:val="0"/>
        </w:rPr>
        <w:t>Fundamentação Teórica</w:t>
      </w:r>
      <w:bookmarkEnd w:id="9"/>
    </w:p>
    <w:p w14:paraId="0ED2592D">
      <w:pPr>
        <w:pStyle w:val="5"/>
        <w:numPr>
          <w:ilvl w:val="2"/>
          <w:numId w:val="1"/>
        </w:numPr>
      </w:pPr>
      <w:bookmarkStart w:id="10" w:name="_Toc24361"/>
      <w:r>
        <w:rPr>
          <w:rFonts w:ascii="Arial" w:hAnsi="Arial" w:eastAsia="Arial" w:cs="Arial"/>
          <w:b w:val="0"/>
        </w:rPr>
        <w:t>Evasão Escolar: Conceito e Determinantes</w:t>
      </w:r>
      <w:bookmarkEnd w:id="10"/>
    </w:p>
    <w:p w14:paraId="28E7AB52">
      <w:pPr>
        <w:pStyle w:val="3"/>
        <w:ind w:firstLine="0"/>
        <w:rPr>
          <w:color w:val="2E75B5"/>
        </w:rPr>
      </w:pPr>
      <w:r>
        <w:rPr>
          <w:rFonts w:ascii="Arial" w:hAnsi="Arial" w:eastAsia="Arial" w:cs="Arial"/>
          <w:b w:val="0"/>
        </w:rPr>
        <w:t>A evasão escolar é entendida na literatura menos como um evento isolado e mais como o desfecho de um processo prolongado de afastamento entre o estudante e a instituição de ensino. Tinto (1975), em um dos modelos teóricos mais influentes sobre o tema, descreve o abandono como resultado do baixo grau de integração acadêmica e social do estudante ao ambiente escolar, de modo que fatores individuais e institucionais se combinam ao longo do tempo até a decisão de sair. Rumberger (2011), ao revisar décadas de pesquisa sobre o ensino médio, reforça essa leitura processual e chama atenção para o caráter multinível do fenômeno: além das características do aluno — desempenho, defasagem idade-série e condição socioeconômica —, pesam atributos da própria escola e do território em que ela se insere.</w:t>
      </w:r>
    </w:p>
    <w:p w14:paraId="61255A77">
      <w:pPr>
        <w:pStyle w:val="3"/>
        <w:ind w:firstLine="0"/>
        <w:rPr>
          <w:color w:val="2E75B5"/>
        </w:rPr>
      </w:pPr>
      <w:r>
        <w:rPr>
          <w:rFonts w:ascii="Arial" w:hAnsi="Arial" w:eastAsia="Arial" w:cs="Arial"/>
          <w:b w:val="0"/>
        </w:rPr>
        <w:t>No sistema estatístico brasileiro, o Instituto Nacional de Estudos e Pesquisas Educacionais Anísio Teixeira (Inep) mede o abandono como a parcela de estudantes que, matriculados no início do ano letivo, deixam de frequentar a escola antes de seu término, distinguindo-o da evasão, associada à não rematrícula no ano seguinte (BRASIL, 2024). Essa taxa de abandono é o indicador adotado neste trabalho por ser observáv</w:t>
      </w:r>
      <w:bookmarkStart w:id="66" w:name="_GoBack"/>
      <w:bookmarkEnd w:id="66"/>
      <w:r>
        <w:rPr>
          <w:rFonts w:ascii="Arial" w:hAnsi="Arial" w:eastAsia="Arial" w:cs="Arial"/>
          <w:b w:val="0"/>
        </w:rPr>
        <w:t>el anualmente e comparável entre escolas. Para além da mensuração, a permanência escolar tem valor formativo e social: Freire (1987) situa a educação como prática de emancipação, o que confere ao enfrentamento da evasão um significado que ultrapassa o desempenho estatístico da rede.</w:t>
      </w:r>
    </w:p>
    <w:p w14:paraId="22509AB0">
      <w:pPr>
        <w:pStyle w:val="5"/>
        <w:numPr>
          <w:ilvl w:val="2"/>
          <w:numId w:val="1"/>
        </w:numPr>
      </w:pPr>
      <w:bookmarkStart w:id="11" w:name="_Toc1412"/>
      <w:r>
        <w:rPr>
          <w:rFonts w:ascii="Arial" w:hAnsi="Arial" w:eastAsia="Arial" w:cs="Arial"/>
          <w:b w:val="0"/>
        </w:rPr>
        <w:t>Mineração de Dados Educacionais</w:t>
      </w:r>
      <w:bookmarkEnd w:id="11"/>
    </w:p>
    <w:p w14:paraId="5513F21D">
      <w:pPr>
        <w:pStyle w:val="3"/>
        <w:ind w:firstLine="0"/>
        <w:rPr>
          <w:color w:val="2E75B5"/>
        </w:rPr>
      </w:pPr>
      <w:r>
        <w:rPr>
          <w:rFonts w:ascii="Arial" w:hAnsi="Arial" w:eastAsia="Arial" w:cs="Arial"/>
          <w:b w:val="0"/>
        </w:rPr>
        <w:t>A aplicação sistemática de técnicas computacionais a dados educacionais consolidou-se no campo da mineração de dados educacionais (educational data mining). Romero e Ventura (2010) definem a área como o desenvolvimento de métodos para explorar os dados originados em contextos de ensino, com o objetivo de compreender melhor os estudantes e os ambientes de aprendizagem. Baker e Yacef (2009), ao revisarem o estado do campo, apontam a predição como uma de suas tarefas centrais — estimar um resultado futuro, como desempenho ou abandono, a partir de atributos observados. Um exemplo precursor é o de Cortez e Silva (2008), que empregaram árvores de decisão, florestas aleatórias, redes neurais e máquinas de vetores de suporte para prever o desempenho de estudantes do ensino secundário português a partir de variáveis escolares e socioeconômicas.</w:t>
      </w:r>
    </w:p>
    <w:p w14:paraId="73A69EFE">
      <w:pPr>
        <w:pStyle w:val="5"/>
        <w:numPr>
          <w:ilvl w:val="2"/>
          <w:numId w:val="1"/>
        </w:numPr>
      </w:pPr>
      <w:bookmarkStart w:id="12" w:name="_Toc28233"/>
      <w:r>
        <w:rPr>
          <w:rFonts w:ascii="Arial" w:hAnsi="Arial" w:eastAsia="Arial" w:cs="Arial"/>
          <w:b w:val="0"/>
        </w:rPr>
        <w:t>Modelos Preditivos Baseados em Árvores</w:t>
      </w:r>
      <w:bookmarkEnd w:id="12"/>
    </w:p>
    <w:p w14:paraId="4330AD82">
      <w:pPr>
        <w:pStyle w:val="3"/>
        <w:ind w:firstLine="0"/>
        <w:rPr>
          <w:color w:val="2E75B5"/>
        </w:rPr>
      </w:pPr>
      <w:r>
        <w:rPr>
          <w:rFonts w:ascii="Arial" w:hAnsi="Arial" w:eastAsia="Arial" w:cs="Arial"/>
          <w:b w:val="0"/>
        </w:rPr>
        <w:t>Entre os métodos de aprendizado de máquina, os baseados em árvores de decisão destacam-se no tratamento de dados tabulares, como os deste trabalho. Breiman (2001) propôs as florestas aleatórias (random forests), que combinam um grande número de árvores treinadas sobre amostras e subconjuntos de atributos distintos, reduzindo a variância e a tendência ao sobreajuste de uma árvore isolada. Uma alternativa que costuma alcançar desempenho superior em dados tabulares é o gradiente impulsionado (gradient boosting), no qual as árvores são construídas em sequência, cada uma corrigindo os erros das anteriores. Chen e Guestrin (2016) apresentaram o XGBoost, uma implementação escalável e regularizada desse princípio, amplamente adotada por seu desempenho e eficiência, e escolhida como modelo principal desta monografia.</w:t>
      </w:r>
    </w:p>
    <w:p w14:paraId="3B05318F">
      <w:pPr>
        <w:pStyle w:val="5"/>
        <w:numPr>
          <w:ilvl w:val="2"/>
          <w:numId w:val="1"/>
        </w:numPr>
      </w:pPr>
      <w:bookmarkStart w:id="13" w:name="_Toc10091"/>
      <w:r>
        <w:rPr>
          <w:rFonts w:ascii="Arial" w:hAnsi="Arial" w:eastAsia="Arial" w:cs="Arial"/>
          <w:b w:val="0"/>
        </w:rPr>
        <w:t>Interpretabilidade dos Modelos</w:t>
      </w:r>
      <w:bookmarkEnd w:id="13"/>
    </w:p>
    <w:p w14:paraId="6975BC01">
      <w:pPr>
        <w:pStyle w:val="3"/>
        <w:ind w:firstLine="0"/>
        <w:rPr>
          <w:color w:val="2E75B5"/>
        </w:rPr>
      </w:pPr>
      <w:r>
        <w:rPr>
          <w:rFonts w:ascii="Arial" w:hAnsi="Arial" w:eastAsia="Arial" w:cs="Arial"/>
          <w:b w:val="0"/>
        </w:rPr>
        <w:t>Modelos de alto desempenho como as florestas e o boosting são frequentemente descritos como caixas-pretas, pois a relação entre suas entradas e saídas não é diretamente legível. Em decisões de interesse público, saber por que uma previsão foi feita é tão importante quanto a previsão em si. Duas técnicas tornaram-se referência para explicar previsões de qualquer modelo: o LIME, de Ribeiro, Singh e Guestrin (2016), que aproxima localmente o modelo por um substituto interpretável; e o SHAP, de Lundberg e Lee (2017), que atribui a cada atributo uma contribuição para a previsão com base na teoria dos valores de Shapley, oferecendo explicações consistentes tanto no nível individual quanto no global. Molnar (2022) sistematiza esse conjunto de métodos e argumenta que a interpretabilidade é condição para a confiança e a auditabilidade de sistemas preditivos. Este trabalho adota o SHAP para explicar o risco previsto de cada escola.</w:t>
      </w:r>
    </w:p>
    <w:p w14:paraId="23F01F44">
      <w:pPr>
        <w:pStyle w:val="4"/>
        <w:numPr>
          <w:ilvl w:val="1"/>
          <w:numId w:val="1"/>
        </w:numPr>
      </w:pPr>
      <w:bookmarkStart w:id="14" w:name="_Toc19683"/>
      <w:r>
        <w:rPr>
          <w:rFonts w:ascii="Arial" w:hAnsi="Arial" w:eastAsia="Arial" w:cs="Arial"/>
          <w:b w:val="0"/>
        </w:rPr>
        <w:t>Trabalhos Relacionados</w:t>
      </w:r>
      <w:bookmarkEnd w:id="14"/>
    </w:p>
    <w:p w14:paraId="4413B595">
      <w:pPr>
        <w:pStyle w:val="3"/>
        <w:ind w:firstLine="0"/>
        <w:rPr>
          <w:color w:val="2E75B5"/>
        </w:rPr>
      </w:pPr>
      <w:r>
        <w:rPr>
          <w:rFonts w:ascii="Arial" w:hAnsi="Arial" w:eastAsia="Arial" w:cs="Arial"/>
          <w:b w:val="0"/>
        </w:rPr>
        <w:t>A predição de evasão por aprendizado de máquina é um tema ativo, inclusive no Brasil. Dois mapeamentos sistemáticos recentes ilustram o volume e a orientação da produção nacional: Jesus e Gusmão (2024) analisaram 336 estudos, e Nascimento et al. (2024) revisaram a literatura sobre técnicas de mineração de dados aplicadas à evasão estudantil, ambos evidenciando o predomínio de abordagens de classificação e a concentração de trabalhos no ensino superior. Ainda no contexto brasileiro, Teodoro e Kappel (2020) aplicaram cinco técnicas de aprendizado de máquina a dados públicos do Inep para prever o risco de evasão em instituições públicas de ensino superior — exemplo próximo desta monografia quanto à fonte de dados, ainda que voltado a outro nível de ensino.</w:t>
      </w:r>
    </w:p>
    <w:p w14:paraId="7F084826">
      <w:pPr>
        <w:pStyle w:val="3"/>
        <w:ind w:firstLine="0"/>
        <w:rPr>
          <w:color w:val="2E75B5"/>
        </w:rPr>
      </w:pPr>
      <w:r>
        <w:rPr>
          <w:rFonts w:ascii="Arial" w:hAnsi="Arial" w:eastAsia="Arial" w:cs="Arial"/>
          <w:b w:val="0"/>
        </w:rPr>
        <w:t>No campo dos sistemas de alerta precoce (early warning systems), Bowers, Sprott e Taff (2013) revisaram 110 indicadores de risco de abandono em 36 estudos e mostraram, por meio de análise ROC, que muitos indicadores usuais têm alta precisão mas baixa acurácia, sendo os mais confiáveis aqueles baseados em desempenho e trajetória. Esse resultado justifica avaliar um sistema de priorização não apenas por seu erro médio, mas por sua capacidade de ordenar corretamente as escolas de maior risco — critério adotado neste trabalho. Cabe registrar, por fim, uma lacuna: a maior parte da literatura opera no nível do estudante e no ensino superior, ao passo que esta monografia toma a escola como unidade de análise na educação básica, combinando dados públicos, um modelo de boosting e explicações por SHAP para apoiar a priorização de intervenções pela gestão estadual.</w:t>
      </w:r>
    </w:p>
    <w:p w14:paraId="1319101A">
      <w:pPr>
        <w:pStyle w:val="2"/>
        <w:numPr>
          <w:ilvl w:val="0"/>
          <w:numId w:val="1"/>
        </w:numPr>
        <w:rPr>
          <w:color w:val="000000"/>
        </w:rPr>
      </w:pPr>
      <w:bookmarkStart w:id="15" w:name="_Toc10323"/>
      <w:r>
        <w:rPr>
          <w:rFonts w:ascii="Arial" w:hAnsi="Arial" w:eastAsia="Arial" w:cs="Arial"/>
          <w:b w:val="0"/>
        </w:rPr>
        <w:t>Método de Desenvolvimento</w:t>
      </w:r>
      <w:bookmarkEnd w:id="15"/>
    </w:p>
    <w:p w14:paraId="39EFBDEF">
      <w:pPr>
        <w:pStyle w:val="4"/>
        <w:numPr>
          <w:ilvl w:val="1"/>
          <w:numId w:val="1"/>
        </w:numPr>
      </w:pPr>
      <w:bookmarkStart w:id="16" w:name="_Toc14119"/>
      <w:r>
        <w:rPr>
          <w:rFonts w:ascii="Arial" w:hAnsi="Arial" w:eastAsia="Arial" w:cs="Arial"/>
          <w:b w:val="0"/>
        </w:rPr>
        <w:t>Processo de Desenvolvimento</w:t>
      </w:r>
      <w:bookmarkEnd w:id="16"/>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o processo CRISP-DM — que organiza projetos desse tipo em seis etapas: entendimento do negócio, entendimento dos dados, preparação dos dados, construção do modelo, avaliação e implantação — com um ciclo iterativo e incremental.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O desenvolvimento separa de forma explícita o código de produção do código de análise. Os módulos reaproveitáveis ficam no pacote src, organizado em camadas de responsabilidade única; os scripts de análise, numerados, ficam em notebooks e apenas consomem esses módulos. Os dados percorrem três estágios — originais, intermediários e finais — e nunca são sobrescritos no estágio anterior. Essa organização sustenta duas propriedades exigidas do sistema: qualquer resultado pode ser refeito a partir dos arquivos originais, e cada módulo pode ser testado isoladamente.</w:t>
      </w:r>
    </w:p>
    <w:p w14:paraId="4D605BAE">
      <w:pPr>
        <w:pStyle w:val="4"/>
        <w:numPr>
          <w:ilvl w:val="1"/>
          <w:numId w:val="1"/>
        </w:numPr>
      </w:pPr>
      <w:bookmarkStart w:id="17" w:name="_Toc22833"/>
      <w:r>
        <w:rPr>
          <w:rFonts w:ascii="Arial" w:hAnsi="Arial" w:eastAsia="Arial" w:cs="Arial"/>
          <w:b w:val="0"/>
        </w:rPr>
        <w:t>Fases Executadas</w:t>
      </w:r>
      <w:bookmarkEnd w:id="17"/>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D411C45">
      <w:pPr>
        <w:pStyle w:val="5"/>
        <w:numPr>
          <w:ilvl w:val="2"/>
          <w:numId w:val="1"/>
        </w:numPr>
      </w:pPr>
      <w:bookmarkStart w:id="18" w:name="_Toc12723"/>
      <w:r>
        <w:rPr>
          <w:rFonts w:ascii="Arial" w:hAnsi="Arial" w:eastAsia="Arial" w:cs="Arial"/>
          <w:b w:val="0"/>
        </w:rPr>
        <w:t>Planejamento e Decisões</w:t>
      </w:r>
      <w:bookmarkEnd w:id="18"/>
    </w:p>
    <w:p w14:paraId="2D034E36">
      <w:pPr>
        <w:pStyle w:val="3"/>
        <w:ind w:firstLine="0"/>
        <w:rPr>
          <w:color w:val="2E75B5"/>
        </w:rPr>
      </w:pPr>
      <w:r>
        <w:rPr>
          <w:rFonts w:ascii="Arial" w:hAnsi="Arial" w:eastAsia="Arial" w:cs="Arial"/>
          <w:b w:val="0"/>
        </w:rPr>
        <w:t>A fase inicial consolidou as decisões estruturantes. A escola — não o aluno —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9" w:name="_Toc11705"/>
      <w:r>
        <w:rPr>
          <w:rFonts w:ascii="Arial" w:hAnsi="Arial" w:eastAsia="Arial" w:cs="Arial"/>
          <w:b w:val="0"/>
        </w:rPr>
        <w:t>Leitura e Padronização dos Dados do Censo</w:t>
      </w:r>
      <w:bookmarkEnd w:id="19"/>
    </w:p>
    <w:p w14:paraId="32CB1368">
      <w:pPr>
        <w:pStyle w:val="3"/>
        <w:ind w:firstLine="0"/>
        <w:rPr>
          <w:color w:val="2E75B5"/>
        </w:rPr>
      </w:pPr>
      <w:r>
        <w:rPr>
          <w:rFonts w:ascii="Arial" w:hAnsi="Arial" w:eastAsia="Arial" w:cs="Arial"/>
          <w:b w:val="0"/>
        </w:rPr>
        <w:t>A primeira fase de implementação construiu a leitura dos dados do Censo Escolar. Um módulo carrega os arquivos anuais, com busca tolerante pelos nomes —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A rede cobre 185 municípios e 86% das escolas são urbanas. A mediana é de cerca de 350 matrículas de Ensino Médio por escola. O índice de infraestrutura é muito menor nas escolas rurais (0,52 contra 0,71). Essa fase também revelou problemas nos dados de origem que orientaram decisões posteriores: uma coluna de matrículas ausente em todo o ano de 2022, descartada, e o código de região do estado, que muda de formato entre 2022 e 2023 e precisou ser convertido.</w:t>
      </w:r>
    </w:p>
    <w:p w14:paraId="40F8A41F">
      <w:pPr>
        <w:pStyle w:val="5"/>
        <w:numPr>
          <w:ilvl w:val="2"/>
          <w:numId w:val="1"/>
        </w:numPr>
      </w:pPr>
      <w:bookmarkStart w:id="20" w:name="_Toc9397"/>
      <w:r>
        <w:rPr>
          <w:rFonts w:ascii="Arial" w:hAnsi="Arial" w:eastAsia="Arial" w:cs="Arial"/>
          <w:b w:val="0"/>
        </w:rPr>
        <w:t>Integração dos Indicadores Complementares</w:t>
      </w:r>
      <w:bookmarkEnd w:id="20"/>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 aprovação, reprovação e abandono, no total e por série —, o nível socioeconômico, a regularidade do corpo docente, a defasagem idade-série e a adequação da formação dos professores.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e não em zero —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21" w:name="_Toc19333"/>
      <w:r>
        <w:rPr>
          <w:rFonts w:ascii="Arial" w:hAnsi="Arial" w:eastAsia="Arial" w:cs="Arial"/>
          <w:b w:val="0"/>
        </w:rPr>
        <w:t>Seleção e Preparação das Características</w:t>
      </w:r>
      <w:bookmarkEnd w:id="21"/>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O sistema usa 39. A redução é deliberada: com 1.586 observações, manter centenas de colunas faria o sistema decorar a base em vez de aprender o padrão — ele acertaria o passado e erraria o ano seguinte.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O primeiro elimina informação repetida: o número de turmas e o de professores acompanham quase perfeitamente o de matrículas, e manter os três apenas confunde o sistema. O segundo elimina informação que é consequência aritmética de outra: a taxa de aprovação é o que sobra depois da reprovação e do abandono, e fornecê-la seria entregar a resposta antecipadamente. O terceiro elimina colunas ausentes na maior parte das escolas, como 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22" w:name="_Toc3320"/>
      <w:r>
        <w:rPr>
          <w:rFonts w:ascii="Arial" w:hAnsi="Arial" w:eastAsia="Arial" w:cs="Arial"/>
          <w:b w:val="0"/>
        </w:rPr>
        <w:t>Construção e Ajuste do Modelo de Previsão</w:t>
      </w:r>
      <w:bookmarkEnd w:id="22"/>
    </w:p>
    <w:p w14:paraId="234DC940">
      <w:pPr>
        <w:pStyle w:val="3"/>
        <w:ind w:firstLine="0"/>
        <w:rPr>
          <w:color w:val="2E75B5"/>
        </w:rPr>
      </w:pPr>
      <w:r>
        <w:rPr>
          <w:rFonts w:ascii="Arial" w:hAnsi="Arial" w:eastAsia="Arial" w:cs="Arial"/>
          <w:b w:val="0"/>
        </w:rPr>
        <w:t>A quarta fase construiu o modelo. Antes do modelo principal, dois modelos de referência foram avaliados — um linear e um baseado em árvores de decisão —,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Manter o preparo idêntico é o que torna a comparação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 árvores rasas, aprendizado lento e forte penalização de complexidade —, coerente com uma base de treino de menos de 800 observações. O modelo final é gravado em disco e carregado pelo painel; treino e uso são etapas separadas.</w:t>
      </w:r>
    </w:p>
    <w:p w14:paraId="5B1CFE5A">
      <w:pPr>
        <w:pStyle w:val="5"/>
        <w:numPr>
          <w:ilvl w:val="2"/>
          <w:numId w:val="1"/>
        </w:numPr>
      </w:pPr>
      <w:bookmarkStart w:id="23" w:name="_Toc23401"/>
      <w:r>
        <w:rPr>
          <w:rFonts w:ascii="Arial" w:hAnsi="Arial" w:eastAsia="Arial" w:cs="Arial"/>
          <w:b w:val="0"/>
        </w:rPr>
        <w:t>Explicação das Previsões</w:t>
      </w:r>
      <w:bookmarkEnd w:id="23"/>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A consistência da decomposição — a soma das contribuições precisa reproduzir a previsão — é verificada por teste automatizado.</w:t>
      </w:r>
    </w:p>
    <w:p w14:paraId="3DF04341">
      <w:pPr>
        <w:pStyle w:val="5"/>
        <w:numPr>
          <w:ilvl w:val="2"/>
          <w:numId w:val="1"/>
        </w:numPr>
      </w:pPr>
      <w:bookmarkStart w:id="24" w:name="_Toc23145"/>
      <w:r>
        <w:rPr>
          <w:rFonts w:ascii="Arial" w:hAnsi="Arial" w:eastAsia="Arial" w:cs="Arial"/>
          <w:b w:val="0"/>
        </w:rPr>
        <w:t>Construção do Painel de Priorização</w:t>
      </w:r>
      <w:bookmarkEnd w:id="24"/>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escopo do painel foi definido como apoio à decisão — priorizar escolas e explicar o porquê —, e não como recomendação automática de ações. A razão é metodológica: o sistema identifica associações, não causas. Sugerir a intervenção específica exigiria evidência de causalidade que os dados não sustentam. O painel mostra onde olhar primeiro e por quê; a decisão de como agir permanece com o gestor.</w:t>
      </w:r>
    </w:p>
    <w:p w14:paraId="7820F8BC">
      <w:pPr>
        <w:pStyle w:val="4"/>
        <w:numPr>
          <w:ilvl w:val="1"/>
          <w:numId w:val="1"/>
        </w:numPr>
      </w:pPr>
      <w:bookmarkStart w:id="25" w:name="_Toc30298"/>
      <w:r>
        <w:rPr>
          <w:rFonts w:ascii="Arial" w:hAnsi="Arial" w:eastAsia="Arial" w:cs="Arial"/>
          <w:b w:val="0"/>
        </w:rPr>
        <w:t>Práticas de Engenharia de Software</w:t>
      </w:r>
      <w:bookmarkEnd w:id="25"/>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98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e a ordenação da lista;</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6" w:name="_Toc4072"/>
      <w:r>
        <w:rPr>
          <w:rFonts w:ascii="Arial" w:hAnsi="Arial" w:eastAsia="Arial" w:cs="Arial"/>
          <w:b w:val="0"/>
        </w:rPr>
        <w:t>Arquitetura do Software</w:t>
      </w:r>
      <w:bookmarkEnd w:id="26"/>
    </w:p>
    <w:p w14:paraId="527CA8A8">
      <w:pPr>
        <w:pStyle w:val="4"/>
        <w:numPr>
          <w:ilvl w:val="1"/>
          <w:numId w:val="1"/>
        </w:numPr>
      </w:pPr>
      <w:bookmarkStart w:id="27" w:name="_Toc4751"/>
      <w:r>
        <w:rPr>
          <w:rFonts w:ascii="Arial" w:hAnsi="Arial" w:eastAsia="Arial" w:cs="Arial"/>
          <w:b w:val="0"/>
        </w:rPr>
        <w:t>Aspectos Funcionais e Não-Funcionais</w:t>
      </w:r>
      <w:bookmarkEnd w:id="27"/>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Entre os requisitos não funcionais destacam-se cinco. Reprodutibilidade: qualquer resultado deve ser reconstruível a partir dos dados originais, que permanecem imutáveis. Explicabilidade: o sistema precisa justificar cada indicação de prioridade — requisito que descartou alternativas de melhor desempenho bruto e menor transparência. Ausência de vazamento: a validação deve respeitar a ordem do tempo e a proximidade geográfica, sob pena de produzir números otimistas e falsos. Testabilidade: cada módulo é coberto por testes automatizados. Portabilidade: a aplicação deve ser empacotável para implantação sem depender da máquina de desenvolvimento.</w:t>
      </w:r>
    </w:p>
    <w:p w14:paraId="64DEEBC7">
      <w:pPr>
        <w:pStyle w:val="4"/>
        <w:numPr>
          <w:ilvl w:val="1"/>
          <w:numId w:val="1"/>
        </w:numPr>
      </w:pPr>
      <w:bookmarkStart w:id="28" w:name="_Toc5714"/>
      <w:r>
        <w:rPr>
          <w:rFonts w:ascii="Arial" w:hAnsi="Arial" w:eastAsia="Arial" w:cs="Arial"/>
          <w:b w:val="0"/>
        </w:rPr>
        <w:t>Visão Estrutural</w:t>
      </w:r>
      <w:bookmarkEnd w:id="28"/>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sem ciclos: a camada de características depende da camada de dados; a camada de modelo depende da de características; a camada do painel depende da de modelo. A configuração é transversal a todas. Os scripts de análise e os testes consomem as camadas de produção, e nenhuma camada de produção depende deles. É essa orientação acíclica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 um acoplamento fraco que permite retomar o fluxo a partir de qualquer etapa.</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29" w:name="_Toc15059"/>
      <w:r>
        <w:rPr>
          <w:rFonts w:ascii="Arial" w:hAnsi="Arial" w:eastAsia="Arial" w:cs="Arial"/>
          <w:b w:val="0"/>
        </w:rPr>
        <w:t>Visão Comportamental</w:t>
      </w:r>
      <w:bookmarkEnd w:id="29"/>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30" w:name="_Toc1320"/>
      <w:r>
        <w:rPr>
          <w:rFonts w:ascii="Arial" w:hAnsi="Arial" w:eastAsia="Arial" w:cs="Arial"/>
          <w:b w:val="0"/>
        </w:rPr>
        <w:t>Visão de Implementação e Implantação</w:t>
      </w:r>
      <w:bookmarkEnd w:id="30"/>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31" w:name="_Toc26897"/>
      <w:r>
        <w:rPr>
          <w:rFonts w:ascii="Arial" w:hAnsi="Arial" w:eastAsia="Arial" w:cs="Arial"/>
          <w:b w:val="0"/>
        </w:rPr>
        <w:t>Tecnologias e Aspectos de Implementação</w:t>
      </w:r>
      <w:bookmarkEnd w:id="31"/>
    </w:p>
    <w:p w14:paraId="6E080A24">
      <w:pPr>
        <w:pStyle w:val="4"/>
        <w:numPr>
          <w:ilvl w:val="1"/>
          <w:numId w:val="1"/>
        </w:numPr>
      </w:pPr>
      <w:bookmarkStart w:id="32" w:name="_Toc30027"/>
      <w:r>
        <w:rPr>
          <w:rFonts w:ascii="Arial" w:hAnsi="Arial" w:eastAsia="Arial" w:cs="Arial"/>
          <w:b w:val="0"/>
        </w:rPr>
        <w:t>Soluções de Tecnologia</w:t>
      </w:r>
      <w:bookmarkEnd w:id="32"/>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e numpy; a leitura das planilhas do INEP usa o openpyxl.</w:t>
      </w:r>
    </w:p>
    <w:p w14:paraId="1615CA9A">
      <w:pPr>
        <w:pStyle w:val="3"/>
        <w:ind w:firstLine="0"/>
        <w:rPr>
          <w:color w:val="2E75B5"/>
        </w:rPr>
      </w:pPr>
      <w:r>
        <w:rPr>
          <w:rFonts w:ascii="Arial" w:hAnsi="Arial" w:eastAsia="Arial" w:cs="Arial"/>
          <w:b w:val="0"/>
        </w:rPr>
        <w:t>A construção do modelo usa o scikit-learn e o XGBoost. O scikit-learn fornece o preparo das características, os modelos de referência, a busca de configuração e os protocolos de validação. O XGBoost fornece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33" w:name="_Toc26282"/>
      <w:r>
        <w:rPr>
          <w:rFonts w:ascii="Arial" w:hAnsi="Arial" w:eastAsia="Arial" w:cs="Arial"/>
          <w:b w:val="0"/>
        </w:rPr>
        <w:t>Aspectos de Implementação</w:t>
      </w:r>
      <w:bookmarkEnd w:id="33"/>
    </w:p>
    <w:p w14:paraId="1D664FD8">
      <w:pPr>
        <w:pStyle w:val="5"/>
        <w:numPr>
          <w:ilvl w:val="2"/>
          <w:numId w:val="1"/>
        </w:numPr>
      </w:pPr>
      <w:bookmarkStart w:id="34" w:name="_Toc22170"/>
      <w:r>
        <w:rPr>
          <w:rFonts w:ascii="Arial" w:hAnsi="Arial" w:eastAsia="Arial" w:cs="Arial"/>
          <w:b w:val="0"/>
        </w:rPr>
        <w:t>Estrutura do Código</w:t>
      </w:r>
      <w:bookmarkEnd w:id="34"/>
    </w:p>
    <w:p w14:paraId="5F719458">
      <w:pPr>
        <w:pStyle w:val="3"/>
        <w:ind w:firstLine="0"/>
        <w:rPr>
          <w:color w:val="2E75B5"/>
        </w:rPr>
      </w:pPr>
      <w:r>
        <w:rPr>
          <w:rFonts w:ascii="Arial" w:hAnsi="Arial" w:eastAsia="Arial" w:cs="Arial"/>
          <w:b w:val="0"/>
        </w:rPr>
        <w:t>A implementação separa o código de produção do código de análise.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ficam em notebooks e a aplicação em app.</w:t>
      </w:r>
    </w:p>
    <w:p w14:paraId="0DB58165">
      <w:pPr>
        <w:pStyle w:val="5"/>
        <w:numPr>
          <w:ilvl w:val="2"/>
          <w:numId w:val="1"/>
        </w:numPr>
      </w:pPr>
      <w:bookmarkStart w:id="35" w:name="_Toc26645"/>
      <w:r>
        <w:rPr>
          <w:rFonts w:ascii="Arial" w:hAnsi="Arial" w:eastAsia="Arial" w:cs="Arial"/>
          <w:b w:val="0"/>
        </w:rPr>
        <w:t>Fluxo dos Dados</w:t>
      </w:r>
      <w:bookmarkEnd w:id="35"/>
    </w:p>
    <w:p w14:paraId="067CFA9E">
      <w:pPr>
        <w:pStyle w:val="3"/>
        <w:ind w:firstLine="0"/>
        <w:rPr>
          <w:color w:val="2E75B5"/>
        </w:rPr>
      </w:pPr>
      <w:r>
        <w:rPr>
          <w:rFonts w:ascii="Arial" w:hAnsi="Arial" w:eastAsia="Arial" w:cs="Arial"/>
          <w:b w:val="0"/>
        </w:rPr>
        <w:t>Os dados percorrem três estágios: originais, intermediários e finais. Os arquivos originais do INEP permanecem imutáveis. Cada etapa lê o artefato da etapa anterior e grava o seu, sempre em disco. Esse acoplamento fraco permite reexecutar qualquer etapa isoladamente, sem repetir o fluxo inteiro.</w:t>
      </w:r>
    </w:p>
    <w:p w14:paraId="79BA5652">
      <w:pPr>
        <w:pStyle w:val="5"/>
        <w:numPr>
          <w:ilvl w:val="2"/>
          <w:numId w:val="1"/>
        </w:numPr>
      </w:pPr>
      <w:bookmarkStart w:id="36" w:name="_Toc18292"/>
      <w:r>
        <w:rPr>
          <w:rFonts w:ascii="Arial" w:hAnsi="Arial" w:eastAsia="Arial" w:cs="Arial"/>
          <w:b w:val="0"/>
        </w:rPr>
        <w:t>Painel Interativo</w:t>
      </w:r>
      <w:bookmarkEnd w:id="36"/>
    </w:p>
    <w:p w14:paraId="314579C9">
      <w:pPr>
        <w:pStyle w:val="3"/>
        <w:ind w:firstLine="0"/>
        <w:rPr>
          <w:color w:val="2E75B5"/>
        </w:rPr>
      </w:pPr>
      <w:r>
        <w:rPr>
          <w:rFonts w:ascii="Arial" w:hAnsi="Arial" w:eastAsia="Arial" w:cs="Arial"/>
          <w:b w:val="0"/>
        </w:rPr>
        <w:t>O painel reforça a mesma disciplina de separação. A regra de negócio — lista de risco, explicação por escola e diagnóstico — fica na camada de serviço. A tradução dos nomes técnicos para linguagem de gestor fica em um módulo próprio. A interface apenas consome esses serviços. Assim, a regra é testada sem depender da tela.</w:t>
      </w:r>
    </w:p>
    <w:p w14:paraId="7F290BC8">
      <w:pPr>
        <w:pStyle w:val="5"/>
        <w:numPr>
          <w:ilvl w:val="2"/>
          <w:numId w:val="1"/>
        </w:numPr>
      </w:pPr>
      <w:bookmarkStart w:id="37" w:name="_Toc1746"/>
      <w:r>
        <w:rPr>
          <w:rFonts w:ascii="Arial" w:hAnsi="Arial" w:eastAsia="Arial" w:cs="Arial"/>
          <w:b w:val="0"/>
        </w:rPr>
        <w:t>Testes Automatizados</w:t>
      </w:r>
      <w:bookmarkEnd w:id="37"/>
    </w:p>
    <w:p w14:paraId="79F7FAEC">
      <w:pPr>
        <w:pStyle w:val="3"/>
        <w:ind w:firstLine="0"/>
        <w:rPr>
          <w:color w:val="2E75B5"/>
        </w:rPr>
      </w:pPr>
      <w:r>
        <w:rPr>
          <w:rFonts w:ascii="Arial" w:hAnsi="Arial" w:eastAsia="Arial" w:cs="Arial"/>
          <w:b w:val="0"/>
        </w:rPr>
        <w:t>A suíte cobre os filtros do universo de estudo, a integridade da base histórica, a leitura das planilhas de rendimento, o casamento no tempo entre as características e o abandono, a ausência de vazamento entre treino e teste, o cálculo das medidas de desempenho, a consistência das explicações e a ordenação da lista. Os riscos cobertos por cada módulo estão detalhados no Capítulo 6.</w:t>
      </w:r>
    </w:p>
    <w:p w14:paraId="5CDC61E9">
      <w:pPr>
        <w:pStyle w:val="5"/>
        <w:numPr>
          <w:ilvl w:val="2"/>
          <w:numId w:val="1"/>
        </w:numPr>
      </w:pPr>
      <w:bookmarkStart w:id="38" w:name="_Toc9590"/>
      <w:r>
        <w:rPr>
          <w:rFonts w:ascii="Arial" w:hAnsi="Arial" w:eastAsia="Arial" w:cs="Arial"/>
          <w:b w:val="0"/>
        </w:rPr>
        <w:t>Gerenciamento de Dependências</w:t>
      </w:r>
      <w:bookmarkEnd w:id="38"/>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 requisito de reprodutibilidade estabelecido na arquitetura.</w:t>
      </w:r>
    </w:p>
    <w:p w14:paraId="7A9D3065">
      <w:pPr>
        <w:pStyle w:val="2"/>
        <w:numPr>
          <w:ilvl w:val="0"/>
          <w:numId w:val="1"/>
        </w:numPr>
        <w:rPr>
          <w:color w:val="000000"/>
        </w:rPr>
      </w:pPr>
      <w:bookmarkStart w:id="39" w:name="_Toc5059"/>
      <w:r>
        <w:rPr>
          <w:rFonts w:ascii="Arial" w:hAnsi="Arial" w:eastAsia="Arial" w:cs="Arial"/>
          <w:b w:val="0"/>
        </w:rPr>
        <w:t>Testes e Análise dos Resultados</w:t>
      </w:r>
      <w:bookmarkEnd w:id="39"/>
    </w:p>
    <w:p w14:paraId="5264F51A">
      <w:pPr>
        <w:pStyle w:val="4"/>
        <w:numPr>
          <w:ilvl w:val="1"/>
          <w:numId w:val="1"/>
        </w:numPr>
      </w:pPr>
      <w:bookmarkStart w:id="40" w:name="_Toc2275"/>
      <w:r>
        <w:rPr>
          <w:rFonts w:ascii="Arial" w:hAnsi="Arial" w:eastAsia="Arial" w:cs="Arial"/>
          <w:b w:val="0"/>
        </w:rPr>
        <w:t>Testes de Software</w:t>
      </w:r>
      <w:bookmarkEnd w:id="40"/>
    </w:p>
    <w:p w14:paraId="6D115D9C">
      <w:pPr>
        <w:pStyle w:val="3"/>
        <w:ind w:firstLine="0"/>
        <w:rPr>
          <w:color w:val="2E75B5"/>
        </w:rPr>
      </w:pPr>
      <w:r>
        <w:rPr>
          <w:rFonts w:ascii="Arial" w:hAnsi="Arial" w:eastAsia="Arial" w:cs="Arial"/>
          <w:b w:val="0"/>
        </w:rPr>
        <w:t>A corretude do sistema é garantida por uma suíte de 98 testes automatizados, que roda por inteiro a cada alteração; todos passam na última execução. O ponto importante é o tipo de risco coberto. Em sistemas que aprendem a partir de dados, os erros de preparação em geral não interrompem a execução: eles produzem, em silêncio, um modelo inválido que continua respondendo normalmente. Um deslocamento de um ano no casamento entre as características e o abandono, por exemplo, destruiria todo o valor preditivo sem gerar qualquer sintoma. Por isso os testes se concentram nos riscos que comprometeriam a validade dos resultados.</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06BD26">
      <w:pPr>
        <w:pStyle w:val="4"/>
        <w:numPr>
          <w:ilvl w:val="1"/>
          <w:numId w:val="1"/>
        </w:numPr>
      </w:pPr>
      <w:bookmarkStart w:id="41" w:name="_Toc19803"/>
      <w:r>
        <w:rPr>
          <w:rFonts w:ascii="Arial" w:hAnsi="Arial" w:eastAsia="Arial" w:cs="Arial"/>
          <w:b w:val="0"/>
        </w:rPr>
        <w:t>Caracterização dos Dados e Análise das Características Usadas</w:t>
      </w:r>
      <w:bookmarkEnd w:id="41"/>
    </w:p>
    <w:p w14:paraId="4D464269">
      <w:pPr>
        <w:pStyle w:val="5"/>
        <w:numPr>
          <w:ilvl w:val="2"/>
          <w:numId w:val="1"/>
        </w:numPr>
      </w:pPr>
      <w:bookmarkStart w:id="42" w:name="_Toc10396"/>
      <w:r>
        <w:rPr>
          <w:rFonts w:ascii="Arial" w:hAnsi="Arial" w:eastAsia="Arial" w:cs="Arial"/>
          <w:b w:val="0"/>
        </w:rPr>
        <w:t>Base Construída</w:t>
      </w:r>
      <w:bookmarkEnd w:id="42"/>
    </w:p>
    <w:p w14:paraId="4E588503">
      <w:pPr>
        <w:pStyle w:val="3"/>
        <w:ind w:firstLine="0"/>
        <w:rPr>
          <w:color w:val="2E75B5"/>
        </w:rPr>
      </w:pPr>
      <w:r>
        <w:rPr>
          <w:rFonts w:ascii="Arial" w:hAnsi="Arial" w:eastAsia="Arial" w:cs="Arial"/>
          <w:b w:val="0"/>
        </w:rPr>
        <w:t>A base histórica reúne 2.392 registros de 806 escolas, 97,4% delas presentes nos três anos — o que garante comparabilidade ao longo do tempo. A rede cobre 185 municípios; 86% das escolas são urbanas e a mediana é de cerca de 350 matrículas de Ensino Médio. Aplicada a regra de casamento no tempo, o conjunto usado na previsão tem 1.586 observações de escola e ano, com 39 características e nenhuma lacuna. O Quadro 6 detalha a passagem de um total ao outro.</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D9B71D0">
      <w:pPr>
        <w:pStyle w:val="3"/>
        <w:ind w:firstLine="0"/>
        <w:rPr>
          <w:color w:val="2E75B5"/>
        </w:rPr>
      </w:pPr>
      <w:r>
        <w:rPr>
          <w:rFonts w:ascii="Arial" w:hAnsi="Arial" w:eastAsia="Arial" w:cs="Arial"/>
          <w:b w:val="0"/>
        </w:rPr>
        <w:t>A diferença entre os dois totais não decorre de descarte por qualidade. O sistema aprende com pares: os atributos da escola em um ano e o abandono observado no ano seguinte. Com três anos de painel formam-se apenas dois pares por escola — 2022 para 2023 e 2023 para 2024 —, de modo que as 791 linhas de 2024 não servem de origem, por não haver 2025 a observar. Elas não são perdidas: são justamente o alvo das linhas de 2023. Descontadas essas, restam 1.601 pares potenciais, dos quais 15 não se completam porque a escola não aparece no ano seguinte, tendo saído da rede ou deixado de ofertar Ensino Médio. Chega-se assim às 1.586 observações de escola e ano usadas na previsão.</w:t>
      </w:r>
    </w:p>
    <w:p w14:paraId="79C78634">
      <w:pPr>
        <w:pStyle w:val="5"/>
        <w:numPr>
          <w:ilvl w:val="2"/>
          <w:numId w:val="1"/>
        </w:numPr>
      </w:pPr>
      <w:bookmarkStart w:id="43" w:name="_Toc8268"/>
      <w:r>
        <w:rPr>
          <w:rFonts w:ascii="Arial" w:hAnsi="Arial" w:eastAsia="Arial" w:cs="Arial"/>
          <w:b w:val="0"/>
        </w:rPr>
        <w:t>O Que o Sistema Prevê</w:t>
      </w:r>
      <w:bookmarkEnd w:id="43"/>
    </w:p>
    <w:p w14:paraId="5A81BC93">
      <w:pPr>
        <w:pStyle w:val="3"/>
        <w:ind w:firstLine="0"/>
        <w:rPr>
          <w:color w:val="2E75B5"/>
        </w:rPr>
      </w:pPr>
      <w:r>
        <w:rPr>
          <w:rFonts w:ascii="Arial" w:hAnsi="Arial" w:eastAsia="Arial" w:cs="Arial"/>
          <w:b w:val="0"/>
        </w:rPr>
        <w:t>O sistema prevê um único indicador: a taxa de abandono no Ensino Médio de cada escola no ano seguinte. Ela é publicada pelo INEP e indica o percentual de alunos matriculados que deixaram a escola durante o ano. Uma escola com 400 alunos e taxa de 5% perdeu 20 estudantes no período.</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 a maioria das escolas não registra abandono no ano. A segunda: o risco é muito desigual entre grupos. Em 2024 a taxa média foi de 0,6% nas 680 escolas urbanas (desvio-padrão de 1,8 ponto), 0,9% nas 70 rurais (desvio-padrão de 1,8) e 6,6% nas 40 escolas indígenas e quilombolas (desvio-padrão de 9,0). O desvio elevado neste último grupo mostra que a média alta não é uniforme: convivem escolas sem abandono algum e escolas com taxas acima de 30%.</w:t>
      </w:r>
    </w:p>
    <w:p w14:paraId="19559515">
      <w:pPr>
        <w:pStyle w:val="3"/>
        <w:ind w:firstLine="0"/>
        <w:rPr>
          <w:color w:val="2E75B5"/>
        </w:rPr>
      </w:pPr>
      <w:r>
        <w:rPr>
          <w:rFonts w:ascii="Arial" w:hAnsi="Arial" w:eastAsia="Arial" w:cs="Arial"/>
          <w:b w:val="0"/>
        </w:rPr>
        <w:t>A Figura 7 resume esses dois traços. No painel da esquerda, as observações de escola e ano estão distribuídas por faixa de abandono: a barra “nenhum abandono” concentra 68% dos casos, e as faixas seguintes — de baixo a crítico — encolhem rapidamente, de modo que apenas 2% das observações superam 10% de abandono. No painel da direita está a taxa média de 2024 por grupo de localização, que torna visível a desigualdade descrita acima: as barras urbana e rural ficam próximas de zero, enquanto a das escolas indígenas e quilombolas se destaca, mais de dez vezes acima. Juntos, os dois painéis explicam por que o valor médio da taxa diz pouco e por que o esforço do sistema se volta para ordenar as escolas por risco.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80000" cy="1981382"/>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44" w:name="_Toc21142"/>
      <w:r>
        <w:rPr>
          <w:rFonts w:ascii="Arial" w:hAnsi="Arial" w:eastAsia="Arial" w:cs="Arial"/>
          <w:b w:val="0"/>
        </w:rPr>
        <w:t>Análise Estatística das Características Contínuas</w:t>
      </w:r>
      <w:bookmarkEnd w:id="44"/>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Quatro famílias de indicadores aparecem no quadro e merecem definição. As taxas de abandono e de reprovação do ano anterior são percentuais de matrículas publicados pelo INEP, apresentados para o Ensino Médio como um todo e para cada série. A distorção idade-série é o percentual de alunos com dois anos ou mais acima da idade esperada para a série que cursam. O nível socioeconômico (INSE) é uma escala contínua calculada pelo INEP a partir do perfil das famílias dos alunos — escolaridade dos pais, renda e bens do domicílio —, em que valores maiores indicam comunidades mais favorecidas: entre as 69.820 escolas brasileiras avaliadas em 2021 ela vai de 2,45 a 6,85, e nesta rede varia de 2,97 a 6,10, com média de 4,46. A adequação da formação docente reparte os professores da escola em cinco grupos que somam 100%: o Grupo 1 reúne os que têm licenciatura na própria disciplina que lecionam — a formação considerada ideal —, o Grupo 3 os que têm licenciatura em área diferente da que lecionam, e o Grupo 5 os que não têm ensino superior. Apenas esses três entram no sistema, por resumirem os dois extremos e o caso intermediário mais comum. 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e o desvio-padrão diz o quanto as escolas se afastam dele: quanto maior, mais desigual é a rede naquela característica. Mínimo, mediana e máximo descrevem a distribuição — a mediana é o valor que divide a rede ao meio e, quando fica muito abaixo da média, indica que poucas escolas com valores altos puxam o resultado para cima. A última coluna resume a relação de cada característica com o abandono do ano seguinte por um indicador que varia de −1 a +1: positivo significa que a característica acompanha o aumento do abandono; negativo, que acompanha a redução; e quanto mais distante de zero, mais forte a associação. Os asteriscos indicam a confiança do resultado (* 95%, ** 99%, *** 99,9%); sem asterisco, a relação não se distingue do acaso. As unidades variam conforme a linha: as taxas de abandono, de reprovação e de distorção idade-série, assim como as proporções de matrícula e de formação docente, estão em pontos percentuais; as demais seguem as escalas descritas acima. O porte é a única característica transformada: entra no sistema como logaritmo do número de matrículas, para que escolas muito grandes não dominem a comparação, de modo que a mediana de 5,87 do quadro corresponde a cerca de 350 matrículas.</w:t>
      </w: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agregam a 1ª, 2ª e 3ª séries, a 4ª série e a matrícula não seriada (educação de jovens e adultos e organização modular). Por isso o valor da rede pode superar o máximo observado em qualquer série isolada: o máximo de 55,3% na reprovação corresponde a uma escola cuja matrícula de Ensino Médio é integralmente não seriada. As 283 observações nessa situação — 17,8% do conjunto —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color w:val="2E75B5"/>
        </w:rPr>
      </w:pPr>
      <w:r>
        <w:rPr>
          <w:rFonts w:ascii="Arial" w:hAnsi="Arial" w:eastAsia="Arial" w:cs="Arial"/>
          <w:b w:val="0"/>
        </w:rPr>
        <w:t>O quadro revela três padrões que condicionam o restante do trabalho. O primeiro é a concentração em zero das características de fluxo: metade das escolas não registrou abandono no ano anterior, e a média de 1,72% é puxada por poucas escolas com valores muito altos, até 43,6%. O segundo é o comportamento quase binário do tempo integral: a rede se divide entre escolas totalmente integrais e escolas sem nenhuma matrícula nessa modalidade, com pouca coisa no meio. O terceiro é a distribuição equilibrada da defasagem idade-série, em torno de 23%, o que a torna especialmente útil para diferenciar escolas.</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675"/>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60000" cy="6417181"/>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5" w:name="_Toc3735"/>
      <w:r>
        <w:rPr>
          <w:rFonts w:ascii="Arial" w:hAnsi="Arial" w:eastAsia="Arial" w:cs="Arial"/>
          <w:b w:val="0"/>
        </w:rPr>
        <w:t>Análise Estatística das Características de Sim ou Não</w:t>
      </w:r>
      <w:bookmarkEnd w:id="45"/>
    </w:p>
    <w:p w14:paraId="5679240A">
      <w:pPr>
        <w:pStyle w:val="3"/>
        <w:ind w:firstLine="0"/>
        <w:rPr>
          <w:color w:val="2E75B5"/>
        </w:rPr>
      </w:pPr>
      <w:r>
        <w:rPr>
          <w:rFonts w:ascii="Arial" w:hAnsi="Arial" w:eastAsia="Arial" w:cs="Arial"/>
          <w:b w:val="0"/>
        </w:rPr>
        <w:t>As 15 características de sim ou não são comparadas de outra forma: qual o abandono médio das escolas que têm o atributo e das que não têm. A maior diferença não vem da infraestrutura, e sim da localização.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e vale distingui-las. As duas primeiras colunas repartem as 1.586 observações em dois grupos — as escolas que têm o atributo e as que não têm — e por isso se completam: somadas, dão o total da rede. As duas colunas seguintes são de outra natureza: cada uma traz a taxa média de abandono no ano seguinte dentro de um desses grupos. São duas médias do mesmo indicador, medidas em conjuntos diferentes de escolas, e não há razão para que se somem a 100% —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são estatisticamente distinguíveis do acaso e não devem ser lidas como efeito do atributo.</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32314"/>
                    </a:xfrm>
                    <a:prstGeom prst="rect">
                      <a:avLst/>
                    </a:prstGeom>
                  </pic:spPr>
                </pic:pic>
              </a:graphicData>
            </a:graphic>
          </wp:anchor>
        </w:drawing>
      </w:r>
      <w:r>
        <w:rPr>
          <w:rFonts w:ascii="Arial" w:hAnsi="Arial" w:eastAsia="Arial" w:cs="Arial"/>
          <w:b w:val="0"/>
          <w:sz w:val="20"/>
        </w:rPr>
        <w:t>Figura 9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6" w:name="_Toc17704"/>
      <w:r>
        <w:rPr>
          <w:rFonts w:ascii="Arial" w:hAnsi="Arial" w:eastAsia="Arial" w:cs="Arial"/>
          <w:b w:val="0"/>
        </w:rPr>
        <w:t>A Região do Estado</w:t>
      </w:r>
      <w:bookmarkEnd w:id="46"/>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Essa diferença justifica manter a região entre as características do sistema.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80000" cy="1984060"/>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7" w:name="_Toc30763"/>
      <w:r>
        <w:rPr>
          <w:rFonts w:ascii="Arial" w:hAnsi="Arial" w:eastAsia="Arial" w:cs="Arial"/>
          <w:b w:val="0"/>
        </w:rPr>
        <w:t>Quais Características Têm Valor para a Previsão</w:t>
      </w:r>
      <w:bookmarkEnd w:id="47"/>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 Porte (nº de matrículas), Adequação da formação docente — Grupo 3, Banda larga, Esgoto em rede pública, Água potável, Internet, Auditório e Sala de leitura — não se separaram do acaso. Elas foram mantidas por dois motivos: a ausência de relação isolada não impede que a característica seja útil em combinação com as demais, e o conjunto já é enxuto o bastante para que o custo de mantê-las seja pequeno. Na prática, o próprio sistema lhes atribui pouco peso.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5740"/>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60000" cy="5285933"/>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primeiro é o histórico recente da própria escola — abandono e reprovação do ano anterior —, de longe o mais forte. O segundo é o perfil dos alunos: defasagem idade-série e nível socioeconômico. O terceiro é o contexto: localização diferenciada, zona rural e região do estado. A infraestrutura tem efeito real, porém modesto, e o porte da escola, isoladamente, não guarda relação detectável com o abandono.</w:t>
      </w:r>
    </w:p>
    <w:p w14:paraId="1648CD21">
      <w:pPr>
        <w:pStyle w:val="3"/>
        <w:ind w:firstLine="0"/>
        <w:rPr>
          <w:color w:val="2E75B5"/>
        </w:rPr>
      </w:pPr>
      <w:r>
        <w:rPr>
          <w:rFonts w:ascii="Arial" w:hAnsi="Arial" w:eastAsia="Arial" w:cs="Arial"/>
          <w:b w:val="0"/>
        </w:rPr>
        <w:t>Dois indicadores adicionais do INEP — esforço docente e complexidade de gestão — foram submetidos ao mesmo critério e não entraram no sistema. O primeiro tem relação fraca com o abandono; o segundo repete a informação já trazida pela defasagem idade-série. Uma comparação controlada, com e sem os dois, confirmou a ausência de ganho: a qualidade da ordenação ficou praticamente idêntica e o erro médio piorou ligeiramente. É o caso de dois funcionários que fazem o mesmo serviço — contratar o segundo não aumenta a produção. Ambos permanecem no projeto apenas como caracterização descritiva da rede.</w:t>
      </w:r>
    </w:p>
    <w:p w14:paraId="63600EC3">
      <w:pPr>
        <w:pStyle w:val="3"/>
        <w:ind w:firstLine="0"/>
        <w:rPr>
          <w:color w:val="2E75B5"/>
        </w:rPr>
      </w:pPr>
      <w:r>
        <w:rPr>
          <w:rFonts w:ascii="Arial" w:hAnsi="Arial" w:eastAsia="Arial" w:cs="Arial"/>
          <w:b w:val="0"/>
        </w:rPr>
        <w:t>Concluída a caracterização das escolas e de suas características, o critério que orienta o restante do capítulo já se delineia. Como o que se exige do sistema é colocar no topo da lista as escolas que de fato terão abandono alto, a avaliação a seguir julga sobretudo a ordem prevista, e não o valor exato da taxa — é essa ordem que a próxima seção mede.</w:t>
      </w:r>
    </w:p>
    <w:p w14:paraId="3F71063F">
      <w:pPr>
        <w:pStyle w:val="4"/>
        <w:numPr>
          <w:ilvl w:val="1"/>
          <w:numId w:val="1"/>
        </w:numPr>
      </w:pPr>
      <w:bookmarkStart w:id="48" w:name="_Toc22444"/>
      <w:r>
        <w:rPr>
          <w:rFonts w:ascii="Arial" w:hAnsi="Arial" w:eastAsia="Arial" w:cs="Arial"/>
          <w:b w:val="0"/>
        </w:rPr>
        <w:t>Desempenho do Sistema</w:t>
      </w:r>
      <w:bookmarkEnd w:id="48"/>
    </w:p>
    <w:p w14:paraId="4805032B">
      <w:pPr>
        <w:pStyle w:val="5"/>
        <w:numPr>
          <w:ilvl w:val="2"/>
          <w:numId w:val="1"/>
        </w:numPr>
      </w:pPr>
      <w:bookmarkStart w:id="49" w:name="_Toc6523"/>
      <w:r>
        <w:rPr>
          <w:rFonts w:ascii="Arial" w:hAnsi="Arial" w:eastAsia="Arial" w:cs="Arial"/>
          <w:b w:val="0"/>
        </w:rPr>
        <w:t>Como o Desempenho Foi Medido</w:t>
      </w:r>
      <w:bookmarkEnd w:id="49"/>
    </w:p>
    <w:p w14:paraId="22E30C10">
      <w:pPr>
        <w:pStyle w:val="3"/>
        <w:ind w:firstLine="0"/>
        <w:rPr>
          <w:color w:val="2E75B5"/>
        </w:rPr>
      </w:pPr>
      <w:r>
        <w:rPr>
          <w:rFonts w:ascii="Arial" w:hAnsi="Arial" w:eastAsia="Arial" w:cs="Arial"/>
          <w:b w:val="0"/>
        </w:rPr>
        <w:t>O desempenho foi medido sob dois protocolos complementares. O primeiro repete 20 vezes uma divisão em que 20% dos municípios ficam de fora do treino, o que produz uma faixa de confiança em vez de um número solitário e impede que escolas do mesmo município apareçam dos dois lados. O segundo é o teste mais exigente: treinar com o par 2022–2023 e prever o par 2023–2024, ou seja, um ano que o sistema nunca viu. É esse segundo protocolo que simula o uso real.</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E o acerto na lista prioritária (Precision@K) diz, entre as 10% de escolas apontadas como mais críticas, quantas realmente estavam entre as mais críticas. As duas últimas são as que importam para o propósito do sistema.</w:t>
      </w:r>
    </w:p>
    <w:p w14:paraId="242E4030">
      <w:pPr>
        <w:pStyle w:val="5"/>
        <w:numPr>
          <w:ilvl w:val="2"/>
          <w:numId w:val="1"/>
        </w:numPr>
      </w:pPr>
      <w:bookmarkStart w:id="50" w:name="_Toc5447"/>
      <w:r>
        <w:rPr>
          <w:rFonts w:ascii="Arial" w:hAnsi="Arial" w:eastAsia="Arial" w:cs="Arial"/>
          <w:b w:val="0"/>
        </w:rPr>
        <w:t>Resultados em Validação Repetida</w:t>
      </w:r>
      <w:bookmarkEnd w:id="50"/>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20AAE76">
      <w:pPr>
        <w:pStyle w:val="3"/>
        <w:ind w:firstLine="0"/>
        <w:rPr>
          <w:color w:val="2E75B5"/>
        </w:rPr>
      </w:pPr>
      <w:r>
        <w:rPr>
          <w:rFonts w:ascii="Arial" w:hAnsi="Arial" w:eastAsia="Arial" w:cs="Arial"/>
          <w:b w:val="0"/>
        </w:rPr>
        <w:t>A leitura das colunas é diferente. O erro médio melhora pouco: o sistema continua errando o valor exato da taxa. Já a ordenação e o acerto da lista prioritária melhoram muito em relação à média da rede. Os três modelos ficam praticamente empatados na ordenação — seus intervalos de confiança se sobrepõem, sem vencedor claro —, e o modelo adotado acompanha os demais: das escolas que ele aponta como prioritárias, cerca de metade estava de fato entre as mais críticas, contra 7 em cada 100 na escolha ao acaso — sete vezes mais.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667510"/>
            <wp:effectExtent l="0" t="0" r="825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580000" cy="1667758"/>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51" w:name="_Toc30635"/>
      <w:r>
        <w:rPr>
          <w:rFonts w:ascii="Arial" w:hAnsi="Arial" w:eastAsia="Arial" w:cs="Arial"/>
          <w:b w:val="0"/>
        </w:rPr>
        <w:t>Resultados no Teste do Ano Nunca Visto</w:t>
      </w:r>
      <w:bookmarkEnd w:id="51"/>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eastAsia="Arial" w:cs="Arial"/>
          <w:b w:val="0"/>
        </w:rPr>
        <w:t>Nesse teste aparece o achado mais relevante da avaliação. Entre um ciclo e outro o abandono médio da rede caiu, e nenhum modelo superou o piso trivial no erro de magnitude: todos erram sistematicamente o nível da taxa. As medidas de ordenação, porém, permanecem muito acima do piso. O sistema continua identificando quais escolas terão abandono alto, mesmo errando o valor.</w:t>
      </w:r>
    </w:p>
    <w:p w14:paraId="5FA6047C">
      <w:pPr>
        <w:pStyle w:val="3"/>
        <w:ind w:firstLine="0"/>
        <w:rPr>
          <w:color w:val="2E75B5"/>
        </w:rPr>
      </w:pPr>
      <w:r>
        <w:rPr>
          <w:rFonts w:ascii="Arial" w:hAnsi="Arial" w:eastAsia="Arial" w:cs="Arial"/>
          <w:b w:val="0"/>
        </w:rPr>
        <w:t>A analogia é a de um termômetro descalibrado: ele erra alguns graus, mas aponta corretamente quem está com mais febre. Para priorizar intervenções, é a ordem que importa. A limitação de magnitude vem da janela curta de dados — apenas dois pares de anos — e está registrada entre as limitações do estudo.</w:t>
      </w:r>
    </w:p>
    <w:p w14:paraId="068320C4">
      <w:pPr>
        <w:pStyle w:val="3"/>
        <w:ind w:firstLine="0"/>
        <w:rPr>
          <w:color w:val="2E75B5"/>
        </w:rPr>
      </w:pPr>
      <w:r>
        <w:rPr>
          <w:rFonts w:ascii="Arial" w:hAnsi="Arial" w:eastAsia="Arial" w:cs="Arial"/>
          <w:b w:val="0"/>
        </w:rPr>
        <w:t>A última coluna traduz o mesmo resultado em uma medida comparável à da literatura, que costuma tratar evasão como uma classificação: a capacidade de separar as escolas críticas das demais chega a 0,798 para o modelo adotado, na faixa típica dos estudos da área.</w:t>
      </w:r>
    </w:p>
    <w:p w14:paraId="24977E46">
      <w:pPr>
        <w:pStyle w:val="5"/>
        <w:numPr>
          <w:ilvl w:val="2"/>
          <w:numId w:val="1"/>
        </w:numPr>
      </w:pPr>
      <w:bookmarkStart w:id="52" w:name="_Toc17109"/>
      <w:r>
        <w:rPr>
          <w:rFonts w:ascii="Arial" w:hAnsi="Arial" w:eastAsia="Arial" w:cs="Arial"/>
          <w:b w:val="0"/>
          <w:color w:val="1F4E9B"/>
          <w:highlight w:val="yellow"/>
        </w:rPr>
        <w:t>Resultados em Cada Transição Anual</w:t>
      </w:r>
      <w:bookmarkEnd w:id="52"/>
    </w:p>
    <w:p w14:paraId="68971E2A">
      <w:pPr>
        <w:pStyle w:val="3"/>
        <w:ind w:firstLine="0"/>
        <w:rPr>
          <w:color w:val="2E75B5"/>
        </w:rPr>
      </w:pPr>
      <w:r>
        <w:rPr>
          <w:rFonts w:ascii="Arial" w:hAnsi="Arial" w:eastAsia="Arial" w:cs="Arial"/>
          <w:b w:val="0"/>
          <w:color w:val="1F4E9B"/>
          <w:highlight w:val="yellow"/>
        </w:rPr>
        <w:t>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w:t>
      </w:r>
    </w:p>
    <w:p w14:paraId="07971620">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8BDAD81">
            <w:r>
              <w:rPr>
                <w:rFonts w:ascii="Arial" w:hAnsi="Arial" w:eastAsia="Arial" w:cs="Arial"/>
                <w:b/>
                <w:color w:val="1F4E9B"/>
                <w:sz w:val="18"/>
                <w:highlight w:val="yellow"/>
              </w:rPr>
              <w:t>Indicador de desempenho</w:t>
            </w:r>
          </w:p>
        </w:tc>
        <w:tc>
          <w:tcPr>
            <w:tcW w:w="2484" w:type="dxa"/>
          </w:tcPr>
          <w:p w14:paraId="434758FF">
            <w:r>
              <w:rPr>
                <w:rFonts w:ascii="Arial" w:hAnsi="Arial" w:eastAsia="Arial" w:cs="Arial"/>
                <w:b/>
                <w:color w:val="1F4E9B"/>
                <w:sz w:val="18"/>
                <w:highlight w:val="yellow"/>
              </w:rPr>
              <w:t>Cenário 2022 → 2023</w:t>
            </w:r>
          </w:p>
        </w:tc>
        <w:tc>
          <w:tcPr>
            <w:tcW w:w="2484" w:type="dxa"/>
          </w:tcPr>
          <w:p w14:paraId="7D368DAD">
            <w:r>
              <w:rPr>
                <w:rFonts w:ascii="Arial" w:hAnsi="Arial" w:eastAsia="Arial" w:cs="Arial"/>
                <w:b/>
                <w:color w:val="1F4E9B"/>
                <w:sz w:val="18"/>
                <w:highlight w:val="yellow"/>
              </w:rPr>
              <w:t>Cenário 2023 → 2024</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B003DF3">
            <w:r>
              <w:rPr>
                <w:rFonts w:ascii="Arial" w:hAnsi="Arial" w:eastAsia="Arial" w:cs="Arial"/>
                <w:b w:val="0"/>
                <w:color w:val="1F4E9B"/>
                <w:sz w:val="18"/>
                <w:highlight w:val="yellow"/>
              </w:rPr>
              <w:t>Erro médio da taxa, p.p. (RMSE) — menor é melhor</w:t>
            </w:r>
          </w:p>
        </w:tc>
        <w:tc>
          <w:tcPr>
            <w:tcW w:w="2484" w:type="dxa"/>
          </w:tcPr>
          <w:p w14:paraId="290B08DD">
            <w:r>
              <w:rPr>
                <w:rFonts w:ascii="Arial" w:hAnsi="Arial" w:eastAsia="Arial" w:cs="Arial"/>
                <w:b w:val="0"/>
                <w:color w:val="1F4E9B"/>
                <w:sz w:val="18"/>
                <w:highlight w:val="yellow"/>
              </w:rPr>
              <w:t>2,82 ± 0,34</w:t>
            </w:r>
          </w:p>
        </w:tc>
        <w:tc>
          <w:tcPr>
            <w:tcW w:w="2484" w:type="dxa"/>
          </w:tcPr>
          <w:p w14:paraId="4AFD25CB">
            <w:r>
              <w:rPr>
                <w:rFonts w:ascii="Arial" w:hAnsi="Arial" w:eastAsia="Arial" w:cs="Arial"/>
                <w:b w:val="0"/>
                <w:color w:val="1F4E9B"/>
                <w:sz w:val="18"/>
                <w:highlight w:val="yellow"/>
              </w:rPr>
              <w:t>2,16 ± 0,26</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FAE7F4E">
            <w:r>
              <w:rPr>
                <w:rFonts w:ascii="Arial" w:hAnsi="Arial" w:eastAsia="Arial" w:cs="Arial"/>
                <w:b w:val="0"/>
                <w:color w:val="1F4E9B"/>
                <w:sz w:val="18"/>
                <w:highlight w:val="yellow"/>
              </w:rPr>
              <w:t>Acerto da ordenação, de 0 a 1 (Spearman)</w:t>
            </w:r>
          </w:p>
        </w:tc>
        <w:tc>
          <w:tcPr>
            <w:tcW w:w="2484" w:type="dxa"/>
          </w:tcPr>
          <w:p w14:paraId="44C44AAA">
            <w:r>
              <w:rPr>
                <w:rFonts w:ascii="Arial" w:hAnsi="Arial" w:eastAsia="Arial" w:cs="Arial"/>
                <w:b w:val="0"/>
                <w:color w:val="1F4E9B"/>
                <w:sz w:val="18"/>
                <w:highlight w:val="yellow"/>
              </w:rPr>
              <w:t>0,469 ± 0,039</w:t>
            </w:r>
          </w:p>
        </w:tc>
        <w:tc>
          <w:tcPr>
            <w:tcW w:w="2484" w:type="dxa"/>
          </w:tcPr>
          <w:p w14:paraId="3904D936">
            <w:r>
              <w:rPr>
                <w:rFonts w:ascii="Arial" w:hAnsi="Arial" w:eastAsia="Arial" w:cs="Arial"/>
                <w:b w:val="0"/>
                <w:color w:val="1F4E9B"/>
                <w:sz w:val="18"/>
                <w:highlight w:val="yellow"/>
              </w:rPr>
              <w:t>0,367 ± 0,032</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48B3B4D">
            <w:r>
              <w:rPr>
                <w:rFonts w:ascii="Arial" w:hAnsi="Arial" w:eastAsia="Arial" w:cs="Arial"/>
                <w:b w:val="0"/>
                <w:color w:val="1F4E9B"/>
                <w:sz w:val="18"/>
                <w:highlight w:val="yellow"/>
              </w:rPr>
              <w:t>Acerto na lista prioritária, top 10% (Precision@K)</w:t>
            </w:r>
          </w:p>
        </w:tc>
        <w:tc>
          <w:tcPr>
            <w:tcW w:w="2484" w:type="dxa"/>
          </w:tcPr>
          <w:p w14:paraId="05EBC5C6">
            <w:r>
              <w:rPr>
                <w:rFonts w:ascii="Arial" w:hAnsi="Arial" w:eastAsia="Arial" w:cs="Arial"/>
                <w:b w:val="0"/>
                <w:color w:val="1F4E9B"/>
                <w:sz w:val="18"/>
                <w:highlight w:val="yellow"/>
              </w:rPr>
              <w:t>0,627 ± 0,060</w:t>
            </w:r>
          </w:p>
        </w:tc>
        <w:tc>
          <w:tcPr>
            <w:tcW w:w="2484" w:type="dxa"/>
          </w:tcPr>
          <w:p w14:paraId="5ADDB3E1">
            <w:r>
              <w:rPr>
                <w:rFonts w:ascii="Arial" w:hAnsi="Arial" w:eastAsia="Arial" w:cs="Arial"/>
                <w:b w:val="0"/>
                <w:color w:val="1F4E9B"/>
                <w:sz w:val="18"/>
                <w:highlight w:val="yellow"/>
              </w:rPr>
              <w:t>0,381 ± 0,041</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65CF03C2">
            <w:r>
              <w:rPr>
                <w:rFonts w:ascii="Arial" w:hAnsi="Arial" w:eastAsia="Arial" w:cs="Arial"/>
                <w:b w:val="0"/>
                <w:color w:val="1F4E9B"/>
                <w:sz w:val="18"/>
                <w:highlight w:val="yellow"/>
              </w:rPr>
              <w:t>Separação alto/baixo risco (ROC-AUC)</w:t>
            </w:r>
          </w:p>
        </w:tc>
        <w:tc>
          <w:tcPr>
            <w:tcW w:w="2484" w:type="dxa"/>
          </w:tcPr>
          <w:p w14:paraId="240799C6">
            <w:r>
              <w:rPr>
                <w:rFonts w:ascii="Arial" w:hAnsi="Arial" w:eastAsia="Arial" w:cs="Arial"/>
                <w:b w:val="0"/>
                <w:color w:val="1F4E9B"/>
                <w:sz w:val="18"/>
                <w:highlight w:val="yellow"/>
              </w:rPr>
              <w:t>0,901 ± 0,035</w:t>
            </w:r>
          </w:p>
        </w:tc>
        <w:tc>
          <w:tcPr>
            <w:tcW w:w="2484" w:type="dxa"/>
          </w:tcPr>
          <w:p w14:paraId="1B1D9CD6">
            <w:r>
              <w:rPr>
                <w:rFonts w:ascii="Arial" w:hAnsi="Arial" w:eastAsia="Arial" w:cs="Arial"/>
                <w:b w:val="0"/>
                <w:color w:val="1F4E9B"/>
                <w:sz w:val="18"/>
                <w:highlight w:val="yellow"/>
              </w:rPr>
              <w:t>0,813 ± 0,019</w:t>
            </w:r>
          </w:p>
        </w:tc>
      </w:tr>
    </w:tbl>
    <w:p w14:paraId="1C5D7AC1">
      <w:pPr>
        <w:pStyle w:val="3"/>
        <w:ind w:firstLine="0"/>
        <w:rPr>
          <w:color w:val="2E75B5"/>
        </w:rPr>
      </w:pPr>
      <w:r>
        <w:rPr>
          <w:rFonts w:ascii="Arial" w:hAnsi="Arial"/>
          <w:color w:val="1F4E9B"/>
          <w:sz w:val="22"/>
          <w:highlight w:val="yellow"/>
        </w:rPr>
        <w:t>Fonte: elaborado pelo autor.</w:t>
      </w:r>
    </w:p>
    <w:p w14:paraId="326796B6">
      <w:pPr>
        <w:pStyle w:val="3"/>
        <w:ind w:firstLine="0"/>
        <w:rPr>
          <w:color w:val="2E75B5"/>
        </w:rPr>
      </w:pPr>
      <w:r>
        <w:rPr>
          <w:rFonts w:ascii="Arial" w:hAnsi="Arial" w:eastAsia="Arial" w:cs="Arial"/>
          <w:b w:val="0"/>
          <w:color w:val="1F4E9B"/>
          <w:highlight w:val="yellow"/>
        </w:rPr>
        <w:t>O modelo mantém utilidade nas duas transições, mas rende mais na primeira. Na transição de 2022 para 2023, entre as escolas que ele coloca no topo da lista de prioridade, 63% estão de fato entre as de maior abandono; na de 2023 para 2024, esse acerto cai para 38% — ainda muito acima dos cerca de 10% de uma escolha ao acaso. A queda acompanha a própria mudança da rede: o abandono médio caiu de 1,36% para 0,88% e as escolas se aproximaram de zero, o que ao mesmo tempo reduz o erro absoluto e comprime o sinal que permite ordená-las. Mesmo no cenário mais difícil, a capacidade de separar as escolas de alto risco das demais permanece alta (0,81 numa escala em que 0,5 é o acaso). Tomados em conjunto, os dois cenários cercam os valores do Quadro 9, que avalia as duas transições agregadas — sinal de que a decomposição é coerente com o desempenho global, e não efeito de um ano específico.</w:t>
      </w:r>
    </w:p>
    <w:p w14:paraId="06ABB063">
      <w:pPr>
        <w:pStyle w:val="3"/>
        <w:ind w:firstLine="0"/>
        <w:rPr>
          <w:color w:val="2E75B5"/>
        </w:rPr>
      </w:pPr>
      <w:r>
        <w:rPr>
          <w:rFonts w:ascii="Arial" w:hAnsi="Arial"/>
          <w:color w:val="1F4E9B"/>
          <w:sz w:val="22"/>
          <w:highlight w:val="yellow"/>
        </w:rPr>
        <w:t>Figura 13 – Desempenho do modelo adotado em cada transição anual (2022→2023 e 2023→2024)</w:t>
      </w:r>
    </w:p>
    <w:p w14:paraId="48B71853">
      <w:pPr>
        <w:pStyle w:val="3"/>
        <w:jc w:val="center"/>
      </w:pPr>
      <w:r>
        <w:drawing>
          <wp:inline distT="0" distB="0" distL="114300" distR="114300">
            <wp:extent cx="5579745" cy="1774825"/>
            <wp:effectExtent l="0" t="0" r="825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5580000" cy="1775114"/>
                    </a:xfrm>
                    <a:prstGeom prst="rect">
                      <a:avLst/>
                    </a:prstGeom>
                  </pic:spPr>
                </pic:pic>
              </a:graphicData>
            </a:graphic>
          </wp:inline>
        </w:drawing>
      </w:r>
    </w:p>
    <w:p w14:paraId="1B1E531C">
      <w:pPr>
        <w:pStyle w:val="3"/>
        <w:ind w:firstLine="0"/>
        <w:rPr>
          <w:color w:val="2E75B5"/>
        </w:rPr>
      </w:pPr>
      <w:r>
        <w:rPr>
          <w:rFonts w:ascii="Arial" w:hAnsi="Arial"/>
          <w:color w:val="1F4E9B"/>
          <w:sz w:val="22"/>
          <w:highlight w:val="yellow"/>
        </w:rPr>
        <w:t>Fonte: elaborado pelo autor.</w:t>
      </w:r>
    </w:p>
    <w:p w14:paraId="2277BBB5">
      <w:pPr>
        <w:pStyle w:val="4"/>
        <w:numPr>
          <w:ilvl w:val="1"/>
          <w:numId w:val="1"/>
        </w:numPr>
      </w:pPr>
      <w:bookmarkStart w:id="53" w:name="_Toc28487"/>
      <w:r>
        <w:rPr>
          <w:rFonts w:ascii="Arial" w:hAnsi="Arial" w:eastAsia="Arial" w:cs="Arial"/>
          <w:b w:val="0"/>
        </w:rPr>
        <w:t>Capacidade de Priorização</w:t>
      </w:r>
      <w:bookmarkEnd w:id="53"/>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indicadas pelo sistema, quantas das escolas realmente críticas são alcançadas? A resposta é obtida variando o tamanho da lista, sem reconstruir o sistema — uma propriedade que motivou a formulação adotada.</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É o princípio da triagem de um pronto-socorro: com vagas limitadas, a fila ordenada por gravidade encontra muito mais casos graves do que o atendimento por ordem de chegada.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14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5580000" cy="1981382"/>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15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4870"/>
            <wp:effectExtent l="0" t="0" r="825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5580000" cy="2135057"/>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4EEC5B">
      <w:pPr>
        <w:pStyle w:val="4"/>
        <w:numPr>
          <w:ilvl w:val="1"/>
          <w:numId w:val="1"/>
        </w:numPr>
      </w:pPr>
      <w:bookmarkStart w:id="54" w:name="_Toc20810"/>
      <w:r>
        <w:rPr>
          <w:rFonts w:ascii="Arial" w:hAnsi="Arial" w:eastAsia="Arial" w:cs="Arial"/>
          <w:b w:val="0"/>
        </w:rPr>
        <w:t>Explicação das Indicações</w:t>
      </w:r>
      <w:bookmarkEnd w:id="54"/>
    </w:p>
    <w:p w14:paraId="4564E80B">
      <w:pPr>
        <w:pStyle w:val="5"/>
        <w:numPr>
          <w:ilvl w:val="2"/>
          <w:numId w:val="1"/>
        </w:numPr>
      </w:pPr>
      <w:bookmarkStart w:id="55" w:name="_Toc425"/>
      <w:r>
        <w:rPr>
          <w:rFonts w:ascii="Arial" w:hAnsi="Arial" w:eastAsia="Arial" w:cs="Arial"/>
          <w:b w:val="0"/>
        </w:rPr>
        <w:t>Visão Geral</w:t>
      </w:r>
      <w:bookmarkEnd w:id="55"/>
    </w:p>
    <w:p w14:paraId="5B8734FD">
      <w:pPr>
        <w:pStyle w:val="3"/>
        <w:ind w:firstLine="0"/>
        <w:rPr>
          <w:color w:val="2E75B5"/>
        </w:rPr>
      </w:pPr>
      <w:r>
        <w:rPr>
          <w:rFonts w:ascii="Arial" w:hAnsi="Arial" w:eastAsia="Arial" w:cs="Arial"/>
          <w:b w:val="0"/>
        </w:rPr>
        <w:t>Saber que uma escola está no topo da lista não basta; é preciso saber por quê. A técnica de explicação adotada decompõe cada previsão na contribuição de cada característica. Aplicada a todo o conjunto, ela mostra quais características mais pesam nas previsões do sistema: o histórico de abandono da própria escola é, de longe, o principal fator, seguido do abandono na 2ª e na 1ª série, do nível socioeconômico, da reprovação e da defasagem idade-série. Esse peso confirma um princípio conhecido: o melhor previsor do tempo de amanhã costuma ser o tempo de hoje.</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16 – Contribuição de cada característica para 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302250"/>
            <wp:effectExtent l="0" t="0" r="825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5"/>
                    <a:stretch>
                      <a:fillRect/>
                    </a:stretch>
                  </pic:blipFill>
                  <pic:spPr>
                    <a:xfrm>
                      <a:off x="0" y="0"/>
                      <a:ext cx="5580000" cy="5302674"/>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6" w:name="_Toc2056"/>
      <w:r>
        <w:rPr>
          <w:rFonts w:ascii="Arial" w:hAnsi="Arial" w:eastAsia="Arial" w:cs="Arial"/>
          <w:b w:val="0"/>
        </w:rPr>
        <w:t>Direção dos Efeitos</w:t>
      </w:r>
      <w:bookmarkEnd w:id="56"/>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Essa coerência é um argumento de confiança: o sistema não está apenas acertando, está acertando pelas razões certas.</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6"/>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7" w:name="_Toc7786"/>
      <w:r>
        <w:rPr>
          <w:rFonts w:ascii="Arial" w:hAnsi="Arial" w:eastAsia="Arial" w:cs="Arial"/>
          <w:b w:val="0"/>
        </w:rPr>
        <w:t>Explicação de Uma Escola</w:t>
      </w:r>
      <w:bookmarkEnd w:id="57"/>
    </w:p>
    <w:p w14:paraId="2C975AF9">
      <w:pPr>
        <w:pStyle w:val="3"/>
        <w:ind w:firstLine="0"/>
        <w:rPr>
          <w:color w:val="2E75B5"/>
        </w:rPr>
      </w:pPr>
      <w:r>
        <w:rPr>
          <w:rFonts w:ascii="Arial" w:hAnsi="Arial" w:eastAsia="Arial" w:cs="Arial"/>
          <w:b w:val="0"/>
        </w:rPr>
        <w:t>A decomposição também vale caso a caso. Para qualquer escola é possível mostrar como cada característica afastou sua previsão da média da rede — a diferença entre o mapa do clima de um país e a previsão do tempo de uma cidade. Na escola de maior risco previsto, uma escola estadual indígena no município de Jatobá, as maiores contribuições positivas vêm do histórico de abandono, da defasagem idade-série e do abandono na 2ª série. É exatamente esse tipo de explicação que o painel apresenta ao gestor para justificar cada indicação.</w:t>
      </w: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7"/>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8" w:name="_Toc20217"/>
      <w:r>
        <w:rPr>
          <w:rFonts w:ascii="Arial" w:hAnsi="Arial" w:eastAsia="Arial" w:cs="Arial"/>
          <w:b w:val="0"/>
        </w:rPr>
        <w:t>Erros do Modelo e Equidade</w:t>
      </w:r>
      <w:bookmarkEnd w:id="58"/>
    </w:p>
    <w:p w14:paraId="4E9AC818">
      <w:pPr>
        <w:pStyle w:val="3"/>
        <w:ind w:firstLine="0"/>
        <w:rPr>
          <w:color w:val="2E75B5"/>
        </w:rPr>
      </w:pPr>
      <w:r>
        <w:rPr>
          <w:rFonts w:ascii="Arial" w:hAnsi="Arial" w:eastAsia="Arial" w:cs="Arial"/>
          <w:b w:val="0"/>
        </w:rPr>
        <w:t>A análise dos erros por grupo revelou um achado de equidade que precisa ser declarado. No teste do ano nunca visto, o sistema erra para mais nas escolas de localização diferenciada: prevê risco alto para escolas indígenas e quilombolas cujo abandono observado é próximo de zero. O erro médio nesse grupo é de −4,09 pontos percentuais, contra +0,42 nas urbanas e −1,02 nas rurais.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capturam. O perfil dessas escolas — rural, baixo nível socioeconômico, alta defasagem idade-série — está associado a abandono alto, mas o abandono observado não acontece. É um caso parecido com o de um seguro de automóvel que cobra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A limitação está registrada no painel e é o primeiro item dos trabalhos futuros.</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8"/>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59" w:name="_Toc20891"/>
      <w:r>
        <w:rPr>
          <w:rFonts w:ascii="Arial" w:hAnsi="Arial" w:eastAsia="Arial" w:cs="Arial"/>
          <w:b w:val="0"/>
        </w:rPr>
        <w:t>O Painel de Priorização ao Gestor</w:t>
      </w:r>
      <w:bookmarkEnd w:id="59"/>
    </w:p>
    <w:p w14:paraId="60AF4A93">
      <w:pPr>
        <w:pStyle w:val="3"/>
        <w:ind w:firstLine="0"/>
        <w:rPr>
          <w:color w:val="2E75B5"/>
        </w:rPr>
      </w:pPr>
      <w:r>
        <w:rPr>
          <w:rFonts w:ascii="Arial" w:hAnsi="Arial" w:eastAsia="Arial" w:cs="Arial"/>
          <w:b w:val="0"/>
        </w:rPr>
        <w:t>O sistema culmina em um painel interativo que coloca o modelo nas mãos do gestor, atendendo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Uma ressalva fica explícita na própria tela: as previsões exibidas foram calculadas sobre dados que o modelo conhece, e a estimativa honesta de desempenho é a do teste do ano nunca visto.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60" w:name="_Toc32372"/>
      <w:r>
        <w:rPr>
          <w:rFonts w:ascii="Arial" w:hAnsi="Arial" w:eastAsia="Arial" w:cs="Arial"/>
          <w:b w:val="0"/>
        </w:rPr>
        <w:t>Síntese dos Resultados</w:t>
      </w:r>
      <w:bookmarkEnd w:id="60"/>
    </w:p>
    <w:p w14:paraId="3A43783E">
      <w:pPr>
        <w:pStyle w:val="3"/>
        <w:ind w:firstLine="0"/>
        <w:rPr>
          <w:color w:val="2E75B5"/>
        </w:rPr>
      </w:pPr>
      <w:r>
        <w:rPr>
          <w:rFonts w:ascii="Arial" w:hAnsi="Arial" w:eastAsia="Arial" w:cs="Arial"/>
          <w:b w:val="0"/>
        </w:rPr>
        <w:t>Os resultados podem ser resumidos em cinco pontos. Primeiro, o sistema é confiável no que se propõe: uma suíte de 98 testes cobre os erros que passariam despercebidos, e os resultados são reproduzíveis a partir dos dados originais.</w:t>
      </w:r>
    </w:p>
    <w:p w14:paraId="7B06D878">
      <w:pPr>
        <w:pStyle w:val="3"/>
        <w:ind w:firstLine="0"/>
        <w:rPr>
          <w:color w:val="2E75B5"/>
        </w:rPr>
      </w:pPr>
      <w:r>
        <w:rPr>
          <w:rFonts w:ascii="Arial" w:hAnsi="Arial" w:eastAsia="Arial" w:cs="Arial"/>
          <w:b w:val="0"/>
        </w:rPr>
        <w:t>Segundo, o conjunto de características é enxuto e justificado: 39 colunas escolhidas entre mais de 400, com análise estatística individual e critérios explícitos de corte.</w:t>
      </w:r>
    </w:p>
    <w:p w14:paraId="0DD60FA7">
      <w:pPr>
        <w:pStyle w:val="3"/>
        <w:ind w:firstLine="0"/>
        <w:rPr>
          <w:color w:val="2E75B5"/>
        </w:rPr>
      </w:pPr>
      <w:r>
        <w:rPr>
          <w:rFonts w:ascii="Arial" w:hAnsi="Arial" w:eastAsia="Arial" w:cs="Arial"/>
          <w:b w:val="0"/>
        </w:rPr>
        <w:t>Terceiro, o sistema acerta a ordem, não a magnitude. Ele erra o valor exato da taxa, mas ordena as escolas com qualidade útil — e é a ordem que a decisão do gestor requer.</w:t>
      </w:r>
    </w:p>
    <w:p w14:paraId="792A7F03">
      <w:pPr>
        <w:pStyle w:val="3"/>
        <w:ind w:firstLine="0"/>
        <w:rPr>
          <w:color w:val="2E75B5"/>
        </w:rPr>
      </w:pPr>
      <w:r>
        <w:rPr>
          <w:rFonts w:ascii="Arial" w:hAnsi="Arial" w:eastAsia="Arial" w:cs="Arial"/>
          <w:b w:val="0"/>
        </w:rPr>
        <w:t>Quarto, o ganho prático é mensurável: das escolas apontadas como prioritárias, cerca de metade estava de fato entre as mais críticas, contra 7 em cada 100 na escolha ao acaso; e uma lista de 150 escolas alcança mais da metade das escolas críticas da rede.</w:t>
      </w:r>
    </w:p>
    <w:p w14:paraId="693241E1">
      <w:pPr>
        <w:pStyle w:val="3"/>
        <w:ind w:firstLine="0"/>
        <w:rPr>
          <w:color w:val="2E75B5"/>
        </w:rPr>
      </w:pPr>
      <w:r>
        <w:rPr>
          <w:rFonts w:ascii="Arial" w:hAnsi="Arial" w:eastAsia="Arial" w:cs="Arial"/>
          <w:b w:val="0"/>
        </w:rPr>
        <w:t>Quinto, cada indicação é explicável, o que permite ao gestor concordar ou discordar com argumento — e é também o que expõe, de forma transparente, a limitação de equidade nas escolas de localização diferenciada.</w:t>
      </w:r>
    </w:p>
    <w:p w14:paraId="78BAA92B">
      <w:pPr>
        <w:pStyle w:val="2"/>
        <w:numPr>
          <w:ilvl w:val="0"/>
          <w:numId w:val="1"/>
        </w:numPr>
        <w:rPr>
          <w:color w:val="000000"/>
        </w:rPr>
      </w:pPr>
      <w:bookmarkStart w:id="61" w:name="_Toc17567"/>
      <w:r>
        <w:rPr>
          <w:rFonts w:ascii="Arial" w:hAnsi="Arial" w:eastAsia="Arial" w:cs="Arial"/>
          <w:b w:val="0"/>
        </w:rPr>
        <w:t>Conclusões e Trabalhos Futuros</w:t>
      </w:r>
      <w:bookmarkEnd w:id="61"/>
    </w:p>
    <w:p w14:paraId="2B49EC9B">
      <w:pPr>
        <w:pStyle w:val="4"/>
        <w:numPr>
          <w:ilvl w:val="1"/>
          <w:numId w:val="1"/>
        </w:numPr>
      </w:pPr>
      <w:bookmarkStart w:id="62" w:name="_Toc2858"/>
      <w:r>
        <w:rPr>
          <w:rFonts w:ascii="Arial" w:hAnsi="Arial" w:eastAsia="Arial" w:cs="Arial"/>
          <w:b w:val="0"/>
        </w:rPr>
        <w:t>Conclusões</w:t>
      </w:r>
      <w:bookmarkEnd w:id="62"/>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Resposta à pergunta de previsão (P2). 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(P3).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−27,98 a +23,70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 a escola que foge ao padrão e o modelo que não enxerga um fator — faz parte da resposta.</w:t>
      </w:r>
    </w:p>
    <w:p w14:paraId="0AE112BC">
      <w:pPr>
        <w:pStyle w:val="3"/>
        <w:ind w:firstLine="0"/>
        <w:rPr>
          <w:color w:val="2E75B5"/>
        </w:rPr>
      </w:pPr>
      <w:r>
        <w:rPr>
          <w:rFonts w:ascii="Arial" w:hAnsi="Arial" w:eastAsia="Arial" w:cs="Arial"/>
          <w:b w:val="0"/>
        </w:rPr>
        <w:t>Sobre o problema: a evasão na rede estadual não é um fenômeno difuso, e sim concentrado.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98 testes automatizados e reprodutibilidade completa a partir dos dados originais. Essas propriedades não são acessórias —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8C353BC">
      <w:pPr>
        <w:pStyle w:val="4"/>
        <w:numPr>
          <w:ilvl w:val="1"/>
          <w:numId w:val="1"/>
        </w:numPr>
      </w:pPr>
      <w:bookmarkStart w:id="63" w:name="_Toc11985"/>
      <w:r>
        <w:rPr>
          <w:rFonts w:ascii="Arial" w:hAnsi="Arial" w:eastAsia="Arial" w:cs="Arial"/>
          <w:b w:val="0"/>
        </w:rPr>
        <w:t>Trabalhos Futuros</w:t>
      </w:r>
      <w:bookmarkEnd w:id="63"/>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 a verificação final de que a ferramenta cumpre o propósito para o qual foi construída.</w:t>
      </w:r>
    </w:p>
    <w:p w14:paraId="74A766AA">
      <w:pPr>
        <w:pStyle w:val="8"/>
        <w:rPr>
          <w:color w:val="000000"/>
        </w:rPr>
      </w:pPr>
      <w:bookmarkStart w:id="64" w:name="_Toc22200"/>
      <w:r>
        <w:rPr>
          <w:rFonts w:ascii="Arial" w:hAnsi="Arial" w:eastAsia="Arial" w:cs="Arial"/>
          <w:b w:val="0"/>
        </w:rPr>
        <w:t>Referências</w:t>
      </w:r>
      <w:bookmarkEnd w:id="64"/>
    </w:p>
    <w:p w14:paraId="71D7381E">
      <w:pPr>
        <w:pStyle w:val="3"/>
        <w:ind w:firstLine="0"/>
        <w:rPr>
          <w:color w:val="2E75B5"/>
        </w:rPr>
      </w:pPr>
      <w:r>
        <w:rPr>
          <w:rFonts w:ascii="Arial" w:hAnsi="Arial" w:eastAsia="Arial" w:cs="Arial"/>
          <w:b w:val="0"/>
        </w:rPr>
        <w:t>BAKER, R. S. J. D.; YACEF, K. The state of educational data mining in 2009: a review and future visions. Journal of Educational Data Mining, v. 1, n. 1, p. 3–16, 2009.</w:t>
      </w:r>
    </w:p>
    <w:p w14:paraId="659198F8">
      <w:pPr>
        <w:pStyle w:val="3"/>
        <w:ind w:firstLine="0"/>
        <w:rPr>
          <w:color w:val="2E75B5"/>
        </w:rPr>
      </w:pPr>
      <w:r>
        <w:rPr>
          <w:rFonts w:ascii="Arial" w:hAnsi="Arial" w:eastAsia="Arial" w:cs="Arial"/>
          <w:b w:val="0"/>
        </w:rPr>
        <w:t>BOWERS, A. J.; SPROTT, R.; TAFF, S. A. Do we know who will drop out? A review of the predictors of dropping out of high school: precision, sensitivity, and specificity. The High School Journal, v. 96, n. 2, p. 77–100, 2013.</w:t>
      </w:r>
    </w:p>
    <w:p w14:paraId="02DB7CE6">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w:t>
      </w:r>
    </w:p>
    <w:p w14:paraId="3898415D">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w:t>
      </w:r>
    </w:p>
    <w:p w14:paraId="64A09DD4">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w:t>
      </w:r>
    </w:p>
    <w:p w14:paraId="2FB4A314">
      <w:pPr>
        <w:pStyle w:val="3"/>
        <w:ind w:firstLine="0"/>
        <w:rPr>
          <w:color w:val="2E75B5"/>
        </w:rPr>
      </w:pPr>
      <w:r>
        <w:rPr>
          <w:rFonts w:ascii="Arial" w:hAnsi="Arial" w:eastAsia="Arial" w:cs="Arial"/>
          <w:b w:val="0"/>
        </w:rPr>
        <w:t>BREIMAN, L. Random forests. Machine Learning, v. 45, n. 1, p. 5–32, 2001.</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30CCE930">
      <w:pPr>
        <w:pStyle w:val="3"/>
        <w:ind w:firstLine="0"/>
        <w:rPr>
          <w:color w:val="2E75B5"/>
        </w:rPr>
      </w:pPr>
      <w:r>
        <w:rPr>
          <w:rFonts w:ascii="Arial" w:hAnsi="Arial" w:eastAsia="Arial" w:cs="Arial"/>
          <w:b w:val="0"/>
        </w:rPr>
        <w:t>CORTEZ, P.; SILVA, A. Using data mining to predict secondary school student performance. In: FUTURE BUSINESS TECHNOLOGY CONFERENCE, 5., 2008, Porto. Anais [...]. [S. l.]: EUROSIS, 2008. p. 5–12.</w:t>
      </w:r>
    </w:p>
    <w:p w14:paraId="17B44B3E">
      <w:pPr>
        <w:pStyle w:val="3"/>
        <w:ind w:firstLine="0"/>
        <w:rPr>
          <w:color w:val="2E75B5"/>
        </w:rPr>
      </w:pPr>
      <w:r>
        <w:rPr>
          <w:rFonts w:ascii="Arial" w:hAnsi="Arial" w:eastAsia="Arial" w:cs="Arial"/>
          <w:b w:val="0"/>
        </w:rPr>
        <w:t>FREIRE, P. Pedagogia do oprimido. 17. ed. Rio de Janeiro: Paz e Terra, 1987.</w:t>
      </w:r>
    </w:p>
    <w:p w14:paraId="47525BEB">
      <w:pPr>
        <w:pStyle w:val="3"/>
        <w:ind w:firstLine="0"/>
        <w:rPr>
          <w:color w:val="2E75B5"/>
        </w:rPr>
      </w:pPr>
      <w:r>
        <w:rPr>
          <w:rFonts w:ascii="Arial" w:hAnsi="Arial" w:eastAsia="Arial" w:cs="Arial"/>
          <w:b w:val="0"/>
        </w:rPr>
        <w:t>JESUS, J. A. de; GUSMÃO, R. P. de. Investigação da evasão estudantil por meio da mineração de dados e aprendizagem de máquina: um mapeamento sistemático. Revista Brasileira de Informática na Educação, v. 32, p. 807–841, 2024.</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3DE2185E">
      <w:pPr>
        <w:pStyle w:val="3"/>
        <w:ind w:firstLine="0"/>
        <w:rPr>
          <w:color w:val="2E75B5"/>
        </w:rPr>
      </w:pPr>
      <w:r>
        <w:rPr>
          <w:rFonts w:ascii="Arial" w:hAnsi="Arial" w:eastAsia="Arial" w:cs="Arial"/>
          <w:b w:val="0"/>
        </w:rPr>
        <w:t>MOLNAR, C. Interpretable machine learning: a guide for making black box models explainable. 2. ed. [S. l.: s. n.], 2022.</w:t>
      </w:r>
    </w:p>
    <w:p w14:paraId="59E263A9">
      <w:pPr>
        <w:pStyle w:val="3"/>
        <w:ind w:firstLine="0"/>
        <w:rPr>
          <w:color w:val="2E75B5"/>
        </w:rPr>
      </w:pPr>
      <w:r>
        <w:rPr>
          <w:rFonts w:ascii="Arial" w:hAnsi="Arial" w:eastAsia="Arial" w:cs="Arial"/>
          <w:b w:val="0"/>
        </w:rPr>
        <w:t>NASCIMENTO, F. F. do; DANTAS, L. C. de O.; CASTRO, A. F. de; QUEIROZ, P. G. G. Técnicas de mineração de dados e aprendizado de máquina aplicados à evasão estudantil: um mapeamento sistemático da literatura. Revista Brasileira de Informática na Educação, v. 32, p. 270–294, 2024.</w:t>
      </w:r>
    </w:p>
    <w:p w14:paraId="20E6973C">
      <w:pPr>
        <w:pStyle w:val="3"/>
        <w:ind w:firstLine="0"/>
        <w:rPr>
          <w:color w:val="2E75B5"/>
        </w:rPr>
      </w:pPr>
      <w:r>
        <w:rPr>
          <w:rFonts w:ascii="Arial" w:hAnsi="Arial" w:eastAsia="Arial" w:cs="Arial"/>
          <w:b w:val="0"/>
        </w:rPr>
        <w:t>RIBEIRO, M. T.; SINGH, S.; GUESTRIN, C. “Why should I trust you?”: explaining the predictions of any classifier. In: PROCEEDINGS OF THE 22ND ACM SIGKDD INTERNATIONAL CONFERENCE ON KNOWLEDGE DISCOVERY AND DATA MINING, 2016, São Francisco. Anais [...]. New York: ACM, 2016. p. 1135–1144.</w:t>
      </w:r>
    </w:p>
    <w:p w14:paraId="1C353865">
      <w:pPr>
        <w:pStyle w:val="3"/>
        <w:ind w:firstLine="0"/>
        <w:rPr>
          <w:color w:val="2E75B5"/>
        </w:rPr>
      </w:pPr>
      <w:r>
        <w:rPr>
          <w:rFonts w:ascii="Arial" w:hAnsi="Arial" w:eastAsia="Arial" w:cs="Arial"/>
          <w:b w:val="0"/>
        </w:rPr>
        <w:t>ROMERO, C.; VENTURA, S. Educational data mining: a review of the state of the art. IEEE Transactions on Systems, Man, and Cybernetics, Part C: Applications and Reviews, v. 40, n. 6, p. 601–618, 2010.</w:t>
      </w:r>
    </w:p>
    <w:p w14:paraId="7162C159">
      <w:pPr>
        <w:pStyle w:val="3"/>
        <w:ind w:firstLine="0"/>
        <w:rPr>
          <w:color w:val="2E75B5"/>
        </w:rPr>
      </w:pPr>
      <w:r>
        <w:rPr>
          <w:rFonts w:ascii="Arial" w:hAnsi="Arial" w:eastAsia="Arial" w:cs="Arial"/>
          <w:b w:val="0"/>
        </w:rPr>
        <w:t>RUMBERGER, R. W. Dropping out: why students drop out of high school and what can be done about it. Cambridge: Harvard University Press, 2011.</w:t>
      </w:r>
    </w:p>
    <w:p w14:paraId="3551BBB8">
      <w:pPr>
        <w:pStyle w:val="3"/>
        <w:ind w:firstLine="0"/>
        <w:rPr>
          <w:color w:val="2E75B5"/>
        </w:rPr>
      </w:pPr>
      <w:r>
        <w:rPr>
          <w:rFonts w:ascii="Arial" w:hAnsi="Arial" w:eastAsia="Arial" w:cs="Arial"/>
          <w:b w:val="0"/>
        </w:rPr>
        <w:t>TEODORO, L. de A.; KAPPEL, M. A. A. Aplicação de técnicas de aprendizado de máquina para predição de risco de evasão escolar em instituições públicas de ensino superior no Brasil. Revista Brasileira de Informática na Educação, v. 28, p. 838–863, 2020.</w:t>
      </w:r>
    </w:p>
    <w:p w14:paraId="2A8FD802">
      <w:pPr>
        <w:pStyle w:val="3"/>
        <w:ind w:firstLine="0"/>
        <w:rPr>
          <w:color w:val="2E75B5"/>
        </w:rPr>
      </w:pPr>
      <w:r>
        <w:rPr>
          <w:rFonts w:ascii="Arial" w:hAnsi="Arial" w:eastAsia="Arial" w:cs="Arial"/>
          <w:b w:val="0"/>
        </w:rPr>
        <w:t>TINTO, V. Dropout from higher education: a theoretical synthesis of recent research. Review of Educational Research, v. 45, n. 1, p. 89–125, 1975.</w:t>
      </w:r>
    </w:p>
    <w:p w14:paraId="6FD186B2">
      <w:pPr>
        <w:pStyle w:val="8"/>
        <w:rPr>
          <w:color w:val="000000"/>
        </w:rPr>
      </w:pPr>
      <w:bookmarkStart w:id="65" w:name="_Toc31837"/>
      <w:r>
        <w:rPr>
          <w:rFonts w:ascii="Arial" w:hAnsi="Arial" w:eastAsia="Arial" w:cs="Arial"/>
          <w:b w:val="0"/>
        </w:rPr>
        <w:t>Apêndice A – Relação das 39 características usadas pelo sistema</w:t>
      </w:r>
      <w:bookmarkEnd w:id="65"/>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ACD78C91-8902-474E-8294-1458474776C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B3FAD5B8-14E2-411B-8529-0E26A3964809}"/>
  </w:font>
  <w:font w:name="Wingdings">
    <w:panose1 w:val="05000000000000000000"/>
    <w:charset w:val="02"/>
    <w:family w:val="auto"/>
    <w:pitch w:val="default"/>
    <w:sig w:usb0="00000000" w:usb1="00000000" w:usb2="00000000" w:usb3="00000000" w:csb0="80000000" w:csb1="00000000"/>
    <w:embedRegular r:id="rId3" w:fontKey="{50A14A73-F983-439C-AF05-59DACEE2842F}"/>
  </w:font>
  <w:font w:name="Calibri">
    <w:panose1 w:val="020F0502020204030204"/>
    <w:charset w:val="00"/>
    <w:family w:val="swiss"/>
    <w:pitch w:val="default"/>
    <w:sig w:usb0="E4002EFF" w:usb1="C200247B" w:usb2="00000009" w:usb3="00000000" w:csb0="200001FF" w:csb1="00000000"/>
    <w:embedRegular r:id="rId4" w:fontKey="{FC3DFE3F-65BB-4A89-B8A1-D86A32840BFE}"/>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5" w:fontKey="{F57A871D-5372-470C-832F-FE80A360D368}"/>
  </w:font>
  <w:font w:name="Liberation Sans">
    <w:panose1 w:val="020B0604020202020204"/>
    <w:charset w:val="00"/>
    <w:family w:val="swiss"/>
    <w:pitch w:val="default"/>
    <w:sig w:usb0="E0000AFF" w:usb1="500078FF" w:usb2="00000021" w:usb3="00000000" w:csb0="600001BF" w:csb1="DFF70000"/>
    <w:embedRegular r:id="rId6" w:fontKey="{519C319A-4073-40C3-B730-750CDFAA0C01}"/>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documentProtection w:enforcement="0"/>
  <w:defaultTabStop w:val="720"/>
  <w:autoHyphenation/>
  <w:hyphenationZone w:val="0"/>
  <w:footnotePr>
    <w:footnote w:id="0"/>
    <w:footnote w:id="1"/>
  </w:footnotePr>
  <w:endnotePr>
    <w:endnote w:id="0"/>
    <w:endnote w:id="1"/>
  </w:endnotePr>
  <w:compat>
    <w:compatSetting w:name="compatibilityMode" w:uri="http://schemas.microsoft.com/office/word" w:val="15"/>
  </w:compat>
  <w:rsids>
    <w:rsidRoot w:val="00000000"/>
    <w:rsid w:val="03E75FC9"/>
    <w:rsid w:val="154F2ABF"/>
    <w:rsid w:val="2C1B3E3D"/>
    <w:rsid w:val="37816D17"/>
    <w:rsid w:val="46E010FE"/>
    <w:rsid w:val="54BC7DEB"/>
    <w:rsid w:val="59E678F3"/>
    <w:rsid w:val="79F53997"/>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11">
    <w:name w:val="Body Text"/>
    <w:basedOn w:val="1"/>
    <w:qFormat/>
    <w:uiPriority w:val="0"/>
    <w:pPr>
      <w:spacing w:before="0" w:after="140" w:line="276" w:lineRule="auto"/>
    </w:pPr>
  </w:style>
  <w:style w:type="paragraph" w:styleId="12">
    <w:name w:val="caption"/>
    <w:basedOn w:val="1"/>
    <w:qFormat/>
    <w:uiPriority w:val="0"/>
    <w:pPr>
      <w:suppressLineNumbers/>
      <w:spacing w:before="120" w:after="120"/>
    </w:pPr>
    <w:rPr>
      <w:rFonts w:cs="Arial"/>
      <w:i/>
      <w:iCs/>
      <w:sz w:val="24"/>
      <w:szCs w:val="24"/>
    </w:rPr>
  </w:style>
  <w:style w:type="paragraph" w:styleId="13">
    <w:name w:val="header"/>
    <w:basedOn w:val="14"/>
    <w:qFormat/>
    <w:uiPriority w:val="0"/>
  </w:style>
  <w:style w:type="paragraph" w:customStyle="1" w:styleId="14">
    <w:name w:val="Cabeçalho e rodapé"/>
    <w:basedOn w:val="1"/>
    <w:qFormat/>
    <w:uiPriority w:val="0"/>
  </w:style>
  <w:style w:type="character" w:styleId="15">
    <w:name w:val="Hyperlink"/>
    <w:qFormat/>
    <w:uiPriority w:val="0"/>
    <w:rPr>
      <w:color w:val="000080"/>
      <w:u w:val="single"/>
    </w:rPr>
  </w:style>
  <w:style w:type="paragraph" w:styleId="16">
    <w:name w:val="List"/>
    <w:basedOn w:val="11"/>
    <w:qFormat/>
    <w:uiPriority w:val="0"/>
    <w:rPr>
      <w:rFonts w:cs="Arial"/>
    </w:rPr>
  </w:style>
  <w:style w:type="paragraph" w:styleId="17">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18">
    <w:name w:val="Title"/>
    <w:basedOn w:val="3"/>
    <w:next w:val="3"/>
    <w:qFormat/>
    <w:uiPriority w:val="0"/>
    <w:pPr>
      <w:keepNext/>
      <w:keepLines/>
      <w:pageBreakBefore w:val="0"/>
      <w:spacing w:before="480" w:after="120" w:line="240" w:lineRule="auto"/>
    </w:pPr>
    <w:rPr>
      <w:b/>
      <w:bCs/>
      <w:sz w:val="72"/>
      <w:szCs w:val="7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6"/>
    <w:basedOn w:val="1"/>
    <w:next w:val="1"/>
    <w:qFormat/>
    <w:uiPriority w:val="0"/>
    <w:pPr>
      <w:ind w:left="2100" w:leftChars="1000"/>
    </w:pPr>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
    <w:basedOn w:val="1"/>
    <w:next w:val="11"/>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1"/>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2.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65</Pages>
  <Words>9961</Words>
  <Characters>54488</Characters>
  <Paragraphs>463</Paragraphs>
  <TotalTime>3</TotalTime>
  <ScaleCrop>false</ScaleCrop>
  <LinksUpToDate>false</LinksUpToDate>
  <CharactersWithSpaces>64076</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2026-07-24T23:07:14Z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1033-12.1.0.27458</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