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do(a) prof.(a), dr.(a) - (</w:t>
      </w:r>
      <w:r>
        <w:rPr>
          <w:rFonts w:eastAsia="Arial" w:cs="Arial"/>
          <w:b/>
          <w:bCs/>
          <w:i w:val="0"/>
          <w:iCs w:val="0"/>
          <w:caps w:val="0"/>
          <w:smallCaps w:val="0"/>
          <w:strike w:val="0"/>
          <w:dstrike w:val="0"/>
          <w:color w:val="000000"/>
          <w:position w:val="0"/>
          <w:sz w:val="24"/>
          <w:szCs w:val="24"/>
          <w:u w:val="none"/>
          <w:shd w:val="clear" w:fill="auto"/>
          <w:vertAlign w:val="baseline"/>
        </w:rPr>
        <w:t>nome do completo do(a) orientador(a)</w:t>
      </w:r>
      <w:r>
        <w:rPr>
          <w:rFonts w:eastAsia="Arial" w:cs="Arial"/>
          <w:b w:val="0"/>
          <w:bCs w:val="0"/>
          <w:i w:val="0"/>
          <w:iCs w:val="0"/>
          <w:caps w:val="0"/>
          <w:smallCaps w:val="0"/>
          <w:strike w:val="0"/>
          <w:dstrike w:val="0"/>
          <w:color w:val="000000"/>
          <w:position w:val="0"/>
          <w:sz w:val="24"/>
          <w:szCs w:val="24"/>
          <w:u w:val="none"/>
          <w:shd w:val="clear" w:fill="auto"/>
          <w:vertAlign w:val="baseline"/>
        </w:rPr>
        <w:t>).</w:t>
      </w:r>
    </w:p>
    <w:p w14:paraId="64CE458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F9F7E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205C22E">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062C3D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A2BCCC7">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A626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EEDDFA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0A224A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B092B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São Paulo</w:t>
      </w:r>
    </w:p>
    <w:p w14:paraId="7833F3A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2026</w:t>
      </w:r>
    </w:p>
    <w:p w14:paraId="49B57538">
      <w:pPr>
        <w:pStyle w:val="3"/>
        <w:spacing w:before="0" w:after="0" w:line="259" w:lineRule="auto"/>
        <w:jc w:val="left"/>
        <w:rPr>
          <w:color w:val="000000"/>
        </w:rPr>
      </w:pPr>
      <w:r>
        <mc:AlternateContent>
          <mc:Choice Requires="wps">
            <w:drawing>
              <wp:anchor distT="6350" distB="6350" distL="6350" distR="6350" simplePos="0" relativeHeight="251659264" behindDoc="0" locked="0" layoutInCell="1" allowOverlap="1">
                <wp:simplePos x="0" y="0"/>
                <wp:positionH relativeFrom="column">
                  <wp:posOffset>18415</wp:posOffset>
                </wp:positionH>
                <wp:positionV relativeFrom="paragraph">
                  <wp:posOffset>-219710</wp:posOffset>
                </wp:positionV>
                <wp:extent cx="5746750" cy="1612900"/>
                <wp:effectExtent l="6350" t="6350" r="6350" b="6350"/>
                <wp:wrapNone/>
                <wp:docPr id="2" name="Shape 2"/>
                <wp:cNvGraphicFramePr/>
                <a:graphic xmlns:a="http://schemas.openxmlformats.org/drawingml/2006/main">
                  <a:graphicData uri="http://schemas.microsoft.com/office/word/2010/wordprocessingShape">
                    <wps:wsp>
                      <wps:cNvSpPr/>
                      <wps:spPr>
                        <a:xfrm>
                          <a:off x="0" y="0"/>
                          <a:ext cx="5746680" cy="1612800"/>
                        </a:xfrm>
                        <a:prstGeom prst="rect">
                          <a:avLst/>
                        </a:prstGeom>
                        <a:noFill/>
                        <a:ln w="12700">
                          <a:solidFill>
                            <a:srgbClr val="000000"/>
                          </a:solidFill>
                          <a:miter/>
                        </a:ln>
                      </wps:spPr>
                      <wps:style>
                        <a:lnRef idx="0">
                          <a:srgbClr val="FFFFFF"/>
                        </a:lnRef>
                        <a:fillRef idx="0">
                          <a:srgbClr val="FFFFFF"/>
                        </a:fillRef>
                        <a:effectRef idx="0">
                          <a:srgbClr val="FFFFFF"/>
                        </a:effectRef>
                        <a:fontRef idx="minor"/>
                      </wps:style>
                      <wps:txbx>
                        <w:txbxContent>
                          <w:p w14:paraId="5039EB54">
                            <w:pPr>
                              <w:pStyle w:val="29"/>
                              <w:spacing w:before="0" w:after="0" w:line="240" w:lineRule="auto"/>
                              <w:ind w:left="0" w:right="0" w:firstLine="0"/>
                              <w:jc w:val="left"/>
                              <w:rPr>
                                <w:color w:val="000000"/>
                              </w:rPr>
                            </w:pPr>
                          </w:p>
                        </w:txbxContent>
                      </wps:txbx>
                      <wps:bodyPr lIns="91440" tIns="91440" rIns="91440" bIns="91440" anchor="ctr">
                        <a:noAutofit/>
                      </wps:bodyPr>
                    </wps:wsp>
                  </a:graphicData>
                </a:graphic>
              </wp:anchor>
            </w:drawing>
          </mc:Choice>
          <mc:Fallback>
            <w:pict>
              <v:rect id="Shape 2" o:spid="_x0000_s1026" o:spt="1" style="position:absolute;left:0pt;margin-left:1.45pt;margin-top:-17.3pt;height:127pt;width:452.5pt;z-index:251659264;v-text-anchor:middle;mso-width-relative:page;mso-height-relative:page;" filled="f" stroked="t" coordsize="21600,21600" o:gfxdata="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BVoqLXAAAACQEAAA8AAAAAAAAAAQAgAAAA&#10;IgAAAGRycy9kb3ducmV2LnhtbFBLAQIUABQAAAAIAIdO4kCKZixS0wEAAM0DAAAOAAAAAAAAAAEA&#10;IAAAACYBAABkcnMvZTJvRG9jLnhtbFBLBQYAAAAABgAGAFkBAABrBQAAAAA=&#10;">
                <v:fill on="f" focussize="0,0"/>
                <v:stroke weight="1pt" color="#000000" joinstyle="miter"/>
                <v:imagedata o:title=""/>
                <o:lock v:ext="edit" aspectratio="f"/>
                <v:textbox inset="2.54mm,2.54mm,2.54mm,2.54mm">
                  <w:txbxContent>
                    <w:p w14:paraId="5039EB54">
                      <w:pPr>
                        <w:pStyle w:val="29"/>
                        <w:spacing w:before="0" w:after="0" w:line="240" w:lineRule="auto"/>
                        <w:ind w:left="0" w:right="0" w:firstLine="0"/>
                        <w:jc w:val="left"/>
                        <w:rPr>
                          <w:color w:val="000000"/>
                        </w:rPr>
                      </w:pPr>
                    </w:p>
                  </w:txbxContent>
                </v:textbox>
              </v:rect>
            </w:pict>
          </mc:Fallback>
        </mc:AlternateContent>
      </w:r>
      <w:r>
        <w:rPr>
          <w:color w:val="000000"/>
        </w:rPr>
        <w:t xml:space="preserve">Gerenciador de ficha catalográfica: </w:t>
      </w:r>
    </w:p>
    <w:p w14:paraId="69158EA1">
      <w:pPr>
        <w:pStyle w:val="3"/>
        <w:spacing w:line="259" w:lineRule="auto"/>
        <w:ind w:left="284" w:firstLine="0"/>
        <w:jc w:val="left"/>
      </w:pPr>
    </w:p>
    <w:p w14:paraId="7CDAAA43">
      <w:pPr>
        <w:pStyle w:val="3"/>
        <w:spacing w:line="259" w:lineRule="auto"/>
        <w:ind w:left="284" w:firstLine="0"/>
        <w:jc w:val="left"/>
        <w:rPr>
          <w:color w:val="000000"/>
        </w:rPr>
      </w:pPr>
      <w:r>
        <w:fldChar w:fldCharType="begin"/>
      </w:r>
      <w:r>
        <w:instrText xml:space="preserve"> HYPERLINK "http://biblio2.pucsp.br/ficha/?_ga=2.154384056.1415767632.1628681585-1429258994.1628681585" \h </w:instrText>
      </w:r>
      <w:r>
        <w:fldChar w:fldCharType="separate"/>
      </w:r>
      <w:r>
        <w:rPr>
          <w:color w:val="0563C1"/>
          <w:u w:val="single"/>
        </w:rPr>
        <w:t>http://biblio2.pucsp.br/ficha/?_ga=2.154384056.1415767632.1628681585-1429258994.1628681585</w:t>
      </w:r>
      <w:r>
        <w:rPr>
          <w:color w:val="0563C1"/>
          <w:u w:val="single"/>
        </w:rPr>
        <w:fldChar w:fldCharType="end"/>
      </w:r>
    </w:p>
    <w:p w14:paraId="5EEF71C6">
      <w:pPr>
        <w:pStyle w:val="3"/>
        <w:spacing w:line="259" w:lineRule="auto"/>
        <w:jc w:val="left"/>
        <w:rPr>
          <w:color w:val="000000"/>
        </w:rPr>
      </w:pPr>
    </w:p>
    <w:p w14:paraId="4F9E2F33">
      <w:pPr>
        <w:pStyle w:val="3"/>
        <w:spacing w:line="259" w:lineRule="auto"/>
        <w:jc w:val="left"/>
        <w:rPr>
          <w:b/>
          <w:bCs/>
          <w:color w:val="000000"/>
        </w:rPr>
      </w:pPr>
      <w:r>
        <w:rPr>
          <w:b/>
          <w:bCs/>
          <w:color w:val="000000"/>
        </w:rPr>
        <w:t>Obs. Após inserir a ficha deletar este texto</w:t>
      </w:r>
    </w:p>
    <w:p w14:paraId="6E098FFF">
      <w:pPr>
        <w:pStyle w:val="3"/>
        <w:spacing w:line="259" w:lineRule="auto"/>
        <w:jc w:val="left"/>
        <w:rPr>
          <w:b/>
          <w:bCs/>
          <w:color w:val="000000"/>
        </w:rPr>
      </w:pPr>
    </w:p>
    <w:p w14:paraId="34C1F001">
      <w:pPr>
        <w:pStyle w:val="3"/>
        <w:spacing w:line="259" w:lineRule="auto"/>
        <w:jc w:val="left"/>
        <w:rPr>
          <w:b/>
          <w:bCs/>
          <w:color w:val="000000"/>
        </w:rPr>
      </w:pPr>
    </w:p>
    <w:p w14:paraId="5F189B53">
      <w:pPr>
        <w:pStyle w:val="3"/>
        <w:spacing w:line="259" w:lineRule="auto"/>
        <w:jc w:val="left"/>
        <w:rPr>
          <w:b/>
          <w:bCs/>
          <w:color w:val="000000"/>
        </w:rPr>
      </w:pPr>
    </w:p>
    <w:p w14:paraId="58953B98">
      <w:pPr>
        <w:pStyle w:val="3"/>
        <w:spacing w:line="259" w:lineRule="auto"/>
        <w:jc w:val="left"/>
        <w:rPr>
          <w:b/>
          <w:bCs/>
          <w:color w:val="000000"/>
        </w:rPr>
      </w:pPr>
    </w:p>
    <w:p w14:paraId="795AE9EC">
      <w:pPr>
        <w:pStyle w:val="3"/>
        <w:spacing w:line="259" w:lineRule="auto"/>
        <w:jc w:val="left"/>
        <w:rPr>
          <w:b/>
          <w:bCs/>
          <w:color w:val="000000"/>
        </w:rPr>
      </w:pPr>
    </w:p>
    <w:p w14:paraId="623EB1F4">
      <w:pPr>
        <w:pStyle w:val="3"/>
        <w:spacing w:line="259" w:lineRule="auto"/>
        <w:jc w:val="left"/>
        <w:rPr>
          <w:b/>
          <w:bCs/>
          <w:color w:val="000000"/>
        </w:rPr>
      </w:pPr>
    </w:p>
    <w:p w14:paraId="13F3941B">
      <w:pPr>
        <w:pStyle w:val="3"/>
        <w:spacing w:line="259" w:lineRule="auto"/>
        <w:jc w:val="left"/>
        <w:rPr>
          <w:b/>
          <w:bCs/>
          <w:color w:val="000000"/>
        </w:rPr>
      </w:pPr>
    </w:p>
    <w:p w14:paraId="4FA1C217">
      <w:pPr>
        <w:pStyle w:val="3"/>
        <w:spacing w:line="259" w:lineRule="auto"/>
        <w:jc w:val="left"/>
        <w:rPr>
          <w:b/>
          <w:bCs/>
          <w:color w:val="000000"/>
        </w:rPr>
      </w:pPr>
      <w:r>
        <w:br w:type="page"/>
      </w:r>
    </w:p>
    <w:p w14:paraId="1E1FD561">
      <w:pPr>
        <w:pStyle w:val="3"/>
        <w:keepNext w:val="0"/>
        <w:keepLines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5DABC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3F846E2">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D0D9E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CAAC4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DB182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AD404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A8AD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A4ED25">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6DC6AA">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505CF51">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12CE18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AABF28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24CD3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8D4C53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818DEB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930060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AGRADECIMENTOS</w:t>
      </w:r>
    </w:p>
    <w:p w14:paraId="1DF9DB61">
      <w:pPr>
        <w:pStyle w:val="3"/>
        <w:rPr>
          <w:color w:val="000000"/>
        </w:rPr>
      </w:pPr>
    </w:p>
    <w:p w14:paraId="3C8CBD80">
      <w:pPr>
        <w:pStyle w:val="3"/>
        <w:rPr>
          <w:color w:val="000000"/>
        </w:rPr>
      </w:pPr>
      <w:r>
        <w:rPr>
          <w:color w:val="000000"/>
        </w:rPr>
        <w:t>Agradeço ao meu orientador............................................................................... .......................................................................................................................................................................................................................</w:t>
      </w:r>
    </w:p>
    <w:p w14:paraId="5A487436">
      <w:pPr>
        <w:pStyle w:val="3"/>
        <w:rPr>
          <w:color w:val="000000"/>
        </w:rPr>
      </w:pPr>
      <w:r>
        <w:rPr>
          <w:color w:val="000000"/>
        </w:rPr>
        <w:t>A todos os meus professores............................................................................. ........................................................................................................................................................................................................................</w:t>
      </w:r>
    </w:p>
    <w:p w14:paraId="6B1FAAB8">
      <w:pPr>
        <w:pStyle w:val="3"/>
        <w:rPr>
          <w:color w:val="000000"/>
        </w:rPr>
      </w:pPr>
      <w:r>
        <w:rPr>
          <w:color w:val="000000"/>
        </w:rPr>
        <w:t>Aos meus pais.................................................................................................... ........................................................................................................................................................................................................................</w:t>
      </w:r>
    </w:p>
    <w:p w14:paraId="12A1E6D9">
      <w:pPr>
        <w:pStyle w:val="3"/>
        <w:rPr>
          <w:color w:val="000000"/>
        </w:rPr>
      </w:pPr>
      <w:r>
        <w:rPr>
          <w:color w:val="000000"/>
        </w:rPr>
        <w:t>........................................................................................................................................................................................................................</w:t>
      </w:r>
    </w:p>
    <w:p w14:paraId="2BE616FC">
      <w:pPr>
        <w:pStyle w:val="3"/>
        <w:rPr>
          <w:b/>
          <w:bCs/>
          <w:color w:val="000000"/>
        </w:rPr>
      </w:pPr>
      <w: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Ninguém ignora tudo. Ninguém sabe tudo. Todos nós sabemos alguma coisa. Todos nós ignoramos alguma coisa. Por isso aprendemos sempre. (FREIRE, 1987, p. 45).</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vem caindo — de 2,05% em 2022 para 0,96% em 2024 —, mas a média esconde o problema real: em 2024, dois terços das escolas não registraram nenhum abandono, enquanto 10% delas concentraram 76% dos 2.043 alunos que deixaram a escola. Este trabalho desenvolve um sistema que identifica antecipadamente as escolas com maior risco de abandono. O sistema reúne dados públicos do INEP — Censo Escolar de 2022 a 2024, taxas de rendimento e quatro indicadores complementares —, usa 39 características por escola e prevê a taxa de abandono do ano seguinte. O resultado é entregue ao gestor em um painel interativo que ordena as escolas por risco e explica cada indicação. O sistema acerta a ordem das escolas muito melhor do que o valor exato da taxa: das escolas que ele aponta como prioritárias, cerca de metade está de fato entre as mais críticas, contra 7 em cada 100 na escolha ao acaso. No teste mais exigente — prever um ano que o sistema não viu —, uma lista de 150 escolas alcança quase dois terços das escolas críticas da rede. O histórico recente de abandono, a reprovação e a defasagem entre idade e série são os principais sinais de risco.</w:t>
      </w:r>
    </w:p>
    <w:p w14:paraId="31B565F5">
      <w:pPr>
        <w:pStyle w:val="3"/>
        <w:ind w:firstLine="0"/>
        <w:rPr>
          <w:color w:val="2E75B5"/>
        </w:rPr>
      </w:pPr>
      <w:r>
        <w:rPr>
          <w:rFonts w:ascii="Arial" w:hAnsi="Arial" w:eastAsia="Arial" w:cs="Arial"/>
          <w:b w:val="0"/>
        </w:rPr>
        <w:t>Palavras-chave: Evasão escolar. Priorização de escolas.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has been falling — from 2.05% in 2022 to 0.96% in 2024 — but the average hides the real problem: in 2024, two thirds of the schools recorded no dropout at all, while 10% of them concentrated 76% of the 2,043 students who left school. This work develops a system that identifies in advance the schools at highest risk of dropout. The system gathers public data from INEP — the School Census from 2022 to 2024, performance rates and four complementary indicators —, uses 38 pieces of information per school and predicts the dropout rate of the following year. The result is delivered to the manager through an interactive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 predicting a year the system has never seen — a list of 150 schools reaches almost two thirds of the critical schools in the network. Recent dropout history, grade retention and the gap between age and grade are the main risk signals.</w:t>
      </w:r>
    </w:p>
    <w:p w14:paraId="3D8D40F5">
      <w:pPr>
        <w:pStyle w:val="3"/>
        <w:ind w:firstLine="0"/>
        <w:rPr>
          <w:color w:val="2E75B5"/>
        </w:rPr>
      </w:pPr>
      <w:r>
        <w:rPr>
          <w:rFonts w:ascii="Arial" w:hAnsi="Arial" w:eastAsia="Arial" w:cs="Arial"/>
          <w:b w:val="0"/>
        </w:rPr>
        <w:t>Keywords: School dropout. School prioritization.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Distribuição da taxa de abandono prevista e diferença de risco entre grupos de escolas</w:t>
      </w:r>
    </w:p>
    <w:p w14:paraId="7670B9EB">
      <w:pPr>
        <w:pStyle w:val="3"/>
        <w:ind w:firstLine="0"/>
        <w:rPr>
          <w:color w:val="2E75B5"/>
        </w:rPr>
      </w:pPr>
      <w:r>
        <w:rPr>
          <w:rFonts w:ascii="Arial" w:hAnsi="Arial"/>
          <w:sz w:val="22"/>
        </w:rPr>
        <w:t>Figura 8 – Distribuição das 23 características contínuas na rede estadual</w:t>
      </w:r>
    </w:p>
    <w:p w14:paraId="1D62E1CA">
      <w:pPr>
        <w:pStyle w:val="3"/>
        <w:ind w:firstLine="0"/>
        <w:rPr>
          <w:color w:val="2E75B5"/>
        </w:rPr>
      </w:pPr>
      <w:r>
        <w:rPr>
          <w:rFonts w:ascii="Arial" w:hAnsi="Arial"/>
          <w:sz w:val="22"/>
        </w:rPr>
        <w:t>Figura 9 – Repartição das escolas por atributo de sim ou não e taxa média de abandono de cada grupo</w:t>
      </w:r>
    </w:p>
    <w:p w14:paraId="25572C24">
      <w:pPr>
        <w:pStyle w:val="3"/>
        <w:ind w:firstLine="0"/>
        <w:rPr>
          <w:color w:val="2E75B5"/>
        </w:rPr>
      </w:pPr>
      <w:r>
        <w:rPr>
          <w:rFonts w:ascii="Arial" w:hAnsi="Arial"/>
          <w:sz w:val="22"/>
        </w:rPr>
        <w:t>Figura 10 – Abandono médio e peso de cada região do estado no conjunto de dados</w:t>
      </w:r>
    </w:p>
    <w:p w14:paraId="00552AF9">
      <w:pPr>
        <w:pStyle w:val="3"/>
        <w:ind w:firstLine="0"/>
        <w:rPr>
          <w:color w:val="2E75B5"/>
        </w:rPr>
      </w:pPr>
      <w:r>
        <w:rPr>
          <w:rFonts w:ascii="Arial" w:hAnsi="Arial"/>
          <w:sz w:val="22"/>
        </w:rPr>
        <w:t>Figura 11 – As 38 características numéricas ordenadas pela relação com o abandono do ano seguinte</w:t>
      </w:r>
    </w:p>
    <w:p w14:paraId="4C704656">
      <w:pPr>
        <w:pStyle w:val="3"/>
        <w:ind w:firstLine="0"/>
        <w:rPr>
          <w:color w:val="2E75B5"/>
        </w:rPr>
      </w:pPr>
      <w:r>
        <w:rPr>
          <w:rFonts w:ascii="Arial" w:hAnsi="Arial"/>
          <w:sz w:val="22"/>
        </w:rPr>
        <w:t>Figura 12 – Distribuição das medidas de desempenho nas 20 repetições</w:t>
      </w:r>
    </w:p>
    <w:p w14:paraId="0BCC53AB">
      <w:pPr>
        <w:pStyle w:val="3"/>
        <w:ind w:firstLine="0"/>
        <w:rPr>
          <w:color w:val="2E75B5"/>
        </w:rPr>
      </w:pPr>
      <w:r>
        <w:rPr>
          <w:rFonts w:ascii="Arial" w:hAnsi="Arial"/>
          <w:sz w:val="22"/>
        </w:rPr>
        <w:t>Figura 13 – Ganho prático da lista de prioridade em relação à escolha ao acaso</w:t>
      </w:r>
    </w:p>
    <w:p w14:paraId="243493A6">
      <w:pPr>
        <w:pStyle w:val="3"/>
        <w:ind w:firstLine="0"/>
        <w:rPr>
          <w:color w:val="2E75B5"/>
        </w:rPr>
      </w:pPr>
      <w:r>
        <w:rPr>
          <w:rFonts w:ascii="Arial" w:hAnsi="Arial"/>
          <w:sz w:val="22"/>
        </w:rPr>
        <w:t>Figura 14 – Acerto e alcance da lista para diferentes tamanhos de lista</w:t>
      </w:r>
    </w:p>
    <w:p w14:paraId="145FB100">
      <w:pPr>
        <w:pStyle w:val="3"/>
        <w:ind w:firstLine="0"/>
        <w:rPr>
          <w:color w:val="2E75B5"/>
        </w:rPr>
      </w:pPr>
      <w:r>
        <w:rPr>
          <w:rFonts w:ascii="Arial" w:hAnsi="Arial"/>
          <w:sz w:val="22"/>
        </w:rPr>
        <w:t>Figura 15 – Contribuição de cada característica para as previsões do sistema</w:t>
      </w:r>
    </w:p>
    <w:p w14:paraId="44E8BD78">
      <w:pPr>
        <w:pStyle w:val="3"/>
        <w:ind w:firstLine="0"/>
        <w:rPr>
          <w:color w:val="2E75B5"/>
        </w:rPr>
      </w:pPr>
      <w:r>
        <w:rPr>
          <w:rFonts w:ascii="Arial" w:hAnsi="Arial"/>
          <w:sz w:val="22"/>
        </w:rPr>
        <w:t>Figura 16 – Peso e direção de cada característica nas previsões do sistema</w:t>
      </w:r>
    </w:p>
    <w:p w14:paraId="4F99997E">
      <w:pPr>
        <w:pStyle w:val="3"/>
        <w:ind w:firstLine="0"/>
        <w:rPr>
          <w:color w:val="2E75B5"/>
        </w:rPr>
      </w:pPr>
      <w:r>
        <w:rPr>
          <w:rFonts w:ascii="Arial" w:hAnsi="Arial"/>
          <w:sz w:val="22"/>
        </w:rPr>
        <w:t>Figura 17 – Explicação individual da escola de maior risco previsto</w:t>
      </w:r>
    </w:p>
    <w:p w14:paraId="1A68FE01">
      <w:pPr>
        <w:pStyle w:val="3"/>
        <w:ind w:firstLine="0"/>
        <w:rPr>
          <w:color w:val="2E75B5"/>
        </w:rPr>
      </w:pPr>
      <w:r>
        <w:rPr>
          <w:rFonts w:ascii="Arial" w:hAnsi="Arial"/>
          <w:sz w:val="22"/>
        </w:rPr>
        <w:t>Figura 18 – Erro do sistema por grupo de localização no teste do ano nunca visto</w:t>
      </w:r>
    </w:p>
    <w:p w14:paraId="66821D4E">
      <w:pPr>
        <w:pStyle w:val="3"/>
        <w:rPr>
          <w:b/>
          <w:bCs/>
          <w:color w:val="000000"/>
        </w:rPr>
      </w:pPr>
    </w:p>
    <w:sdt>
      <w:sdtPr>
        <w:id w:val="147471518"/>
        <w:docPartObj>
          <w:docPartGallery w:val="Table of Contents"/>
          <w:docPartUnique/>
        </w:docPartObj>
      </w:sdtPr>
      <w:sdtContent>
        <w:p w14:paraId="40E3983C">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"_heading=h.jhc5tl22jlhp"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Figura 1 - Estrutura de trabalhos acadêmicos. (ABNT NBR 14724)</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E470546">
      <w:pPr>
        <w:pStyle w:val="3"/>
        <w:rPr>
          <w:b/>
          <w:bCs/>
          <w:color w:val="000000"/>
        </w:rPr>
      </w:pPr>
      <w:r>
        <w:br w:type="page"/>
      </w: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sdt>
      <w:sdtPr>
        <w:id w:val="147479382"/>
        <w:docPartObj>
          <w:docPartGallery w:val="Table of Contents"/>
          <w:docPartUnique/>
        </w:docPartObj>
      </w:sdtPr>
      <w:sdtContent>
        <w:p w14:paraId="3660C5F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"_heading=h.62ykwif5gkal"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Gráfico 1 – Grupos etários</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B16FE56">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2CB820C1">
      <w:pPr>
        <w:pStyle w:val="3"/>
        <w:rPr>
          <w:b/>
          <w:bCs/>
          <w:color w:val="000000"/>
        </w:rPr>
      </w:pPr>
    </w:p>
    <w:sdt>
      <w:sdtPr>
        <w:id w:val="147477223"/>
        <w:docPartObj>
          <w:docPartGallery w:val="Table of Contents"/>
          <w:docPartUnique/>
        </w:docPartObj>
      </w:sdtPr>
      <w:sdtContent>
        <w:p w14:paraId="74955F1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"_heading=h.hdx1pjdrbrax"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Quadro 1 – Formato de apresentação</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39E9F8A">
      <w:pPr>
        <w:pStyle w:val="3"/>
        <w:rPr>
          <w:b/>
          <w:bCs/>
          <w:color w:val="000000"/>
        </w:rPr>
      </w:pPr>
      <w:r>
        <w:br w:type="page"/>
      </w:r>
    </w:p>
    <w:p w14:paraId="6C9B4BFE">
      <w:pPr>
        <w:pStyle w:val="3"/>
        <w:rPr>
          <w:color w:val="000000"/>
        </w:rPr>
      </w:pPr>
    </w:p>
    <w:sdt>
      <w:sdtPr>
        <w:id w:val="147482777"/>
        <w:docPartObj>
          <w:docPartGallery w:val="Table of Contents"/>
          <w:docPartUnique/>
        </w:docPartObj>
      </w:sdtPr>
      <w:sdtContent>
        <w:p w14:paraId="234E00CA">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"_heading=h.fi64up6kunop"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Tabela 1 - Modelo de tabela</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blPrEx>
          <w:tblCellMar>
            <w:top w:w="0" w:type="dxa"/>
            <w:left w:w="108" w:type="dxa"/>
            <w:bottom w:w="0" w:type="dxa"/>
            <w:right w:w="108" w:type="dxa"/>
          </w:tblCellMar>
        </w:tblPrEx>
        <w:tc>
          <w:tcPr>
            <w:tcW w:w="1275" w:type="dxa"/>
          </w:tcPr>
          <w:p w14:paraId="67082F3A">
            <w:pPr>
              <w:pStyle w:val="3"/>
              <w:ind w:firstLine="0"/>
              <w:jc w:val="left"/>
              <w:rPr>
                <w:color w:val="000000"/>
              </w:rPr>
            </w:pPr>
            <w:r>
              <w:rPr>
                <w:color w:val="000000"/>
              </w:rPr>
              <w:t>ABNT</w:t>
            </w:r>
          </w:p>
        </w:tc>
        <w:tc>
          <w:tcPr>
            <w:tcW w:w="7604" w:type="dxa"/>
          </w:tcPr>
          <w:p w14:paraId="031A16CB">
            <w:pPr>
              <w:pStyle w:val="3"/>
              <w:ind w:firstLine="0"/>
              <w:jc w:val="left"/>
              <w:rPr>
                <w:color w:val="000000"/>
              </w:rPr>
            </w:pPr>
            <w:r>
              <w:rPr>
                <w:color w:val="000000"/>
              </w:rP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rPr>
                <w:color w:val="000000"/>
              </w:rPr>
              <w:t>BU</w:t>
            </w:r>
          </w:p>
        </w:tc>
        <w:tc>
          <w:tcPr>
            <w:tcW w:w="7604" w:type="dxa"/>
          </w:tcPr>
          <w:p w14:paraId="10CBB3A7">
            <w:pPr>
              <w:pStyle w:val="3"/>
              <w:ind w:firstLine="0"/>
              <w:jc w:val="left"/>
              <w:rPr>
                <w:color w:val="000000"/>
              </w:rPr>
            </w:pPr>
            <w:r>
              <w:rPr>
                <w:color w:val="000000"/>
              </w:rPr>
              <w:t>Biblioteca Universitária</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rPr>
                <w:color w:val="000000"/>
              </w:rPr>
              <w:t>NBR</w:t>
            </w:r>
          </w:p>
        </w:tc>
        <w:tc>
          <w:tcPr>
            <w:tcW w:w="7604" w:type="dxa"/>
          </w:tcPr>
          <w:p w14:paraId="77D1C937">
            <w:pPr>
              <w:pStyle w:val="3"/>
              <w:ind w:firstLine="0"/>
              <w:jc w:val="left"/>
              <w:rPr>
                <w:color w:val="000000"/>
              </w:rPr>
            </w:pPr>
            <w:r>
              <w:rPr>
                <w:color w:val="000000"/>
              </w:rPr>
              <w:t>Normas Técnicas Brasileiras</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rPr>
                <w:color w:val="000000"/>
              </w:rPr>
              <w:t>TCC</w:t>
            </w:r>
          </w:p>
        </w:tc>
        <w:tc>
          <w:tcPr>
            <w:tcW w:w="7604" w:type="dxa"/>
          </w:tcPr>
          <w:p w14:paraId="3C950431">
            <w:pPr>
              <w:pStyle w:val="3"/>
              <w:ind w:firstLine="0"/>
              <w:jc w:val="left"/>
              <w:rPr>
                <w:color w:val="000000"/>
              </w:rPr>
            </w:pPr>
            <w:r>
              <w:rPr>
                <w:color w:val="000000"/>
              </w:rPr>
              <w:t>Trabalho de Conclusão de Curso</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p>
        </w:tc>
        <w:tc>
          <w:tcPr>
            <w:tcW w:w="7604" w:type="dxa"/>
          </w:tcPr>
          <w:p w14:paraId="5FE4DE85">
            <w:pPr>
              <w:pStyle w:val="3"/>
              <w:ind w:firstLine="0"/>
              <w:jc w:val="left"/>
              <w:rPr>
                <w:color w:val="000000"/>
              </w:rPr>
            </w:pP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6005E9D1">
          <w:pPr>
            <w:pStyle w:val="3"/>
            <w:keepNext w:val="0"/>
            <w:keepLines w:val="0"/>
            <w:pageBreakBefore w:val="0"/>
            <w:widowControl/>
            <w:shd w:val="clear" w:fill="auto"/>
            <w:tabs>
              <w:tab w:val="right" w:pos="8494"/>
            </w:tabs>
            <w:spacing w:before="0" w:after="0" w:line="360" w:lineRule="auto"/>
            <w:ind w:left="0" w:right="0" w:firstLine="0"/>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0479144F">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_Toc2259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_Toc2259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C2104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_Toc16508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_Toc16508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E03C6B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_Toc582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_Toc582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B9DEEA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_Toc22154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_Toc22154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F1D743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_Toc20741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_Toc20741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C208B7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_Toc28464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_Toc28464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E0DAB7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_Toc20870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_Toc20870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F58C801">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_Toc751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_Toc751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89DDBC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_Toc30884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_Toc30884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3D0A24">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_Toc40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_Toc40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EF1426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_Toc23650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w:t>
          </w:r>
          <w:r>
            <w:tab/>
          </w:r>
          <w:r>
            <w:fldChar w:fldCharType="begin"/>
          </w:r>
          <w:r>
            <w:instrText xml:space="preserve"> PAGEREF _Toc23650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E6DD25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_Toc10580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_Toc10580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14F0B2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_Toc12240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_Toc12240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0C5C04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_Toc24018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_Toc24018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4FB9DFC">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_Toc13084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_Toc13084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021BD50">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_Toc27197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Características</w:t>
          </w:r>
          <w:r>
            <w:tab/>
          </w:r>
          <w:r>
            <w:fldChar w:fldCharType="begin"/>
          </w:r>
          <w:r>
            <w:instrText xml:space="preserve"> PAGEREF _Toc27197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D986D2A">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_Toc24845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_Toc24845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5EF642B">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_Toc9328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_Toc9328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4D83D8A">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_Toc11648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_Toc11648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2F9DDF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_Toc30875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_Toc30875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8F40B37">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_Toc1178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_Toc1178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1712C1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_Toc30747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_Toc30747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C0C67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_Toc30929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_Toc30929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E6E05B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_Toc16368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_Toc16368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2D32B8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_Toc15870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_Toc15870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15655FF">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_Toc31751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_Toc31751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808FB2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_Toc16900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_Toc16900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5B2F1B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_Toc13747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_Toc13747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9D01E6C">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_Toc30691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_Toc30691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DFDA17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_Toc20232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_Toc20232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8F71DAA">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_Toc20524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_Toc20524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0C9C38E">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_Toc23030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_Toc23030 \h </w:instrText>
          </w:r>
          <w:r>
            <w:fldChar w:fldCharType="separate"/>
          </w:r>
          <w:r>
            <w:t>32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677E05A">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_Toc29223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_Toc29223 \h </w:instrText>
          </w:r>
          <w:r>
            <w:fldChar w:fldCharType="separate"/>
          </w:r>
          <w:r>
            <w:t>32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8679C6">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_Toc12629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_Toc12629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1A87A2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_Toc9014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_Toc9014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A8BE56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_Toc11078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Características Usadas</w:t>
          </w:r>
          <w:r>
            <w:tab/>
          </w:r>
          <w:r>
            <w:fldChar w:fldCharType="begin"/>
          </w:r>
          <w:r>
            <w:instrText xml:space="preserve"> PAGEREF _Toc11078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B34CEB9">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_Toc30257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_Toc30257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E41DEF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_Toc14221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_Toc14221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A8A60C8">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_Toc27350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Características Contínuas</w:t>
          </w:r>
          <w:r>
            <w:tab/>
          </w:r>
          <w:r>
            <w:fldChar w:fldCharType="begin"/>
          </w:r>
          <w:r>
            <w:instrText xml:space="preserve"> PAGEREF _Toc27350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BA083CE">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_Toc4563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Características de Sim ou Não</w:t>
          </w:r>
          <w:r>
            <w:tab/>
          </w:r>
          <w:r>
            <w:fldChar w:fldCharType="begin"/>
          </w:r>
          <w:r>
            <w:instrText xml:space="preserve"> PAGEREF _Toc4563 \h </w:instrText>
          </w:r>
          <w:r>
            <w:fldChar w:fldCharType="separate"/>
          </w:r>
          <w:r>
            <w:t>39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33CCC67">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_Toc9601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_Toc9601 \h </w:instrText>
          </w:r>
          <w:r>
            <w:fldChar w:fldCharType="separate"/>
          </w:r>
          <w:r>
            <w:t>41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9B2B871">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_Toc12023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Características Têm Valor para a Previsão</w:t>
          </w:r>
          <w:r>
            <w:tab/>
          </w:r>
          <w:r>
            <w:fldChar w:fldCharType="begin"/>
          </w:r>
          <w:r>
            <w:instrText xml:space="preserve"> PAGEREF _Toc12023 \h </w:instrText>
          </w:r>
          <w:r>
            <w:fldChar w:fldCharType="separate"/>
          </w:r>
          <w:r>
            <w:t>42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3BA365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_Toc27073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_Toc27073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929E3D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_Toc1489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_Toc1489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2C1ACF8">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_Toc5771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_Toc5771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3416A37">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_Toc5902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_Toc5902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F33076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_Toc6429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_Toc6429 \h </w:instrText>
          </w:r>
          <w:r>
            <w:fldChar w:fldCharType="separate"/>
          </w:r>
          <w:r>
            <w:t>46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6EBB44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_Toc29981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_Toc29981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7F62F3B">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_Toc13254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_Toc13254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2DBBEA9">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_Toc21565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_Toc21565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35E0CDB">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_Toc8245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_Toc8245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8DB61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_Toc11300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_Toc11300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23D344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_Toc4352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_Toc4352 \h </w:instrText>
          </w:r>
          <w:r>
            <w:fldChar w:fldCharType="separate"/>
          </w:r>
          <w:r>
            <w:t>50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46EB1A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_Toc32743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_Toc32743 \h </w:instrText>
          </w:r>
          <w:r>
            <w:fldChar w:fldCharType="separate"/>
          </w:r>
          <w:r>
            <w:t>50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CBE924A">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_Toc29810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_Toc29810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86392E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_Toc17921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_Toc17921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708439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_Toc10996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_Toc10996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2D78097">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_Toc31146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_Toc31146 \h </w:instrText>
          </w:r>
          <w:r>
            <w:fldChar w:fldCharType="separate"/>
          </w:r>
          <w:r>
            <w:t>54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E9393C1">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_Toc13703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39 características usadas pelo sistema</w:t>
          </w:r>
          <w:r>
            <w:tab/>
          </w:r>
          <w:r>
            <w:fldChar w:fldCharType="begin"/>
          </w:r>
          <w:r>
            <w:instrText xml:space="preserve"> PAGEREF _Toc13703 \h </w:instrText>
          </w:r>
          <w:r>
            <w:fldChar w:fldCharType="separate"/>
          </w:r>
          <w:r>
            <w:t>55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2259"/>
      <w:r>
        <w:rPr>
          <w:rFonts w:ascii="Arial" w:hAnsi="Arial" w:eastAsia="Arial" w:cs="Arial"/>
          <w:b w:val="0"/>
        </w:rPr>
        <w:t>Introdução</w:t>
      </w:r>
      <w:bookmarkEnd w:id="1"/>
    </w:p>
    <w:p w14:paraId="71BF03DA">
      <w:pPr>
        <w:pStyle w:val="4"/>
        <w:numPr>
          <w:ilvl w:val="1"/>
          <w:numId w:val="1"/>
        </w:numPr>
      </w:pPr>
      <w:bookmarkStart w:id="2" w:name="_Toc16508"/>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No Ensino Médio público brasileiro, o abandono reflete desigualdades profundas — sociais, econômicas, geográficas e institucionais. Pernambuco implantou um programa pioneiro de Ensino Médio em tempo integral, cuja oferta passou de 56,7% das escolas estaduais em 2022 para 64,9% em 2024. Ainda assim, a rede permanece muito desigual: as escolas rurais e as da região do São Francisco Pernambucano concentram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Hoje ela não dispõe de um mecanismo que antecipe o risco. Sem ele, o gestor age depois que o abandono já apareceu nos números do ano anterior.</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vem caindo: 2,05% em 2022, 1,37% em 2023 e 0,96% em 2024. Essa leitura sugere que a situação está sob controle e, principalmente, não indica onde agir. O exame ano a ano mostra outro quadro. Em 2024, 2.043 alunos abandonaram o Ensino Médio na rede estadual; 67% das escolas não registraram nenhum abandono, e as 79 escolas mais críticas — 10% da rede — responderam por 76% de todos os alunos que saíram. O problema não está espalhado pela rede: está concentrado em poucas escolas.</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 onde alocar equipe, programa e visita — acontece exatamente nesse nível.</w:t>
      </w:r>
    </w:p>
    <w:p w14:paraId="4E5B67FE">
      <w:pPr>
        <w:pStyle w:val="4"/>
        <w:numPr>
          <w:ilvl w:val="1"/>
          <w:numId w:val="1"/>
        </w:numPr>
      </w:pPr>
      <w:bookmarkStart w:id="3" w:name="_Toc582"/>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Pergunta de previsão (P2): 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(P3):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 seja porque perdem mais alunos do que o perfil indica, e merecem atenção imediata, seja porque resistem apesar de um perfil desfavorável, e merecem ser estudadas.</w:t>
      </w:r>
    </w:p>
    <w:p w14:paraId="1E3A4383">
      <w:pPr>
        <w:pStyle w:val="4"/>
        <w:numPr>
          <w:ilvl w:val="1"/>
          <w:numId w:val="1"/>
        </w:numPr>
      </w:pPr>
      <w:bookmarkStart w:id="4" w:name="_Toc22154"/>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20741"/>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28464"/>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20870"/>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em suas quatro visões.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751"/>
      <w:r>
        <w:rPr>
          <w:rFonts w:ascii="Arial" w:hAnsi="Arial" w:eastAsia="Arial" w:cs="Arial"/>
          <w:b w:val="0"/>
        </w:rPr>
        <w:t>Revisão Bibliográfica</w:t>
      </w:r>
      <w:bookmarkEnd w:id="8"/>
    </w:p>
    <w:p w14:paraId="39C81C03">
      <w:pPr>
        <w:pStyle w:val="4"/>
        <w:numPr>
          <w:ilvl w:val="1"/>
          <w:numId w:val="1"/>
        </w:numPr>
      </w:pPr>
      <w:bookmarkStart w:id="9" w:name="_Toc30884"/>
      <w:r>
        <w:rPr>
          <w:rFonts w:ascii="Arial" w:hAnsi="Arial" w:eastAsia="Arial" w:cs="Arial"/>
          <w:b w:val="0"/>
        </w:rPr>
        <w:t>Fundamentação Teórica</w:t>
      </w:r>
      <w:bookmarkEnd w:id="9"/>
    </w:p>
    <w:p w14:paraId="1319101A">
      <w:pPr>
        <w:pStyle w:val="2"/>
        <w:numPr>
          <w:ilvl w:val="0"/>
          <w:numId w:val="1"/>
        </w:numPr>
        <w:rPr>
          <w:color w:val="000000"/>
        </w:rPr>
      </w:pPr>
      <w:bookmarkStart w:id="10" w:name="_Toc40"/>
      <w:r>
        <w:rPr>
          <w:rFonts w:ascii="Arial" w:hAnsi="Arial" w:eastAsia="Arial" w:cs="Arial"/>
          <w:b w:val="0"/>
        </w:rPr>
        <w:t>Método de Desenvolvimento</w:t>
      </w:r>
      <w:bookmarkEnd w:id="10"/>
    </w:p>
    <w:p w14:paraId="39EFBDEF">
      <w:pPr>
        <w:pStyle w:val="4"/>
        <w:numPr>
          <w:ilvl w:val="1"/>
          <w:numId w:val="1"/>
        </w:numPr>
      </w:pPr>
      <w:bookmarkStart w:id="11" w:name="_Toc23650"/>
      <w:r>
        <w:rPr>
          <w:rFonts w:ascii="Arial" w:hAnsi="Arial" w:eastAsia="Arial" w:cs="Arial"/>
          <w:b w:val="0"/>
        </w:rPr>
        <w:t>Processo de Desenvolvimento</w:t>
      </w:r>
      <w:bookmarkEnd w:id="11"/>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o processo CRISP-DM — que organiza projetos desse tipo em seis etapas: entendimento do negócio, entendimento dos dados, preparação dos dados, construção do modelo, avaliação e implantação — com um ciclo iterativo e incremental.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O desenvolvimento separa de forma explícita o código de produção do código de análise. Os módulos reaproveitáveis ficam no pacote src, organizado em camadas de responsabilidade única; os scripts de análise, numerados, ficam em notebooks e apenas consomem esses módulos. Os dados percorrem três estágios — originais, intermediários e finais — e nunca são sobrescritos no estágio anterior. Essa organização sustenta duas propriedades exigidas do sistema: qualquer resultado pode ser refeito a partir dos arquivos originais, e cada módulo pode ser testado isoladamente.</w:t>
      </w:r>
    </w:p>
    <w:p w14:paraId="4D605BAE">
      <w:pPr>
        <w:pStyle w:val="4"/>
        <w:numPr>
          <w:ilvl w:val="1"/>
          <w:numId w:val="1"/>
        </w:numPr>
      </w:pPr>
      <w:bookmarkStart w:id="12" w:name="_Toc10580"/>
      <w:r>
        <w:rPr>
          <w:rFonts w:ascii="Arial" w:hAnsi="Arial" w:eastAsia="Arial" w:cs="Arial"/>
          <w:b w:val="0"/>
        </w:rPr>
        <w:t>Fases Executadas</w:t>
      </w:r>
      <w:bookmarkEnd w:id="12"/>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D2592D">
      <w:pPr>
        <w:pStyle w:val="5"/>
        <w:numPr>
          <w:ilvl w:val="2"/>
          <w:numId w:val="1"/>
        </w:numPr>
      </w:pPr>
      <w:bookmarkStart w:id="13" w:name="_Toc12240"/>
      <w:r>
        <w:rPr>
          <w:rFonts w:ascii="Arial" w:hAnsi="Arial" w:eastAsia="Arial" w:cs="Arial"/>
          <w:b w:val="0"/>
        </w:rPr>
        <w:t>Planejamento e Decisões</w:t>
      </w:r>
      <w:bookmarkEnd w:id="13"/>
    </w:p>
    <w:p w14:paraId="2D034E36">
      <w:pPr>
        <w:pStyle w:val="3"/>
        <w:ind w:firstLine="0"/>
        <w:rPr>
          <w:color w:val="2E75B5"/>
        </w:rPr>
      </w:pPr>
      <w:r>
        <w:rPr>
          <w:rFonts w:ascii="Arial" w:hAnsi="Arial" w:eastAsia="Arial" w:cs="Arial"/>
          <w:b w:val="0"/>
        </w:rPr>
        <w:t>A fase inicial consolidou as decisões estruturantes. A escola — não o aluno —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4" w:name="_Toc24018"/>
      <w:r>
        <w:rPr>
          <w:rFonts w:ascii="Arial" w:hAnsi="Arial" w:eastAsia="Arial" w:cs="Arial"/>
          <w:b w:val="0"/>
        </w:rPr>
        <w:t>Leitura e Padronização dos Dados do Censo</w:t>
      </w:r>
      <w:bookmarkEnd w:id="14"/>
    </w:p>
    <w:p w14:paraId="32CB1368">
      <w:pPr>
        <w:pStyle w:val="3"/>
        <w:ind w:firstLine="0"/>
        <w:rPr>
          <w:color w:val="2E75B5"/>
        </w:rPr>
      </w:pPr>
      <w:r>
        <w:rPr>
          <w:rFonts w:ascii="Arial" w:hAnsi="Arial" w:eastAsia="Arial" w:cs="Arial"/>
          <w:b w:val="0"/>
        </w:rPr>
        <w:t>A primeira fase de implementação construiu a leitura dos dados do Censo Escolar. Um módulo carrega os arquivos anuais, com busca tolerante pelos nomes —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A rede cobre 185 municípios e 86% das escolas são urbanas. A mediana é de cerca de 350 matrículas de Ensino Médio por escola. O índice de infraestrutura é muito menor nas escolas rurais (0,52 contra 0,71). Essa fase também revelou problemas nos dados de origem que orientaram decisões posteriores: uma coluna de matrículas ausente em todo o ano de 2022, descartada, e o código de região do estado, que muda de formato entre 2022 e 2023 e precisou ser convertido.</w:t>
      </w:r>
    </w:p>
    <w:p w14:paraId="40F8A41F">
      <w:pPr>
        <w:pStyle w:val="5"/>
        <w:numPr>
          <w:ilvl w:val="2"/>
          <w:numId w:val="1"/>
        </w:numPr>
      </w:pPr>
      <w:bookmarkStart w:id="15" w:name="_Toc13084"/>
      <w:r>
        <w:rPr>
          <w:rFonts w:ascii="Arial" w:hAnsi="Arial" w:eastAsia="Arial" w:cs="Arial"/>
          <w:b w:val="0"/>
        </w:rPr>
        <w:t>Integração dos Indicadores Complementares</w:t>
      </w:r>
      <w:bookmarkEnd w:id="15"/>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 aprovação, reprovação e abandono, no total e por série —, o nível socioeconômico, a regularidade do corpo docente, a defasagem idade-série e a adequação da formação dos professores.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e não em zero —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16" w:name="_Toc27197"/>
      <w:r>
        <w:rPr>
          <w:rFonts w:ascii="Arial" w:hAnsi="Arial" w:eastAsia="Arial" w:cs="Arial"/>
          <w:b w:val="0"/>
        </w:rPr>
        <w:t>Seleção e Preparação das Características</w:t>
      </w:r>
      <w:bookmarkEnd w:id="16"/>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O sistema usa 39. A redução é deliberada: com 1.586 observações, manter centenas de colunas faria o sistema decorar a base em vez de aprender o padrão — ele acertaria o passado e erraria o ano seguinte.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O primeiro elimina informação repetida: o número de turmas e o de professores acompanham quase perfeitamente o de matrículas, e manter os três apenas confunde o sistema. O segundo elimina informação que é consequência aritmética de outra: a taxa de aprovação é o que sobra depois da reprovação e do abandono, e fornecê-la seria entregar a resposta antecipadamente. O terceiro elimina colunas ausentes na maior parte das escolas, como 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17" w:name="_Toc24845"/>
      <w:r>
        <w:rPr>
          <w:rFonts w:ascii="Arial" w:hAnsi="Arial" w:eastAsia="Arial" w:cs="Arial"/>
          <w:b w:val="0"/>
        </w:rPr>
        <w:t>Construção e Ajuste do Modelo de Previsão</w:t>
      </w:r>
      <w:bookmarkEnd w:id="17"/>
    </w:p>
    <w:p w14:paraId="234DC940">
      <w:pPr>
        <w:pStyle w:val="3"/>
        <w:ind w:firstLine="0"/>
        <w:rPr>
          <w:color w:val="2E75B5"/>
        </w:rPr>
      </w:pPr>
      <w:r>
        <w:rPr>
          <w:rFonts w:ascii="Arial" w:hAnsi="Arial" w:eastAsia="Arial" w:cs="Arial"/>
          <w:b w:val="0"/>
        </w:rPr>
        <w:t>A quarta fase construiu o modelo. Antes do modelo principal, dois modelos de referência foram avaliados — um linear e um baseado em árvores de decisão —,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Manter o preparo idêntico é o que torna a comparação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 árvores rasas, aprendizado lento e forte penalização de complexidade —, coerente com uma base de treino de menos de 800 observações. O modelo final é gravado em disco e carregado pelo painel; treino e uso são etapas separadas.</w:t>
      </w:r>
    </w:p>
    <w:p w14:paraId="5B1CFE5A">
      <w:pPr>
        <w:pStyle w:val="5"/>
        <w:numPr>
          <w:ilvl w:val="2"/>
          <w:numId w:val="1"/>
        </w:numPr>
      </w:pPr>
      <w:bookmarkStart w:id="18" w:name="_Toc9328"/>
      <w:r>
        <w:rPr>
          <w:rFonts w:ascii="Arial" w:hAnsi="Arial" w:eastAsia="Arial" w:cs="Arial"/>
          <w:b w:val="0"/>
        </w:rPr>
        <w:t>Explicação das Previsões</w:t>
      </w:r>
      <w:bookmarkEnd w:id="18"/>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A consistência da decomposição — a soma das contribuições precisa reproduzir a previsão — é verificada por teste automatizado.</w:t>
      </w:r>
    </w:p>
    <w:p w14:paraId="3DF04341">
      <w:pPr>
        <w:pStyle w:val="5"/>
        <w:numPr>
          <w:ilvl w:val="2"/>
          <w:numId w:val="1"/>
        </w:numPr>
      </w:pPr>
      <w:bookmarkStart w:id="19" w:name="_Toc11648"/>
      <w:r>
        <w:rPr>
          <w:rFonts w:ascii="Arial" w:hAnsi="Arial" w:eastAsia="Arial" w:cs="Arial"/>
          <w:b w:val="0"/>
        </w:rPr>
        <w:t>Construção do Painel de Priorização</w:t>
      </w:r>
      <w:bookmarkEnd w:id="19"/>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escopo do painel foi definido como apoio à decisão — priorizar escolas e explicar o porquê —, e não como recomendação automática de ações. A razão é metodológica: o sistema identifica associações, não causas. Sugerir a intervenção específica exigiria evidência de causalidade que os dados não sustentam. O painel mostra onde olhar primeiro e por quê; a decisão de como agir permanece com o gestor.</w:t>
      </w:r>
    </w:p>
    <w:p w14:paraId="7820F8BC">
      <w:pPr>
        <w:pStyle w:val="4"/>
        <w:numPr>
          <w:ilvl w:val="1"/>
          <w:numId w:val="1"/>
        </w:numPr>
      </w:pPr>
      <w:bookmarkStart w:id="20" w:name="_Toc30875"/>
      <w:r>
        <w:rPr>
          <w:rFonts w:ascii="Arial" w:hAnsi="Arial" w:eastAsia="Arial" w:cs="Arial"/>
          <w:b w:val="0"/>
        </w:rPr>
        <w:t>Práticas de Engenharia de Software</w:t>
      </w:r>
      <w:bookmarkEnd w:id="20"/>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b) Testes automatizados: a suíte tem 98 testes e roda por inteiro a cada alteração. Ela cobre os filtros do universo, a integridade da base histórica, a leitura das planilhas do INEP, o casamento no tempo entre as características e o abandono, a ausência de vazamento entre treino e teste, a consistência das explicações e a ordenação da lista;</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1" w:name="_Toc1178"/>
      <w:r>
        <w:rPr>
          <w:rFonts w:ascii="Arial" w:hAnsi="Arial" w:eastAsia="Arial" w:cs="Arial"/>
          <w:b w:val="0"/>
        </w:rPr>
        <w:t>Arquitetura do Software</w:t>
      </w:r>
      <w:bookmarkEnd w:id="21"/>
    </w:p>
    <w:p w14:paraId="527CA8A8">
      <w:pPr>
        <w:pStyle w:val="4"/>
        <w:numPr>
          <w:ilvl w:val="1"/>
          <w:numId w:val="1"/>
        </w:numPr>
      </w:pPr>
      <w:bookmarkStart w:id="22" w:name="_Toc30747"/>
      <w:r>
        <w:rPr>
          <w:rFonts w:ascii="Arial" w:hAnsi="Arial" w:eastAsia="Arial" w:cs="Arial"/>
          <w:b w:val="0"/>
        </w:rPr>
        <w:t>Aspectos Funcionais e Não-Funcionais</w:t>
      </w:r>
      <w:bookmarkEnd w:id="22"/>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Entre os requisitos não funcionais destacam-se cinco. Reprodutibilidade: qualquer resultado deve ser reconstruível a partir dos dados originais, que permanecem imutáveis. Explicabilidade: o sistema precisa justificar cada indicação de prioridade — requisito que descartou alternativas de melhor desempenho bruto e menor transparência. Ausência de vazamento: a validação deve respeitar a ordem do tempo e a proximidade geográfica, sob pena de produzir números otimistas e falsos. Testabilidade: cada módulo é coberto por testes automatizados. Portabilidade: a aplicação deve ser empacotável para implantação sem depender da máquina de desenvolvimento.</w:t>
      </w:r>
    </w:p>
    <w:p w14:paraId="64DEEBC7">
      <w:pPr>
        <w:pStyle w:val="4"/>
        <w:numPr>
          <w:ilvl w:val="1"/>
          <w:numId w:val="1"/>
        </w:numPr>
      </w:pPr>
      <w:bookmarkStart w:id="23" w:name="_Toc30929"/>
      <w:r>
        <w:rPr>
          <w:rFonts w:ascii="Arial" w:hAnsi="Arial" w:eastAsia="Arial" w:cs="Arial"/>
          <w:b w:val="0"/>
        </w:rPr>
        <w:t>Visão Estrutural</w:t>
      </w:r>
      <w:bookmarkEnd w:id="23"/>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sem ciclos: a camada de características depende da camada de dados; a camada de modelo depende da de características; a camada do painel depende da de modelo. A configuração é transversal a todas. Os scripts de análise e os testes consomem as camadas de produção, e nenhuma camada de produção depende deles. É essa orientação acíclica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 um acoplamento fraco que permite retomar o fluxo a partir de qualquer etapa.</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24" w:name="_Toc16368"/>
      <w:r>
        <w:rPr>
          <w:rFonts w:ascii="Arial" w:hAnsi="Arial" w:eastAsia="Arial" w:cs="Arial"/>
          <w:b w:val="0"/>
        </w:rPr>
        <w:t>Visão Comportamental</w:t>
      </w:r>
      <w:bookmarkEnd w:id="24"/>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25" w:name="_Toc15870"/>
      <w:r>
        <w:rPr>
          <w:rFonts w:ascii="Arial" w:hAnsi="Arial" w:eastAsia="Arial" w:cs="Arial"/>
          <w:b w:val="0"/>
        </w:rPr>
        <w:t>Visão de Implementação e Implantação</w:t>
      </w:r>
      <w:bookmarkEnd w:id="25"/>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26" w:name="_Toc31751"/>
      <w:r>
        <w:rPr>
          <w:rFonts w:ascii="Arial" w:hAnsi="Arial" w:eastAsia="Arial" w:cs="Arial"/>
          <w:b w:val="0"/>
        </w:rPr>
        <w:t>Tecnologias e Aspectos de Implementação</w:t>
      </w:r>
      <w:bookmarkEnd w:id="26"/>
    </w:p>
    <w:p w14:paraId="6E080A24">
      <w:pPr>
        <w:pStyle w:val="4"/>
        <w:numPr>
          <w:ilvl w:val="1"/>
          <w:numId w:val="1"/>
        </w:numPr>
      </w:pPr>
      <w:bookmarkStart w:id="27" w:name="_Toc16900"/>
      <w:r>
        <w:rPr>
          <w:rFonts w:ascii="Arial" w:hAnsi="Arial" w:eastAsia="Arial" w:cs="Arial"/>
          <w:b w:val="0"/>
        </w:rPr>
        <w:t>Soluções de Tecnologia</w:t>
      </w:r>
      <w:bookmarkEnd w:id="27"/>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e numpy; a leitura das planilhas do INEP usa o openpyxl.</w:t>
      </w:r>
    </w:p>
    <w:p w14:paraId="1615CA9A">
      <w:pPr>
        <w:pStyle w:val="3"/>
        <w:ind w:firstLine="0"/>
        <w:rPr>
          <w:color w:val="2E75B5"/>
        </w:rPr>
      </w:pPr>
      <w:r>
        <w:rPr>
          <w:rFonts w:ascii="Arial" w:hAnsi="Arial" w:eastAsia="Arial" w:cs="Arial"/>
          <w:b w:val="0"/>
        </w:rPr>
        <w:t>A construção do modelo usa o scikit-learn e o XGBoost. O scikit-learn fornece o preparo das características, os modelos de referência, a busca de configuração e os protocolos de validação. O XGBoost fornece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otimizada para modelos baseados em árvores. As figuras são geradas com matplotlib.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28" w:name="_Toc13747"/>
      <w:r>
        <w:rPr>
          <w:rFonts w:ascii="Arial" w:hAnsi="Arial" w:eastAsia="Arial" w:cs="Arial"/>
          <w:b w:val="0"/>
        </w:rPr>
        <w:t>Aspectos de Implementação</w:t>
      </w:r>
      <w:bookmarkEnd w:id="28"/>
    </w:p>
    <w:p w14:paraId="1D664FD8">
      <w:pPr>
        <w:pStyle w:val="5"/>
        <w:numPr>
          <w:ilvl w:val="2"/>
          <w:numId w:val="1"/>
        </w:numPr>
      </w:pPr>
      <w:bookmarkStart w:id="29" w:name="_Toc30691"/>
      <w:r>
        <w:rPr>
          <w:rFonts w:ascii="Arial" w:hAnsi="Arial" w:eastAsia="Arial" w:cs="Arial"/>
          <w:b w:val="0"/>
        </w:rPr>
        <w:t>Estrutura do Código</w:t>
      </w:r>
      <w:bookmarkEnd w:id="29"/>
    </w:p>
    <w:p w14:paraId="5F719458">
      <w:pPr>
        <w:pStyle w:val="3"/>
        <w:ind w:firstLine="0"/>
        <w:rPr>
          <w:color w:val="2E75B5"/>
        </w:rPr>
      </w:pPr>
      <w:r>
        <w:rPr>
          <w:rFonts w:ascii="Arial" w:hAnsi="Arial" w:eastAsia="Arial" w:cs="Arial"/>
          <w:b w:val="0"/>
        </w:rPr>
        <w:t>A implementação separa o código de produção do código de análise.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ficam em notebooks e a aplicação em app.</w:t>
      </w:r>
    </w:p>
    <w:p w14:paraId="0DB58165">
      <w:pPr>
        <w:pStyle w:val="5"/>
        <w:numPr>
          <w:ilvl w:val="2"/>
          <w:numId w:val="1"/>
        </w:numPr>
      </w:pPr>
      <w:bookmarkStart w:id="30" w:name="_Toc20232"/>
      <w:r>
        <w:rPr>
          <w:rFonts w:ascii="Arial" w:hAnsi="Arial" w:eastAsia="Arial" w:cs="Arial"/>
          <w:b w:val="0"/>
        </w:rPr>
        <w:t>Fluxo dos Dados</w:t>
      </w:r>
      <w:bookmarkEnd w:id="30"/>
    </w:p>
    <w:p w14:paraId="067CFA9E">
      <w:pPr>
        <w:pStyle w:val="3"/>
        <w:ind w:firstLine="0"/>
        <w:rPr>
          <w:color w:val="2E75B5"/>
        </w:rPr>
      </w:pPr>
      <w:r>
        <w:rPr>
          <w:rFonts w:ascii="Arial" w:hAnsi="Arial" w:eastAsia="Arial" w:cs="Arial"/>
          <w:b w:val="0"/>
        </w:rPr>
        <w:t>Os dados percorrem três estágios: originais, intermediários e finais. Os arquivos originais do INEP permanecem imutáveis. Cada etapa lê o artefato da etapa anterior e grava o seu, sempre em disco. Esse acoplamento fraco permite reexecutar qualquer etapa isoladamente, sem repetir o fluxo inteiro.</w:t>
      </w:r>
    </w:p>
    <w:p w14:paraId="79BA5652">
      <w:pPr>
        <w:pStyle w:val="5"/>
        <w:numPr>
          <w:ilvl w:val="2"/>
          <w:numId w:val="1"/>
        </w:numPr>
      </w:pPr>
      <w:bookmarkStart w:id="31" w:name="_Toc20524"/>
      <w:r>
        <w:rPr>
          <w:rFonts w:ascii="Arial" w:hAnsi="Arial" w:eastAsia="Arial" w:cs="Arial"/>
          <w:b w:val="0"/>
        </w:rPr>
        <w:t>Painel Interativo</w:t>
      </w:r>
      <w:bookmarkEnd w:id="31"/>
    </w:p>
    <w:p w14:paraId="314579C9">
      <w:pPr>
        <w:pStyle w:val="3"/>
        <w:ind w:firstLine="0"/>
        <w:rPr>
          <w:color w:val="2E75B5"/>
        </w:rPr>
      </w:pPr>
      <w:r>
        <w:rPr>
          <w:rFonts w:ascii="Arial" w:hAnsi="Arial" w:eastAsia="Arial" w:cs="Arial"/>
          <w:b w:val="0"/>
        </w:rPr>
        <w:t>O painel reforça a mesma disciplina de separação. A regra de negócio — lista de risco, explicação por escola e diagnóstico — fica na camada de serviço. A tradução dos nomes técnicos para linguagem de gestor fica em um módulo próprio. A interface apenas consome esses serviços. Assim, a regra é testada sem depender da tela.</w:t>
      </w:r>
    </w:p>
    <w:p w14:paraId="7F290BC8">
      <w:pPr>
        <w:pStyle w:val="5"/>
        <w:numPr>
          <w:ilvl w:val="2"/>
          <w:numId w:val="1"/>
        </w:numPr>
      </w:pPr>
      <w:bookmarkStart w:id="32" w:name="_Toc23030"/>
      <w:r>
        <w:rPr>
          <w:rFonts w:ascii="Arial" w:hAnsi="Arial" w:eastAsia="Arial" w:cs="Arial"/>
          <w:b w:val="0"/>
        </w:rPr>
        <w:t>Testes Automatizados</w:t>
      </w:r>
      <w:bookmarkEnd w:id="32"/>
    </w:p>
    <w:p w14:paraId="79F7FAEC">
      <w:pPr>
        <w:pStyle w:val="3"/>
        <w:ind w:firstLine="0"/>
        <w:rPr>
          <w:color w:val="2E75B5"/>
        </w:rPr>
      </w:pPr>
      <w:r>
        <w:rPr>
          <w:rFonts w:ascii="Arial" w:hAnsi="Arial" w:eastAsia="Arial" w:cs="Arial"/>
          <w:b w:val="0"/>
        </w:rPr>
        <w:t>A suíte cobre os filtros do universo de estudo, a integridade da base histórica, a leitura das planilhas de rendimento, o casamento no tempo entre as características e o abandono, a ausência de vazamento entre treino e teste, o cálculo das medidas de desempenho, a consistência das explicações e a ordenação da lista. Os riscos cobertos por cada módulo estão detalhados no Capítulo 6.</w:t>
      </w:r>
    </w:p>
    <w:p w14:paraId="5CDC61E9">
      <w:pPr>
        <w:pStyle w:val="5"/>
        <w:numPr>
          <w:ilvl w:val="2"/>
          <w:numId w:val="1"/>
        </w:numPr>
      </w:pPr>
      <w:bookmarkStart w:id="33" w:name="_Toc29223"/>
      <w:r>
        <w:rPr>
          <w:rFonts w:ascii="Arial" w:hAnsi="Arial" w:eastAsia="Arial" w:cs="Arial"/>
          <w:b w:val="0"/>
        </w:rPr>
        <w:t>Gerenciamento de Dependências</w:t>
      </w:r>
      <w:bookmarkEnd w:id="33"/>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 requisito de reprodutibilidade estabelecido na arquitetura.</w:t>
      </w:r>
    </w:p>
    <w:p w14:paraId="7A9D3065">
      <w:pPr>
        <w:pStyle w:val="2"/>
        <w:numPr>
          <w:ilvl w:val="0"/>
          <w:numId w:val="1"/>
        </w:numPr>
        <w:rPr>
          <w:color w:val="000000"/>
        </w:rPr>
      </w:pPr>
      <w:bookmarkStart w:id="34" w:name="_Toc12629"/>
      <w:r>
        <w:rPr>
          <w:rFonts w:ascii="Arial" w:hAnsi="Arial" w:eastAsia="Arial" w:cs="Arial"/>
          <w:b w:val="0"/>
        </w:rPr>
        <w:t>Testes e Análise dos Resultados</w:t>
      </w:r>
      <w:bookmarkEnd w:id="34"/>
    </w:p>
    <w:p w14:paraId="5264F51A">
      <w:pPr>
        <w:pStyle w:val="4"/>
        <w:numPr>
          <w:ilvl w:val="1"/>
          <w:numId w:val="1"/>
        </w:numPr>
      </w:pPr>
      <w:bookmarkStart w:id="35" w:name="_Toc9014"/>
      <w:r>
        <w:rPr>
          <w:rFonts w:ascii="Arial" w:hAnsi="Arial" w:eastAsia="Arial" w:cs="Arial"/>
          <w:b w:val="0"/>
        </w:rPr>
        <w:t>Testes de Software</w:t>
      </w:r>
      <w:bookmarkEnd w:id="35"/>
    </w:p>
    <w:p w14:paraId="6D115D9C">
      <w:pPr>
        <w:pStyle w:val="3"/>
        <w:ind w:firstLine="0"/>
        <w:rPr>
          <w:color w:val="2E75B5"/>
        </w:rPr>
      </w:pPr>
      <w:r>
        <w:rPr>
          <w:rFonts w:ascii="Arial" w:hAnsi="Arial" w:eastAsia="Arial" w:cs="Arial"/>
          <w:b w:val="0"/>
        </w:rPr>
        <w:t>A corretude do sistema é garantida por uma suíte de 98 testes automatizados, que roda por inteiro a cada alteração; todos passam na última execução. O ponto importante é o tipo de risco coberto. Em sistemas que aprendem a partir de dados, os erros de preparação em geral não interrompem a execução: eles produzem, em silêncio, um modelo inválido que continua respondendo normalmente. Um deslocamento de um ano no casamento entre as características e o abandono, por exemplo, destruiria todo o valor preditivo sem gerar qualquer sintoma. Por isso os testes se concentram nos riscos que comprometeriam a validade dos resultados.</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06BD26">
      <w:pPr>
        <w:pStyle w:val="4"/>
        <w:numPr>
          <w:ilvl w:val="1"/>
          <w:numId w:val="1"/>
        </w:numPr>
      </w:pPr>
      <w:bookmarkStart w:id="36" w:name="_Toc11078"/>
      <w:r>
        <w:rPr>
          <w:rFonts w:ascii="Arial" w:hAnsi="Arial" w:eastAsia="Arial" w:cs="Arial"/>
          <w:b w:val="0"/>
        </w:rPr>
        <w:t>Caracterização dos Dados e Análise das Características Usadas</w:t>
      </w:r>
      <w:bookmarkEnd w:id="36"/>
    </w:p>
    <w:p w14:paraId="4D464269">
      <w:pPr>
        <w:pStyle w:val="5"/>
        <w:numPr>
          <w:ilvl w:val="2"/>
          <w:numId w:val="1"/>
        </w:numPr>
      </w:pPr>
      <w:bookmarkStart w:id="37" w:name="_Toc30257"/>
      <w:r>
        <w:rPr>
          <w:rFonts w:ascii="Arial" w:hAnsi="Arial" w:eastAsia="Arial" w:cs="Arial"/>
          <w:b w:val="0"/>
        </w:rPr>
        <w:t>Base Construída</w:t>
      </w:r>
      <w:bookmarkEnd w:id="37"/>
    </w:p>
    <w:p w14:paraId="4E588503">
      <w:pPr>
        <w:pStyle w:val="3"/>
        <w:ind w:firstLine="0"/>
        <w:rPr>
          <w:color w:val="2E75B5"/>
        </w:rPr>
      </w:pPr>
      <w:r>
        <w:rPr>
          <w:rFonts w:ascii="Arial" w:hAnsi="Arial" w:eastAsia="Arial" w:cs="Arial"/>
          <w:b w:val="0"/>
        </w:rPr>
        <w:t>A base histórica reúne 2.392 registros de 806 escolas, 97,4% delas presentes nos três anos — o que garante comparabilidade ao longo do tempo. A rede cobre 185 municípios; 86% das escolas são urbanas e a mediana é de cerca de 350 matrículas de Ensino Médio. Aplicada a regra de casamento no tempo, o conjunto usado na previsão tem 1.586 observações de escola e ano, com 39 características e nenhuma lacuna. O Quadro 6 detalha a passagem de um total ao outro.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69183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F39DABF">
            <w:r>
              <w:rPr>
                <w:rFonts w:ascii="Arial" w:hAnsi="Arial" w:eastAsia="Arial" w:cs="Arial"/>
                <w:b w:val="0"/>
                <w:sz w:val="16"/>
              </w:rPr>
              <w:t>Anos que podem servir de origem (t = 2022, 2023)</w:t>
            </w:r>
          </w:p>
        </w:tc>
        <w:tc>
          <w:tcPr>
            <w:tcW w:w="5" w:type="dxa"/>
          </w:tcPr>
          <w:p w14:paraId="51BF8F20">
            <w:r>
              <w:rPr>
                <w:rFonts w:ascii="Arial" w:hAnsi="Arial" w:eastAsia="Arial" w:cs="Arial"/>
                <w:b w:val="0"/>
                <w:sz w:val="16"/>
              </w:rPr>
              <w:t>O ano de 2024 não tem 2025 para observar: entra como alvo, não como origem</w:t>
            </w:r>
          </w:p>
        </w:tc>
        <w:tc>
          <w:tcPr>
            <w:tcW w:w="2" w:type="dxa"/>
          </w:tcPr>
          <w:p w14:paraId="56DD7238">
            <w:r>
              <w:rPr>
                <w:rFonts w:ascii="Arial" w:hAnsi="Arial" w:eastAsia="Arial" w:cs="Arial"/>
                <w:b w:val="0"/>
                <w:sz w:val="16"/>
              </w:rPr>
              <w:t>−791 → 1.601</w:t>
            </w:r>
          </w:p>
        </w:tc>
        <w:tc>
          <w:tcPr>
            <w:tcW w:w="2" w:type="dxa"/>
          </w:tcPr>
          <w:p w14:paraId="4DE2EDF7">
            <w:r>
              <w:rPr>
                <w:rFonts w:ascii="Arial" w:hAnsi="Arial" w:eastAsia="Arial" w:cs="Arial"/>
                <w:b w:val="0"/>
                <w:sz w:val="16"/>
              </w:rPr>
              <w:t>804</w:t>
            </w:r>
          </w:p>
        </w:tc>
      </w:tr>
      <w:tr w14:paraId="70C1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27B2A2A5">
            <w:r>
              <w:rPr>
                <w:rFonts w:ascii="Arial" w:hAnsi="Arial" w:eastAsia="Arial" w:cs="Arial"/>
                <w:b w:val="0"/>
                <w:sz w:val="16"/>
              </w:rPr>
              <w:t>Pares completos (t → t+1)</w:t>
            </w:r>
          </w:p>
        </w:tc>
        <w:tc>
          <w:tcPr>
            <w:tcW w:w="5" w:type="dxa"/>
          </w:tcPr>
          <w:p w14:paraId="51AC63FB">
            <w:r>
              <w:rPr>
                <w:rFonts w:ascii="Arial" w:hAnsi="Arial" w:eastAsia="Arial" w:cs="Arial"/>
                <w:b w:val="0"/>
                <w:sz w:val="16"/>
              </w:rPr>
              <w:t>Escola sem abandono observado no ano seguinte — saiu da rede ou deixou de ofertar Ensino Médio</w:t>
            </w:r>
          </w:p>
        </w:tc>
        <w:tc>
          <w:tcPr>
            <w:tcW w:w="2" w:type="dxa"/>
          </w:tcPr>
          <w:p w14:paraId="4FA16037">
            <w:r>
              <w:rPr>
                <w:rFonts w:ascii="Arial" w:hAnsi="Arial" w:eastAsia="Arial" w:cs="Arial"/>
                <w:b w:val="0"/>
                <w:sz w:val="16"/>
              </w:rPr>
              <w:t>−15 → 1.586</w:t>
            </w:r>
          </w:p>
        </w:tc>
        <w:tc>
          <w:tcPr>
            <w:tcW w:w="2" w:type="dxa"/>
          </w:tcPr>
          <w:p w14:paraId="66D1A3A9">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D9B71D0">
      <w:pPr>
        <w:pStyle w:val="3"/>
        <w:ind w:firstLine="0"/>
        <w:rPr>
          <w:color w:val="2E75B5"/>
        </w:rPr>
      </w:pPr>
      <w:r>
        <w:rPr>
          <w:rFonts w:ascii="Arial" w:hAnsi="Arial" w:eastAsia="Arial" w:cs="Arial"/>
          <w:b w:val="0"/>
        </w:rPr>
        <w:t>A diferença entre os dois totais não decorre de descarte por qualidade. O sistema aprende com pares: os atributos da escola em um ano e o abandono observado no ano seguinte. Com três anos de painel formam-se apenas dois pares por escola — 2022 para 2023 e 2023 para 2024 —, de modo que as 791 linhas de 2024 não servem de origem, por não haver 2025 a observar. Elas não são perdidas: são justamente o alvo das linhas de 2023. Descontadas essas, restam 1.601 pares potenciais, dos quais 15 não se completam porque a escola não aparece no ano seguinte, tendo saído da rede ou deixado de ofertar Ensino Médio. Chega-se assim às 1.586 observações de escola e ano usadas na previsão.</w:t>
      </w:r>
    </w:p>
    <w:p w14:paraId="79C78634">
      <w:pPr>
        <w:pStyle w:val="5"/>
        <w:numPr>
          <w:ilvl w:val="2"/>
          <w:numId w:val="1"/>
        </w:numPr>
      </w:pPr>
      <w:bookmarkStart w:id="38" w:name="_Toc14221"/>
      <w:r>
        <w:rPr>
          <w:rFonts w:ascii="Arial" w:hAnsi="Arial" w:eastAsia="Arial" w:cs="Arial"/>
          <w:b w:val="0"/>
        </w:rPr>
        <w:t>O Que o Sistema Prevê</w:t>
      </w:r>
      <w:bookmarkEnd w:id="38"/>
    </w:p>
    <w:p w14:paraId="5A81BC93">
      <w:pPr>
        <w:pStyle w:val="3"/>
        <w:ind w:firstLine="0"/>
        <w:rPr>
          <w:color w:val="2E75B5"/>
        </w:rPr>
      </w:pPr>
      <w:r>
        <w:rPr>
          <w:rFonts w:ascii="Arial" w:hAnsi="Arial" w:eastAsia="Arial" w:cs="Arial"/>
          <w:b w:val="0"/>
        </w:rPr>
        <w:t>O sistema prevê um único indicador: a taxa de abandono no Ensino Médio de cada escola no ano seguinte. Ela é publicada pelo INEP e indica o percentual de alunos matriculados que deixaram a escola durante o ano. Uma escola com 400 alunos e taxa de 5% perdeu 20 estudantes no período.</w:t>
      </w:r>
    </w:p>
    <w:p w14:paraId="5E05D40A">
      <w:pPr>
        <w:pStyle w:val="3"/>
        <w:ind w:firstLine="0"/>
        <w:rPr>
          <w:color w:val="2E75B5"/>
        </w:rPr>
      </w:pPr>
      <w:r>
        <w:rPr>
          <w:rFonts w:ascii="Arial" w:hAnsi="Arial" w:eastAsia="Arial" w:cs="Arial"/>
          <w:b w:val="0"/>
        </w:rPr>
        <w:t>Duas características desse indicador condicionam todo o projeto. A primeira: em 68% das observações a taxa é exatamente zero — a maioria das escolas não registra abandono no ano. A segunda: o risco é muito desigual entre grupos. Em 2024 a taxa média foi de 0,6% nas 680 escolas urbanas (desvio-padrão de 1,8 ponto), 0,9% nas 70 rurais (desvio-padrão de 1,8) e 6,6% nas 40 escolas indígenas e quilombolas (desvio-padrão de 9,0). O desvio elevado neste último grupo mostra que a média alta não é uniforme: convivem escolas sem abandono algum e escolas com taxas acima de 30%.</w:t>
      </w:r>
    </w:p>
    <w:p w14:paraId="19559515">
      <w:pPr>
        <w:pStyle w:val="3"/>
        <w:ind w:firstLine="0"/>
        <w:rPr>
          <w:color w:val="2E75B5"/>
        </w:rPr>
      </w:pPr>
      <w:r>
        <w:rPr>
          <w:rFonts w:ascii="Arial" w:hAnsi="Arial" w:eastAsia="Arial" w:cs="Arial"/>
          <w:b w:val="0"/>
        </w:rPr>
        <w:t>A Figura 7 resume esses dois traços. No painel da esquerda, as observações de escola e ano estão distribuídas por faixa de abandono: a barra “nenhum abandono” concentra 68% dos casos, e as faixas seguintes — de baixo a crítico — encolhem rapidamente, de modo que apenas 2% das observações superam 10% de abandono. No painel da direita está a taxa média de 2024 por grupo de localização, que torna visível a desigualdade descrita acima: as barras urbana e rural ficam próximas de zero, enquanto a das escolas indígenas e quilombolas se destaca, mais de dez vezes acima. Juntos, os dois painéis explicam por que o valor médio da taxa diz pouco e por que o esforço do sistema se volta para ordenar as escolas por risco.</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Distribuição da taxa de abandono prevista e diferença de risco entre grupos de escolas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80000" cy="1981382"/>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B902184">
      <w:pPr>
        <w:pStyle w:val="3"/>
        <w:ind w:firstLine="0"/>
        <w:rPr>
          <w:color w:val="2E75B5"/>
        </w:rPr>
      </w:pPr>
      <w:r>
        <w:rPr>
          <w:rFonts w:ascii="Arial" w:hAnsi="Arial" w:eastAsia="Arial" w:cs="Arial"/>
          <w:b w:val="0"/>
        </w:rPr>
        <w:t>Daí decorre o critério de avaliação usado no restante do capítulo. Um sistema que respondesse “zero” para todas as escolas erraria pouco na média e seria inútil ao gestor. O que se exige é outra coisa: colocar no topo da lista as escolas que de fato terão abandono alto. É a ordem que importa, não o valor exato da taxa.</w:t>
      </w:r>
    </w:p>
    <w:p w14:paraId="03D67557">
      <w:pPr>
        <w:pStyle w:val="5"/>
        <w:numPr>
          <w:ilvl w:val="2"/>
          <w:numId w:val="1"/>
        </w:numPr>
      </w:pPr>
      <w:bookmarkStart w:id="39" w:name="_Toc27350"/>
      <w:r>
        <w:rPr>
          <w:rFonts w:ascii="Arial" w:hAnsi="Arial" w:eastAsia="Arial" w:cs="Arial"/>
          <w:b w:val="0"/>
        </w:rPr>
        <w:t>Análise Estatística das Características Contínuas</w:t>
      </w:r>
      <w:bookmarkEnd w:id="39"/>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As 23 contínuas estão no Quadro 6, com o valor típico da rede, a dispersão em torno dele e a relação de cada uma com o abandono do ano seguinte.</w:t>
      </w:r>
    </w:p>
    <w:p w14:paraId="38084458">
      <w:pPr>
        <w:pStyle w:val="3"/>
        <w:ind w:firstLine="0"/>
        <w:rPr>
          <w:color w:val="2E75B5"/>
        </w:rPr>
      </w:pPr>
      <w:r>
        <w:rPr>
          <w:rFonts w:ascii="Arial" w:hAnsi="Arial" w:eastAsia="Arial" w:cs="Arial"/>
          <w:b w:val="0"/>
        </w:rPr>
        <w:t>Quatro famílias de indicadores aparecem no quadro e merecem definição. As taxas de abandono e de reprovação do ano anterior são percentuais de matrículas publicados pelo INEP, apresentados para o Ensino Médio como um todo e para cada série. A distorção idade-série é o percentual de alunos com dois anos ou mais acima da idade esperada para a série que cursam. O nível socioeconômico (INSE) é uma escala contínua calculada pelo INEP a partir do perfil das famílias dos alunos — escolaridade dos pais, renda e bens do domicílio —, em que valores maiores indicam comunidades mais favorecidas: entre as 69.820 escolas brasileiras avaliadas em 2021 ela vai de 2,45 a 6,85, e nesta rede varia de 2,97 a 6,10, com média de 4,46. A adequação da formação docente reparte os professores da escola em cinco grupos que somam 100%: o Grupo 1 reúne os que têm licenciatura na própria disciplina que lecionam — a formação considerada ideal —, o Grupo 3 os que têm licenciatura em área diferente da que lecionam, e o Grupo 5 os que não têm ensino superior. Apenas esses três entram no sistema, por resumirem os dois extremos e o caso intermediário mais comum. Por fim, a regularidade do corpo docente (IRD) mede, numa escala de 0 a 5, a permanência dos mesmos professores na escola ao longo dos anos: valores altos indicam um quadro estável.</w:t>
      </w:r>
    </w:p>
    <w:p w14:paraId="69908339">
      <w:pPr>
        <w:pStyle w:val="3"/>
        <w:ind w:firstLine="0"/>
        <w:rPr>
          <w:color w:val="2E75B5"/>
        </w:rPr>
      </w:pPr>
      <w:r>
        <w:rPr>
          <w:rFonts w:ascii="Arial" w:hAnsi="Arial" w:eastAsia="Arial" w:cs="Arial"/>
          <w:b w:val="0"/>
        </w:rPr>
        <w:t>As colunas do quadro respondem a perguntas diferentes. A média é o valor típico da rede, e o desvio-padrão diz o quanto as escolas se afastam dele: quanto maior, mais desigual é a rede naquela característica. Mínimo, mediana e máximo descrevem a distribuição — a mediana é o valor que divide a rede ao meio e, quando fica muito abaixo da média, indica que poucas escolas com valores altos puxam o resultado para cima. A última coluna resume a relação de cada característica com o abandono do ano seguinte por um indicador que varia de −1 a +1: positivo significa que a característica acompanha o aumento do abandono; negativo, que acompanha a redução; e quanto mais distante de zero, mais forte a associação. Os asteriscos indicam a confiança do resultado (* 95%, ** 99%, *** 99,9%); sem asterisco, a relação não se distingue do acaso. As unidades variam conforme a linha: as taxas de abandono, de reprovação e de distorção idade-série, assim como as proporções de matrícula e de formação docente, estão em pontos percentuais; as demais seguem as escalas descritas acima. O porte é a única característica transformada: entra no sistema como logaritmo do número de matrículas, para que escolas muito grandes não dominem a comparação, de modo que a mediana de 5,87 do quadro corresponde a cerca de 350 matrículas.</w:t>
      </w:r>
    </w:p>
    <w:p w14:paraId="6977123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6DD543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835210E">
      <w:pPr>
        <w:pStyle w:val="3"/>
        <w:ind w:firstLine="0"/>
        <w:rPr>
          <w:color w:val="2E75B5"/>
        </w:rPr>
      </w:pPr>
      <w:r>
        <w:rPr>
          <w:rFonts w:ascii="Arial" w:hAnsi="Arial" w:eastAsia="Arial" w:cs="Arial"/>
          <w:b w:val="0"/>
        </w:rPr>
        <w:t>Nota: as taxas de Ensino Médio publicadas pelo INEP agregam a 1ª, 2ª e 3ª séries, a 4ª série e a matrícula não seriada (educação de jovens e adultos e organização modular). Por isso o valor da rede pode superar o máximo observado em qualquer série isolada: o máximo de 55,3% na reprovação corresponde a uma escola cuja matrícula de Ensino Médio é integralmente não seriada. As 283 observações nessa situação — 17,8% do conjunto —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color w:val="2E75B5"/>
        </w:rPr>
      </w:pPr>
      <w:r>
        <w:rPr>
          <w:rFonts w:ascii="Arial" w:hAnsi="Arial" w:eastAsia="Arial" w:cs="Arial"/>
          <w:b w:val="0"/>
        </w:rPr>
        <w:t>O quadro revela três padrões que condicionam o restante do trabalho. O primeiro é a concentração em zero das características de fluxo: metade das escolas não registrou abandono no ano anterior, e a média de 1,72% é puxada por poucas escolas com valores muito altos, até 43,6%. O segundo é o comportamento quase binário do tempo integral: a rede se divide entre escolas totalmente integrais e escolas sem nenhuma matrícula nessa modalidade, com pouca coisa no meio. O terceiro é a distribuição equilibrada da defasagem idade-série, em torno de 23%, o que a torna especialmente útil para diferenciar escolas.</w:t>
      </w: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675"/>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60000" cy="6417181"/>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0" w:name="_Toc4563"/>
      <w:r>
        <w:rPr>
          <w:rFonts w:ascii="Arial" w:hAnsi="Arial" w:eastAsia="Arial" w:cs="Arial"/>
          <w:b w:val="0"/>
        </w:rPr>
        <w:t>Análise Estatística das Características de Sim ou Não</w:t>
      </w:r>
      <w:bookmarkEnd w:id="40"/>
    </w:p>
    <w:p w14:paraId="5679240A">
      <w:pPr>
        <w:pStyle w:val="3"/>
        <w:ind w:firstLine="0"/>
        <w:rPr>
          <w:color w:val="2E75B5"/>
        </w:rPr>
      </w:pPr>
      <w:r>
        <w:rPr>
          <w:rFonts w:ascii="Arial" w:hAnsi="Arial" w:eastAsia="Arial" w:cs="Arial"/>
          <w:b w:val="0"/>
        </w:rPr>
        <w:t>As 15 características de sim ou não são comparadas de outra forma: qual o abandono médio das escolas que têm o atributo e das que não têm. A maior diferença não vem da infraestrutura, e sim da localização.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7AA9F113">
      <w:pPr>
        <w:pStyle w:val="3"/>
        <w:ind w:firstLine="0"/>
        <w:rPr>
          <w:color w:val="2E75B5"/>
        </w:rPr>
      </w:pPr>
      <w:r>
        <w:rPr>
          <w:rFonts w:ascii="Arial" w:hAnsi="Arial" w:eastAsia="Arial" w:cs="Arial"/>
          <w:b w:val="0"/>
        </w:rPr>
        <w:t>O Quadro 7 reúne duas leituras distintas de cada atributo, e vale distingui-las. As duas primeiras colunas repartem as 1.586 observações em dois grupos — as escolas que têm o atributo e as que não têm — e por isso se completam: somadas, dão o total da rede. As duas colunas seguintes são de outra natureza: cada uma traz a taxa média de abandono no ano seguinte dentro de um desses grupos. São duas médias do mesmo indicador, medidas em conjuntos diferentes de escolas, e não há razão para que se somem a 100% —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79655A5">
        <w:tblPrEx>
          <w:tblCellMar>
            <w:top w:w="0" w:type="dxa"/>
            <w:left w:w="10" w:type="dxa"/>
            <w:bottom w:w="0" w:type="dxa"/>
            <w:right w:w="10" w:type="dxa"/>
          </w:tblCellMar>
        </w:tblPrEx>
        <w:tc>
          <w:tcPr>
            <w:tcW w:w="4" w:type="dxa"/>
          </w:tcPr>
          <w:p w14:paraId="17C17F56">
            <w:r>
              <w:rPr>
                <w:rFonts w:ascii="Arial" w:hAnsi="Arial" w:eastAsia="Arial" w:cs="Arial"/>
                <w:b/>
                <w:sz w:val="16"/>
              </w:rPr>
              <w:t>Atributo</w:t>
            </w:r>
          </w:p>
        </w:tc>
        <w:tc>
          <w:tcPr>
            <w:tcW w:w="2" w:type="dxa"/>
          </w:tcPr>
          <w:p w14:paraId="5FAADEDF">
            <w:r>
              <w:rPr>
                <w:rFonts w:ascii="Arial" w:hAnsi="Arial" w:eastAsia="Arial" w:cs="Arial"/>
                <w:b/>
                <w:sz w:val="16"/>
              </w:rPr>
              <w:t>Escolas que têm</w:t>
            </w:r>
          </w:p>
        </w:tc>
        <w:tc>
          <w:tcPr>
            <w:tcW w:w="2" w:type="dxa"/>
          </w:tcPr>
          <w:p w14:paraId="5DE225C5">
            <w:r>
              <w:rPr>
                <w:rFonts w:ascii="Arial" w:hAnsi="Arial" w:eastAsia="Arial" w:cs="Arial"/>
                <w:b/>
                <w:sz w:val="16"/>
              </w:rPr>
              <w:t>Escolas que não têm</w:t>
            </w:r>
          </w:p>
        </w:tc>
        <w:tc>
          <w:tcPr>
            <w:tcW w:w="2" w:type="dxa"/>
          </w:tcPr>
          <w:p w14:paraId="60F7DF19">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98BCD70">
            <w:r>
              <w:rPr>
                <w:rFonts w:ascii="Arial" w:hAnsi="Arial" w:eastAsia="Arial" w:cs="Arial"/>
                <w:b/>
                <w:sz w:val="16"/>
              </w:rPr>
              <w:t>Diferença (p.p.)</w:t>
            </w:r>
          </w:p>
        </w:tc>
      </w:tr>
      <w:tr w14:paraId="2B1A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24B628D">
            <w:r>
              <w:rPr>
                <w:rFonts w:ascii="Arial" w:hAnsi="Arial" w:eastAsia="Arial" w:cs="Arial"/>
                <w:b w:val="0"/>
                <w:sz w:val="16"/>
              </w:rPr>
              <w:t>Localização diferenciada (indígena/quilombola)</w:t>
            </w:r>
          </w:p>
        </w:tc>
        <w:tc>
          <w:tcPr>
            <w:tcW w:w="2" w:type="dxa"/>
          </w:tcPr>
          <w:p w14:paraId="7AE071E1">
            <w:r>
              <w:rPr>
                <w:rFonts w:ascii="Arial" w:hAnsi="Arial" w:eastAsia="Arial" w:cs="Arial"/>
                <w:b w:val="0"/>
                <w:sz w:val="16"/>
              </w:rPr>
              <w:t>81 (5,1%)</w:t>
            </w:r>
          </w:p>
        </w:tc>
        <w:tc>
          <w:tcPr>
            <w:tcW w:w="2" w:type="dxa"/>
          </w:tcPr>
          <w:p w14:paraId="0ABD7409">
            <w:r>
              <w:rPr>
                <w:rFonts w:ascii="Arial" w:hAnsi="Arial" w:eastAsia="Arial" w:cs="Arial"/>
                <w:b w:val="0"/>
                <w:sz w:val="16"/>
              </w:rPr>
              <w:t>1.505 (94,9%)</w:t>
            </w:r>
          </w:p>
        </w:tc>
        <w:tc>
          <w:tcPr>
            <w:tcW w:w="2" w:type="dxa"/>
          </w:tcPr>
          <w:p w14:paraId="62878B2B">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7118E521">
            <w:r>
              <w:rPr>
                <w:rFonts w:ascii="Arial" w:hAnsi="Arial" w:eastAsia="Arial" w:cs="Arial"/>
                <w:b w:val="0"/>
                <w:sz w:val="16"/>
              </w:rPr>
              <w:t>8,25***</w:t>
            </w:r>
          </w:p>
        </w:tc>
      </w:tr>
      <w:tr w14:paraId="5CA7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134C5FC">
            <w:r>
              <w:rPr>
                <w:rFonts w:ascii="Arial" w:hAnsi="Arial" w:eastAsia="Arial" w:cs="Arial"/>
                <w:b w:val="0"/>
                <w:sz w:val="16"/>
              </w:rPr>
              <w:t>Localização rural</w:t>
            </w:r>
          </w:p>
        </w:tc>
        <w:tc>
          <w:tcPr>
            <w:tcW w:w="2" w:type="dxa"/>
          </w:tcPr>
          <w:p w14:paraId="712CFE50">
            <w:r>
              <w:rPr>
                <w:rFonts w:ascii="Arial" w:hAnsi="Arial" w:eastAsia="Arial" w:cs="Arial"/>
                <w:b w:val="0"/>
                <w:sz w:val="16"/>
              </w:rPr>
              <w:t>218 (13,7%)</w:t>
            </w:r>
          </w:p>
        </w:tc>
        <w:tc>
          <w:tcPr>
            <w:tcW w:w="2" w:type="dxa"/>
          </w:tcPr>
          <w:p w14:paraId="1E759E4B">
            <w:r>
              <w:rPr>
                <w:rFonts w:ascii="Arial" w:hAnsi="Arial" w:eastAsia="Arial" w:cs="Arial"/>
                <w:b w:val="0"/>
                <w:sz w:val="16"/>
              </w:rPr>
              <w:t>1.368 (86,3%)</w:t>
            </w:r>
          </w:p>
        </w:tc>
        <w:tc>
          <w:tcPr>
            <w:tcW w:w="2" w:type="dxa"/>
          </w:tcPr>
          <w:p w14:paraId="218C6F28">
            <w:r>
              <w:rPr>
                <w:rFonts w:ascii="Arial" w:hAnsi="Arial" w:eastAsia="Arial" w:cs="Arial"/>
                <w:b w:val="0"/>
                <w:sz w:val="16"/>
              </w:rPr>
              <w:t>3,74%</w:t>
            </w:r>
          </w:p>
        </w:tc>
        <w:tc>
          <w:tcPr>
            <w:tcW w:w="2" w:type="dxa"/>
          </w:tcPr>
          <w:p w14:paraId="21187962">
            <w:r>
              <w:rPr>
                <w:rFonts w:ascii="Arial" w:hAnsi="Arial" w:eastAsia="Arial" w:cs="Arial"/>
                <w:b w:val="0"/>
                <w:sz w:val="16"/>
              </w:rPr>
              <w:t>0,70%</w:t>
            </w:r>
          </w:p>
        </w:tc>
        <w:tc>
          <w:tcPr>
            <w:tcW w:w="2" w:type="dxa"/>
          </w:tcPr>
          <w:p w14:paraId="278EBA90">
            <w:r>
              <w:rPr>
                <w:rFonts w:ascii="Arial" w:hAnsi="Arial" w:eastAsia="Arial" w:cs="Arial"/>
                <w:b w:val="0"/>
                <w:sz w:val="16"/>
              </w:rPr>
              <w:t>3,04***</w:t>
            </w:r>
          </w:p>
        </w:tc>
      </w:tr>
      <w:tr w14:paraId="5E0EB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8EAF01B">
            <w:r>
              <w:rPr>
                <w:rFonts w:ascii="Arial" w:hAnsi="Arial" w:eastAsia="Arial" w:cs="Arial"/>
                <w:b w:val="0"/>
                <w:sz w:val="16"/>
              </w:rPr>
              <w:t>Biblioteca</w:t>
            </w:r>
          </w:p>
        </w:tc>
        <w:tc>
          <w:tcPr>
            <w:tcW w:w="2" w:type="dxa"/>
          </w:tcPr>
          <w:p w14:paraId="5B2484A2">
            <w:r>
              <w:rPr>
                <w:rFonts w:ascii="Arial" w:hAnsi="Arial" w:eastAsia="Arial" w:cs="Arial"/>
                <w:b w:val="0"/>
                <w:sz w:val="16"/>
              </w:rPr>
              <w:t>1.438 (90,7%)</w:t>
            </w:r>
          </w:p>
        </w:tc>
        <w:tc>
          <w:tcPr>
            <w:tcW w:w="2" w:type="dxa"/>
          </w:tcPr>
          <w:p w14:paraId="23C89318">
            <w:r>
              <w:rPr>
                <w:rFonts w:ascii="Arial" w:hAnsi="Arial" w:eastAsia="Arial" w:cs="Arial"/>
                <w:b w:val="0"/>
                <w:sz w:val="16"/>
              </w:rPr>
              <w:t>148 (9,3%)</w:t>
            </w:r>
          </w:p>
        </w:tc>
        <w:tc>
          <w:tcPr>
            <w:tcW w:w="2" w:type="dxa"/>
          </w:tcPr>
          <w:p w14:paraId="557B1DFA">
            <w:r>
              <w:rPr>
                <w:rFonts w:ascii="Arial" w:hAnsi="Arial" w:eastAsia="Arial" w:cs="Arial"/>
                <w:b w:val="0"/>
                <w:sz w:val="16"/>
              </w:rPr>
              <w:t>0,93%</w:t>
            </w:r>
          </w:p>
        </w:tc>
        <w:tc>
          <w:tcPr>
            <w:tcW w:w="2" w:type="dxa"/>
          </w:tcPr>
          <w:p w14:paraId="04F9A852">
            <w:r>
              <w:rPr>
                <w:rFonts w:ascii="Arial" w:hAnsi="Arial" w:eastAsia="Arial" w:cs="Arial"/>
                <w:b w:val="0"/>
                <w:sz w:val="16"/>
              </w:rPr>
              <w:t>3,01%</w:t>
            </w:r>
          </w:p>
        </w:tc>
        <w:tc>
          <w:tcPr>
            <w:tcW w:w="2" w:type="dxa"/>
          </w:tcPr>
          <w:p w14:paraId="0641BD45">
            <w:r>
              <w:rPr>
                <w:rFonts w:ascii="Arial" w:hAnsi="Arial" w:eastAsia="Arial" w:cs="Arial"/>
                <w:b w:val="0"/>
                <w:sz w:val="16"/>
              </w:rPr>
              <w:t>−2,08**</w:t>
            </w:r>
          </w:p>
        </w:tc>
      </w:tr>
      <w:tr w14:paraId="5019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C4CCEBE">
            <w:r>
              <w:rPr>
                <w:rFonts w:ascii="Arial" w:hAnsi="Arial" w:eastAsia="Arial" w:cs="Arial"/>
                <w:b w:val="0"/>
                <w:sz w:val="16"/>
              </w:rPr>
              <w:t>Laboratório de informática</w:t>
            </w:r>
          </w:p>
        </w:tc>
        <w:tc>
          <w:tcPr>
            <w:tcW w:w="2" w:type="dxa"/>
          </w:tcPr>
          <w:p w14:paraId="4A2AA84F">
            <w:r>
              <w:rPr>
                <w:rFonts w:ascii="Arial" w:hAnsi="Arial" w:eastAsia="Arial" w:cs="Arial"/>
                <w:b w:val="0"/>
                <w:sz w:val="16"/>
              </w:rPr>
              <w:t>1.228 (77,4%)</w:t>
            </w:r>
          </w:p>
        </w:tc>
        <w:tc>
          <w:tcPr>
            <w:tcW w:w="2" w:type="dxa"/>
          </w:tcPr>
          <w:p w14:paraId="7705BC9D">
            <w:r>
              <w:rPr>
                <w:rFonts w:ascii="Arial" w:hAnsi="Arial" w:eastAsia="Arial" w:cs="Arial"/>
                <w:b w:val="0"/>
                <w:sz w:val="16"/>
              </w:rPr>
              <w:t>358 (22,6%)</w:t>
            </w:r>
          </w:p>
        </w:tc>
        <w:tc>
          <w:tcPr>
            <w:tcW w:w="2" w:type="dxa"/>
          </w:tcPr>
          <w:p w14:paraId="72C7D5B8">
            <w:r>
              <w:rPr>
                <w:rFonts w:ascii="Arial" w:hAnsi="Arial" w:eastAsia="Arial" w:cs="Arial"/>
                <w:b w:val="0"/>
                <w:sz w:val="16"/>
              </w:rPr>
              <w:t>0,74%</w:t>
            </w:r>
          </w:p>
        </w:tc>
        <w:tc>
          <w:tcPr>
            <w:tcW w:w="2" w:type="dxa"/>
          </w:tcPr>
          <w:p w14:paraId="50D41E90">
            <w:r>
              <w:rPr>
                <w:rFonts w:ascii="Arial" w:hAnsi="Arial" w:eastAsia="Arial" w:cs="Arial"/>
                <w:b w:val="0"/>
                <w:sz w:val="16"/>
              </w:rPr>
              <w:t>2,44%</w:t>
            </w:r>
          </w:p>
        </w:tc>
        <w:tc>
          <w:tcPr>
            <w:tcW w:w="2" w:type="dxa"/>
          </w:tcPr>
          <w:p w14:paraId="1CE43156">
            <w:r>
              <w:rPr>
                <w:rFonts w:ascii="Arial" w:hAnsi="Arial" w:eastAsia="Arial" w:cs="Arial"/>
                <w:b w:val="0"/>
                <w:sz w:val="16"/>
              </w:rPr>
              <w:t>−1,71***</w:t>
            </w:r>
          </w:p>
        </w:tc>
      </w:tr>
      <w:tr w14:paraId="7A22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76FD924">
            <w:r>
              <w:rPr>
                <w:rFonts w:ascii="Arial" w:hAnsi="Arial" w:eastAsia="Arial" w:cs="Arial"/>
                <w:b w:val="0"/>
                <w:sz w:val="16"/>
              </w:rPr>
              <w:t>Banda larga</w:t>
            </w:r>
          </w:p>
        </w:tc>
        <w:tc>
          <w:tcPr>
            <w:tcW w:w="2" w:type="dxa"/>
          </w:tcPr>
          <w:p w14:paraId="6EEE047A">
            <w:r>
              <w:rPr>
                <w:rFonts w:ascii="Arial" w:hAnsi="Arial" w:eastAsia="Arial" w:cs="Arial"/>
                <w:b w:val="0"/>
                <w:sz w:val="16"/>
              </w:rPr>
              <w:t>1.393 (87,8%)</w:t>
            </w:r>
          </w:p>
        </w:tc>
        <w:tc>
          <w:tcPr>
            <w:tcW w:w="2" w:type="dxa"/>
          </w:tcPr>
          <w:p w14:paraId="12A7865B">
            <w:r>
              <w:rPr>
                <w:rFonts w:ascii="Arial" w:hAnsi="Arial" w:eastAsia="Arial" w:cs="Arial"/>
                <w:b w:val="0"/>
                <w:sz w:val="16"/>
              </w:rPr>
              <w:t>193 (12,2%)</w:t>
            </w:r>
          </w:p>
        </w:tc>
        <w:tc>
          <w:tcPr>
            <w:tcW w:w="2" w:type="dxa"/>
          </w:tcPr>
          <w:p w14:paraId="5268E86F">
            <w:r>
              <w:rPr>
                <w:rFonts w:ascii="Arial" w:hAnsi="Arial" w:eastAsia="Arial" w:cs="Arial"/>
                <w:b w:val="0"/>
                <w:sz w:val="16"/>
              </w:rPr>
              <w:t>0,95%</w:t>
            </w:r>
          </w:p>
        </w:tc>
        <w:tc>
          <w:tcPr>
            <w:tcW w:w="2" w:type="dxa"/>
          </w:tcPr>
          <w:p w14:paraId="668FF2A0">
            <w:r>
              <w:rPr>
                <w:rFonts w:ascii="Arial" w:hAnsi="Arial" w:eastAsia="Arial" w:cs="Arial"/>
                <w:b w:val="0"/>
                <w:sz w:val="16"/>
              </w:rPr>
              <w:t>2,34%</w:t>
            </w:r>
          </w:p>
        </w:tc>
        <w:tc>
          <w:tcPr>
            <w:tcW w:w="2" w:type="dxa"/>
          </w:tcPr>
          <w:p w14:paraId="537A77D6">
            <w:r>
              <w:rPr>
                <w:rFonts w:ascii="Arial" w:hAnsi="Arial" w:eastAsia="Arial" w:cs="Arial"/>
                <w:b w:val="0"/>
                <w:sz w:val="16"/>
              </w:rPr>
              <w:t>−1,39</w:t>
            </w:r>
          </w:p>
        </w:tc>
      </w:tr>
      <w:tr w14:paraId="03E2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50F92EB">
            <w:r>
              <w:rPr>
                <w:rFonts w:ascii="Arial" w:hAnsi="Arial" w:eastAsia="Arial" w:cs="Arial"/>
                <w:b w:val="0"/>
                <w:sz w:val="16"/>
              </w:rPr>
              <w:t>Quadra de esportes</w:t>
            </w:r>
          </w:p>
        </w:tc>
        <w:tc>
          <w:tcPr>
            <w:tcW w:w="2" w:type="dxa"/>
          </w:tcPr>
          <w:p w14:paraId="53901962">
            <w:r>
              <w:rPr>
                <w:rFonts w:ascii="Arial" w:hAnsi="Arial" w:eastAsia="Arial" w:cs="Arial"/>
                <w:b w:val="0"/>
                <w:sz w:val="16"/>
              </w:rPr>
              <w:t>1.120 (70,6%)</w:t>
            </w:r>
          </w:p>
        </w:tc>
        <w:tc>
          <w:tcPr>
            <w:tcW w:w="2" w:type="dxa"/>
          </w:tcPr>
          <w:p w14:paraId="2EC6625A">
            <w:r>
              <w:rPr>
                <w:rFonts w:ascii="Arial" w:hAnsi="Arial" w:eastAsia="Arial" w:cs="Arial"/>
                <w:b w:val="0"/>
                <w:sz w:val="16"/>
              </w:rPr>
              <w:t>466 (29,4%)</w:t>
            </w:r>
          </w:p>
        </w:tc>
        <w:tc>
          <w:tcPr>
            <w:tcW w:w="2" w:type="dxa"/>
          </w:tcPr>
          <w:p w14:paraId="351AB75D">
            <w:r>
              <w:rPr>
                <w:rFonts w:ascii="Arial" w:hAnsi="Arial" w:eastAsia="Arial" w:cs="Arial"/>
                <w:b w:val="0"/>
                <w:sz w:val="16"/>
              </w:rPr>
              <w:t>0,79%</w:t>
            </w:r>
          </w:p>
        </w:tc>
        <w:tc>
          <w:tcPr>
            <w:tcW w:w="2" w:type="dxa"/>
          </w:tcPr>
          <w:p w14:paraId="43C667E6">
            <w:r>
              <w:rPr>
                <w:rFonts w:ascii="Arial" w:hAnsi="Arial" w:eastAsia="Arial" w:cs="Arial"/>
                <w:b w:val="0"/>
                <w:sz w:val="16"/>
              </w:rPr>
              <w:t>1,93%</w:t>
            </w:r>
          </w:p>
        </w:tc>
        <w:tc>
          <w:tcPr>
            <w:tcW w:w="2" w:type="dxa"/>
          </w:tcPr>
          <w:p w14:paraId="52C4BE65">
            <w:r>
              <w:rPr>
                <w:rFonts w:ascii="Arial" w:hAnsi="Arial" w:eastAsia="Arial" w:cs="Arial"/>
                <w:b w:val="0"/>
                <w:sz w:val="16"/>
              </w:rPr>
              <w:t>−1,14*</w:t>
            </w:r>
          </w:p>
        </w:tc>
      </w:tr>
      <w:tr w14:paraId="71AF4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414688A">
            <w:r>
              <w:rPr>
                <w:rFonts w:ascii="Arial" w:hAnsi="Arial" w:eastAsia="Arial" w:cs="Arial"/>
                <w:b w:val="0"/>
                <w:sz w:val="16"/>
              </w:rPr>
              <w:t>Laboratório de ciências</w:t>
            </w:r>
          </w:p>
        </w:tc>
        <w:tc>
          <w:tcPr>
            <w:tcW w:w="2" w:type="dxa"/>
          </w:tcPr>
          <w:p w14:paraId="13AF6A17">
            <w:r>
              <w:rPr>
                <w:rFonts w:ascii="Arial" w:hAnsi="Arial" w:eastAsia="Arial" w:cs="Arial"/>
                <w:b w:val="0"/>
                <w:sz w:val="16"/>
              </w:rPr>
              <w:t>705 (44,5%)</w:t>
            </w:r>
          </w:p>
        </w:tc>
        <w:tc>
          <w:tcPr>
            <w:tcW w:w="2" w:type="dxa"/>
          </w:tcPr>
          <w:p w14:paraId="5C32A366">
            <w:r>
              <w:rPr>
                <w:rFonts w:ascii="Arial" w:hAnsi="Arial" w:eastAsia="Arial" w:cs="Arial"/>
                <w:b w:val="0"/>
                <w:sz w:val="16"/>
              </w:rPr>
              <w:t>881 (55,5%)</w:t>
            </w:r>
          </w:p>
        </w:tc>
        <w:tc>
          <w:tcPr>
            <w:tcW w:w="2" w:type="dxa"/>
          </w:tcPr>
          <w:p w14:paraId="7F17AA90">
            <w:r>
              <w:rPr>
                <w:rFonts w:ascii="Arial" w:hAnsi="Arial" w:eastAsia="Arial" w:cs="Arial"/>
                <w:b w:val="0"/>
                <w:sz w:val="16"/>
              </w:rPr>
              <w:t>0,53%</w:t>
            </w:r>
          </w:p>
        </w:tc>
        <w:tc>
          <w:tcPr>
            <w:tcW w:w="2" w:type="dxa"/>
          </w:tcPr>
          <w:p w14:paraId="7972EEDC">
            <w:r>
              <w:rPr>
                <w:rFonts w:ascii="Arial" w:hAnsi="Arial" w:eastAsia="Arial" w:cs="Arial"/>
                <w:b w:val="0"/>
                <w:sz w:val="16"/>
              </w:rPr>
              <w:t>1,59%</w:t>
            </w:r>
          </w:p>
        </w:tc>
        <w:tc>
          <w:tcPr>
            <w:tcW w:w="2" w:type="dxa"/>
          </w:tcPr>
          <w:p w14:paraId="7BAC6853">
            <w:r>
              <w:rPr>
                <w:rFonts w:ascii="Arial" w:hAnsi="Arial" w:eastAsia="Arial" w:cs="Arial"/>
                <w:b w:val="0"/>
                <w:sz w:val="16"/>
              </w:rPr>
              <w:t>−1,06***</w:t>
            </w:r>
          </w:p>
        </w:tc>
      </w:tr>
      <w:tr w14:paraId="54E4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1FD0F90">
            <w:r>
              <w:rPr>
                <w:rFonts w:ascii="Arial" w:hAnsi="Arial" w:eastAsia="Arial" w:cs="Arial"/>
                <w:b w:val="0"/>
                <w:sz w:val="16"/>
              </w:rPr>
              <w:t>Esgoto em rede pública</w:t>
            </w:r>
          </w:p>
        </w:tc>
        <w:tc>
          <w:tcPr>
            <w:tcW w:w="2" w:type="dxa"/>
          </w:tcPr>
          <w:p w14:paraId="471BF9AB">
            <w:r>
              <w:rPr>
                <w:rFonts w:ascii="Arial" w:hAnsi="Arial" w:eastAsia="Arial" w:cs="Arial"/>
                <w:b w:val="0"/>
                <w:sz w:val="16"/>
              </w:rPr>
              <w:t>952 (60,0%)</w:t>
            </w:r>
          </w:p>
        </w:tc>
        <w:tc>
          <w:tcPr>
            <w:tcW w:w="2" w:type="dxa"/>
          </w:tcPr>
          <w:p w14:paraId="259979FF">
            <w:r>
              <w:rPr>
                <w:rFonts w:ascii="Arial" w:hAnsi="Arial" w:eastAsia="Arial" w:cs="Arial"/>
                <w:b w:val="0"/>
                <w:sz w:val="16"/>
              </w:rPr>
              <w:t>634 (40,0%)</w:t>
            </w:r>
          </w:p>
        </w:tc>
        <w:tc>
          <w:tcPr>
            <w:tcW w:w="2" w:type="dxa"/>
          </w:tcPr>
          <w:p w14:paraId="7DA5C2F0">
            <w:r>
              <w:rPr>
                <w:rFonts w:ascii="Arial" w:hAnsi="Arial" w:eastAsia="Arial" w:cs="Arial"/>
                <w:b w:val="0"/>
                <w:sz w:val="16"/>
              </w:rPr>
              <w:t>0,74%</w:t>
            </w:r>
          </w:p>
        </w:tc>
        <w:tc>
          <w:tcPr>
            <w:tcW w:w="2" w:type="dxa"/>
          </w:tcPr>
          <w:p w14:paraId="4A410FB7">
            <w:r>
              <w:rPr>
                <w:rFonts w:ascii="Arial" w:hAnsi="Arial" w:eastAsia="Arial" w:cs="Arial"/>
                <w:b w:val="0"/>
                <w:sz w:val="16"/>
              </w:rPr>
              <w:t>1,70%</w:t>
            </w:r>
          </w:p>
        </w:tc>
        <w:tc>
          <w:tcPr>
            <w:tcW w:w="2" w:type="dxa"/>
          </w:tcPr>
          <w:p w14:paraId="341904B8">
            <w:r>
              <w:rPr>
                <w:rFonts w:ascii="Arial" w:hAnsi="Arial" w:eastAsia="Arial" w:cs="Arial"/>
                <w:b w:val="0"/>
                <w:sz w:val="16"/>
              </w:rPr>
              <w:t>−0,96</w:t>
            </w:r>
          </w:p>
        </w:tc>
      </w:tr>
      <w:tr w14:paraId="039B7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0C46211">
            <w:r>
              <w:rPr>
                <w:rFonts w:ascii="Arial" w:hAnsi="Arial" w:eastAsia="Arial" w:cs="Arial"/>
                <w:b w:val="0"/>
                <w:sz w:val="16"/>
              </w:rPr>
              <w:t>Água potável</w:t>
            </w:r>
          </w:p>
        </w:tc>
        <w:tc>
          <w:tcPr>
            <w:tcW w:w="2" w:type="dxa"/>
          </w:tcPr>
          <w:p w14:paraId="1AE36F74">
            <w:r>
              <w:rPr>
                <w:rFonts w:ascii="Arial" w:hAnsi="Arial" w:eastAsia="Arial" w:cs="Arial"/>
                <w:b w:val="0"/>
                <w:sz w:val="16"/>
              </w:rPr>
              <w:t>1.509 (95,1%)</w:t>
            </w:r>
          </w:p>
        </w:tc>
        <w:tc>
          <w:tcPr>
            <w:tcW w:w="2" w:type="dxa"/>
          </w:tcPr>
          <w:p w14:paraId="70762993">
            <w:r>
              <w:rPr>
                <w:rFonts w:ascii="Arial" w:hAnsi="Arial" w:eastAsia="Arial" w:cs="Arial"/>
                <w:b w:val="0"/>
                <w:sz w:val="16"/>
              </w:rPr>
              <w:t>77 (4,9%)</w:t>
            </w:r>
          </w:p>
        </w:tc>
        <w:tc>
          <w:tcPr>
            <w:tcW w:w="2" w:type="dxa"/>
          </w:tcPr>
          <w:p w14:paraId="24FD7072">
            <w:r>
              <w:rPr>
                <w:rFonts w:ascii="Arial" w:hAnsi="Arial" w:eastAsia="Arial" w:cs="Arial"/>
                <w:b w:val="0"/>
                <w:sz w:val="16"/>
              </w:rPr>
              <w:t>1,08%</w:t>
            </w:r>
          </w:p>
        </w:tc>
        <w:tc>
          <w:tcPr>
            <w:tcW w:w="2" w:type="dxa"/>
          </w:tcPr>
          <w:p w14:paraId="470E9311">
            <w:r>
              <w:rPr>
                <w:rFonts w:ascii="Arial" w:hAnsi="Arial" w:eastAsia="Arial" w:cs="Arial"/>
                <w:b w:val="0"/>
                <w:sz w:val="16"/>
              </w:rPr>
              <w:t>1,91%</w:t>
            </w:r>
          </w:p>
        </w:tc>
        <w:tc>
          <w:tcPr>
            <w:tcW w:w="2" w:type="dxa"/>
          </w:tcPr>
          <w:p w14:paraId="16F0A1ED">
            <w:r>
              <w:rPr>
                <w:rFonts w:ascii="Arial" w:hAnsi="Arial" w:eastAsia="Arial" w:cs="Arial"/>
                <w:b w:val="0"/>
                <w:sz w:val="16"/>
              </w:rPr>
              <w:t>−0,83</w:t>
            </w:r>
          </w:p>
        </w:tc>
      </w:tr>
      <w:tr w14:paraId="282C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3AE8EB93">
            <w:r>
              <w:rPr>
                <w:rFonts w:ascii="Arial" w:hAnsi="Arial" w:eastAsia="Arial" w:cs="Arial"/>
                <w:b w:val="0"/>
                <w:sz w:val="16"/>
              </w:rPr>
              <w:t>Internet para alunos</w:t>
            </w:r>
          </w:p>
        </w:tc>
        <w:tc>
          <w:tcPr>
            <w:tcW w:w="2" w:type="dxa"/>
          </w:tcPr>
          <w:p w14:paraId="648FA6B2">
            <w:r>
              <w:rPr>
                <w:rFonts w:ascii="Arial" w:hAnsi="Arial" w:eastAsia="Arial" w:cs="Arial"/>
                <w:b w:val="0"/>
                <w:sz w:val="16"/>
              </w:rPr>
              <w:t>1.170 (73,8%)</w:t>
            </w:r>
          </w:p>
        </w:tc>
        <w:tc>
          <w:tcPr>
            <w:tcW w:w="2" w:type="dxa"/>
          </w:tcPr>
          <w:p w14:paraId="541910CE">
            <w:r>
              <w:rPr>
                <w:rFonts w:ascii="Arial" w:hAnsi="Arial" w:eastAsia="Arial" w:cs="Arial"/>
                <w:b w:val="0"/>
                <w:sz w:val="16"/>
              </w:rPr>
              <w:t>416 (26,2%)</w:t>
            </w:r>
          </w:p>
        </w:tc>
        <w:tc>
          <w:tcPr>
            <w:tcW w:w="2" w:type="dxa"/>
          </w:tcPr>
          <w:p w14:paraId="09C2D069">
            <w:r>
              <w:rPr>
                <w:rFonts w:ascii="Arial" w:hAnsi="Arial" w:eastAsia="Arial" w:cs="Arial"/>
                <w:b w:val="0"/>
                <w:sz w:val="16"/>
              </w:rPr>
              <w:t>0,92%</w:t>
            </w:r>
          </w:p>
        </w:tc>
        <w:tc>
          <w:tcPr>
            <w:tcW w:w="2" w:type="dxa"/>
          </w:tcPr>
          <w:p w14:paraId="0A43F359">
            <w:r>
              <w:rPr>
                <w:rFonts w:ascii="Arial" w:hAnsi="Arial" w:eastAsia="Arial" w:cs="Arial"/>
                <w:b w:val="0"/>
                <w:sz w:val="16"/>
              </w:rPr>
              <w:t>1,69%</w:t>
            </w:r>
          </w:p>
        </w:tc>
        <w:tc>
          <w:tcPr>
            <w:tcW w:w="2" w:type="dxa"/>
          </w:tcPr>
          <w:p w14:paraId="6BF1FDE6">
            <w:r>
              <w:rPr>
                <w:rFonts w:ascii="Arial" w:hAnsi="Arial" w:eastAsia="Arial" w:cs="Arial"/>
                <w:b w:val="0"/>
                <w:sz w:val="16"/>
              </w:rPr>
              <w:t>−0,77***</w:t>
            </w:r>
          </w:p>
        </w:tc>
      </w:tr>
      <w:tr w14:paraId="4AB34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F7E1C54">
            <w:r>
              <w:rPr>
                <w:rFonts w:ascii="Arial" w:hAnsi="Arial" w:eastAsia="Arial" w:cs="Arial"/>
                <w:b w:val="0"/>
                <w:sz w:val="16"/>
              </w:rPr>
              <w:t>Internet</w:t>
            </w:r>
          </w:p>
        </w:tc>
        <w:tc>
          <w:tcPr>
            <w:tcW w:w="2" w:type="dxa"/>
          </w:tcPr>
          <w:p w14:paraId="38DE4B83">
            <w:r>
              <w:rPr>
                <w:rFonts w:ascii="Arial" w:hAnsi="Arial" w:eastAsia="Arial" w:cs="Arial"/>
                <w:b w:val="0"/>
                <w:sz w:val="16"/>
              </w:rPr>
              <w:t>1.574 (99,2%)</w:t>
            </w:r>
          </w:p>
        </w:tc>
        <w:tc>
          <w:tcPr>
            <w:tcW w:w="2" w:type="dxa"/>
          </w:tcPr>
          <w:p w14:paraId="16A6C731">
            <w:r>
              <w:rPr>
                <w:rFonts w:ascii="Arial" w:hAnsi="Arial" w:eastAsia="Arial" w:cs="Arial"/>
                <w:b w:val="0"/>
                <w:sz w:val="16"/>
              </w:rPr>
              <w:t>12 (0,8%)</w:t>
            </w:r>
          </w:p>
        </w:tc>
        <w:tc>
          <w:tcPr>
            <w:tcW w:w="2" w:type="dxa"/>
          </w:tcPr>
          <w:p w14:paraId="57946399">
            <w:r>
              <w:rPr>
                <w:rFonts w:ascii="Arial" w:hAnsi="Arial" w:eastAsia="Arial" w:cs="Arial"/>
                <w:b w:val="0"/>
                <w:sz w:val="16"/>
              </w:rPr>
              <w:t>1,12%</w:t>
            </w:r>
          </w:p>
        </w:tc>
        <w:tc>
          <w:tcPr>
            <w:tcW w:w="2" w:type="dxa"/>
          </w:tcPr>
          <w:p w14:paraId="24DDF014">
            <w:r>
              <w:rPr>
                <w:rFonts w:ascii="Arial" w:hAnsi="Arial" w:eastAsia="Arial" w:cs="Arial"/>
                <w:b w:val="0"/>
                <w:sz w:val="16"/>
              </w:rPr>
              <w:t>1,84%</w:t>
            </w:r>
          </w:p>
        </w:tc>
        <w:tc>
          <w:tcPr>
            <w:tcW w:w="2" w:type="dxa"/>
          </w:tcPr>
          <w:p w14:paraId="43EBCDA3">
            <w:r>
              <w:rPr>
                <w:rFonts w:ascii="Arial" w:hAnsi="Arial" w:eastAsia="Arial" w:cs="Arial"/>
                <w:b w:val="0"/>
                <w:sz w:val="16"/>
              </w:rPr>
              <w:t>−0,73</w:t>
            </w:r>
          </w:p>
        </w:tc>
      </w:tr>
      <w:tr w14:paraId="4292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3CCC4E9">
            <w:r>
              <w:rPr>
                <w:rFonts w:ascii="Arial" w:hAnsi="Arial" w:eastAsia="Arial" w:cs="Arial"/>
                <w:b w:val="0"/>
                <w:sz w:val="16"/>
              </w:rPr>
              <w:t>Refeitório</w:t>
            </w:r>
          </w:p>
        </w:tc>
        <w:tc>
          <w:tcPr>
            <w:tcW w:w="2" w:type="dxa"/>
          </w:tcPr>
          <w:p w14:paraId="115A7FDA">
            <w:r>
              <w:rPr>
                <w:rFonts w:ascii="Arial" w:hAnsi="Arial" w:eastAsia="Arial" w:cs="Arial"/>
                <w:b w:val="0"/>
                <w:sz w:val="16"/>
              </w:rPr>
              <w:t>511 (32,2%)</w:t>
            </w:r>
          </w:p>
        </w:tc>
        <w:tc>
          <w:tcPr>
            <w:tcW w:w="2" w:type="dxa"/>
          </w:tcPr>
          <w:p w14:paraId="42838729">
            <w:r>
              <w:rPr>
                <w:rFonts w:ascii="Arial" w:hAnsi="Arial" w:eastAsia="Arial" w:cs="Arial"/>
                <w:b w:val="0"/>
                <w:sz w:val="16"/>
              </w:rPr>
              <w:t>1.075 (67,8%)</w:t>
            </w:r>
          </w:p>
        </w:tc>
        <w:tc>
          <w:tcPr>
            <w:tcW w:w="2" w:type="dxa"/>
          </w:tcPr>
          <w:p w14:paraId="6FDA4E2F">
            <w:r>
              <w:rPr>
                <w:rFonts w:ascii="Arial" w:hAnsi="Arial" w:eastAsia="Arial" w:cs="Arial"/>
                <w:b w:val="0"/>
                <w:sz w:val="16"/>
              </w:rPr>
              <w:t>0,73%</w:t>
            </w:r>
          </w:p>
        </w:tc>
        <w:tc>
          <w:tcPr>
            <w:tcW w:w="2" w:type="dxa"/>
          </w:tcPr>
          <w:p w14:paraId="3FE6E161">
            <w:r>
              <w:rPr>
                <w:rFonts w:ascii="Arial" w:hAnsi="Arial" w:eastAsia="Arial" w:cs="Arial"/>
                <w:b w:val="0"/>
                <w:sz w:val="16"/>
              </w:rPr>
              <w:t>1,31%</w:t>
            </w:r>
          </w:p>
        </w:tc>
        <w:tc>
          <w:tcPr>
            <w:tcW w:w="2" w:type="dxa"/>
          </w:tcPr>
          <w:p w14:paraId="3C60373D">
            <w:r>
              <w:rPr>
                <w:rFonts w:ascii="Arial" w:hAnsi="Arial" w:eastAsia="Arial" w:cs="Arial"/>
                <w:b w:val="0"/>
                <w:sz w:val="16"/>
              </w:rPr>
              <w:t>−0,58*</w:t>
            </w:r>
          </w:p>
        </w:tc>
      </w:tr>
      <w:tr w14:paraId="725E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69C92BD">
            <w:r>
              <w:rPr>
                <w:rFonts w:ascii="Arial" w:hAnsi="Arial" w:eastAsia="Arial" w:cs="Arial"/>
                <w:b w:val="0"/>
                <w:sz w:val="16"/>
              </w:rPr>
              <w:t>Auditório</w:t>
            </w:r>
          </w:p>
        </w:tc>
        <w:tc>
          <w:tcPr>
            <w:tcW w:w="2" w:type="dxa"/>
          </w:tcPr>
          <w:p w14:paraId="6AAA9B83">
            <w:r>
              <w:rPr>
                <w:rFonts w:ascii="Arial" w:hAnsi="Arial" w:eastAsia="Arial" w:cs="Arial"/>
                <w:b w:val="0"/>
                <w:sz w:val="16"/>
              </w:rPr>
              <w:t>438 (27,6%)</w:t>
            </w:r>
          </w:p>
        </w:tc>
        <w:tc>
          <w:tcPr>
            <w:tcW w:w="2" w:type="dxa"/>
          </w:tcPr>
          <w:p w14:paraId="3CED1A49">
            <w:r>
              <w:rPr>
                <w:rFonts w:ascii="Arial" w:hAnsi="Arial" w:eastAsia="Arial" w:cs="Arial"/>
                <w:b w:val="0"/>
                <w:sz w:val="16"/>
              </w:rPr>
              <w:t>1.148 (72,4%)</w:t>
            </w:r>
          </w:p>
        </w:tc>
        <w:tc>
          <w:tcPr>
            <w:tcW w:w="2" w:type="dxa"/>
          </w:tcPr>
          <w:p w14:paraId="35E67D92">
            <w:r>
              <w:rPr>
                <w:rFonts w:ascii="Arial" w:hAnsi="Arial" w:eastAsia="Arial" w:cs="Arial"/>
                <w:b w:val="0"/>
                <w:sz w:val="16"/>
              </w:rPr>
              <w:t>0,75%</w:t>
            </w:r>
          </w:p>
        </w:tc>
        <w:tc>
          <w:tcPr>
            <w:tcW w:w="2" w:type="dxa"/>
          </w:tcPr>
          <w:p w14:paraId="7874F878">
            <w:r>
              <w:rPr>
                <w:rFonts w:ascii="Arial" w:hAnsi="Arial" w:eastAsia="Arial" w:cs="Arial"/>
                <w:b w:val="0"/>
                <w:sz w:val="16"/>
              </w:rPr>
              <w:t>1,26%</w:t>
            </w:r>
          </w:p>
        </w:tc>
        <w:tc>
          <w:tcPr>
            <w:tcW w:w="2" w:type="dxa"/>
          </w:tcPr>
          <w:p w14:paraId="030643EE">
            <w:r>
              <w:rPr>
                <w:rFonts w:ascii="Arial" w:hAnsi="Arial" w:eastAsia="Arial" w:cs="Arial"/>
                <w:b w:val="0"/>
                <w:sz w:val="16"/>
              </w:rPr>
              <w:t>−0,52</w:t>
            </w:r>
          </w:p>
        </w:tc>
      </w:tr>
      <w:tr w14:paraId="30C1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F566240">
            <w:r>
              <w:rPr>
                <w:rFonts w:ascii="Arial" w:hAnsi="Arial" w:eastAsia="Arial" w:cs="Arial"/>
                <w:b w:val="0"/>
                <w:sz w:val="16"/>
              </w:rPr>
              <w:t>Oferta de EM fora das séries regulares (EJA/modular)</w:t>
            </w:r>
          </w:p>
        </w:tc>
        <w:tc>
          <w:tcPr>
            <w:tcW w:w="2" w:type="dxa"/>
          </w:tcPr>
          <w:p w14:paraId="2593F919">
            <w:r>
              <w:rPr>
                <w:rFonts w:ascii="Arial" w:hAnsi="Arial" w:eastAsia="Arial" w:cs="Arial"/>
                <w:b w:val="0"/>
                <w:sz w:val="16"/>
              </w:rPr>
              <w:t>283 (17,8%)</w:t>
            </w:r>
          </w:p>
        </w:tc>
        <w:tc>
          <w:tcPr>
            <w:tcW w:w="2" w:type="dxa"/>
          </w:tcPr>
          <w:p w14:paraId="787474C7">
            <w:r>
              <w:rPr>
                <w:rFonts w:ascii="Arial" w:hAnsi="Arial" w:eastAsia="Arial" w:cs="Arial"/>
                <w:b w:val="0"/>
                <w:sz w:val="16"/>
              </w:rPr>
              <w:t>1.303 (82,2%)</w:t>
            </w:r>
          </w:p>
        </w:tc>
        <w:tc>
          <w:tcPr>
            <w:tcW w:w="2" w:type="dxa"/>
          </w:tcPr>
          <w:p w14:paraId="19BF7906">
            <w:r>
              <w:rPr>
                <w:rFonts w:ascii="Arial" w:hAnsi="Arial" w:eastAsia="Arial" w:cs="Arial"/>
                <w:b w:val="0"/>
                <w:sz w:val="16"/>
              </w:rPr>
              <w:t>1,49%</w:t>
            </w:r>
          </w:p>
        </w:tc>
        <w:tc>
          <w:tcPr>
            <w:tcW w:w="2" w:type="dxa"/>
          </w:tcPr>
          <w:p w14:paraId="2E867822">
            <w:r>
              <w:rPr>
                <w:rFonts w:ascii="Arial" w:hAnsi="Arial" w:eastAsia="Arial" w:cs="Arial"/>
                <w:b w:val="0"/>
                <w:sz w:val="16"/>
              </w:rPr>
              <w:t>1,04%</w:t>
            </w:r>
          </w:p>
        </w:tc>
        <w:tc>
          <w:tcPr>
            <w:tcW w:w="2" w:type="dxa"/>
          </w:tcPr>
          <w:p w14:paraId="5566ECD6">
            <w:r>
              <w:rPr>
                <w:rFonts w:ascii="Arial" w:hAnsi="Arial" w:eastAsia="Arial" w:cs="Arial"/>
                <w:b w:val="0"/>
                <w:sz w:val="16"/>
              </w:rPr>
              <w:t>0,45***</w:t>
            </w:r>
          </w:p>
        </w:tc>
      </w:tr>
      <w:tr w14:paraId="4E904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ED055D4">
            <w:r>
              <w:rPr>
                <w:rFonts w:ascii="Arial" w:hAnsi="Arial" w:eastAsia="Arial" w:cs="Arial"/>
                <w:b w:val="0"/>
                <w:sz w:val="16"/>
              </w:rPr>
              <w:t>Sala de leitura</w:t>
            </w:r>
          </w:p>
        </w:tc>
        <w:tc>
          <w:tcPr>
            <w:tcW w:w="2" w:type="dxa"/>
          </w:tcPr>
          <w:p w14:paraId="3402C310">
            <w:r>
              <w:rPr>
                <w:rFonts w:ascii="Arial" w:hAnsi="Arial" w:eastAsia="Arial" w:cs="Arial"/>
                <w:b w:val="0"/>
                <w:sz w:val="16"/>
              </w:rPr>
              <w:t>244 (15,4%)</w:t>
            </w:r>
          </w:p>
        </w:tc>
        <w:tc>
          <w:tcPr>
            <w:tcW w:w="2" w:type="dxa"/>
          </w:tcPr>
          <w:p w14:paraId="475342A8">
            <w:r>
              <w:rPr>
                <w:rFonts w:ascii="Arial" w:hAnsi="Arial" w:eastAsia="Arial" w:cs="Arial"/>
                <w:b w:val="0"/>
                <w:sz w:val="16"/>
              </w:rPr>
              <w:t>1.342 (84,6%)</w:t>
            </w:r>
          </w:p>
        </w:tc>
        <w:tc>
          <w:tcPr>
            <w:tcW w:w="2" w:type="dxa"/>
          </w:tcPr>
          <w:p w14:paraId="439E7CB5">
            <w:r>
              <w:rPr>
                <w:rFonts w:ascii="Arial" w:hAnsi="Arial" w:eastAsia="Arial" w:cs="Arial"/>
                <w:b w:val="0"/>
                <w:sz w:val="16"/>
              </w:rPr>
              <w:t>1,38%</w:t>
            </w:r>
          </w:p>
        </w:tc>
        <w:tc>
          <w:tcPr>
            <w:tcW w:w="2" w:type="dxa"/>
          </w:tcPr>
          <w:p w14:paraId="6F353FB9">
            <w:r>
              <w:rPr>
                <w:rFonts w:ascii="Arial" w:hAnsi="Arial" w:eastAsia="Arial" w:cs="Arial"/>
                <w:b w:val="0"/>
                <w:sz w:val="16"/>
              </w:rPr>
              <w:t>1,07%</w:t>
            </w:r>
          </w:p>
        </w:tc>
        <w:tc>
          <w:tcPr>
            <w:tcW w:w="2" w:type="dxa"/>
          </w:tcPr>
          <w:p w14:paraId="7B7857DF">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225C1D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são estatisticamente distinguíveis do acaso e não devem ser lidas como efeito do atributo.</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80"/>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53505" cy="2532314"/>
                    </a:xfrm>
                    <a:prstGeom prst="rect">
                      <a:avLst/>
                    </a:prstGeom>
                  </pic:spPr>
                </pic:pic>
              </a:graphicData>
            </a:graphic>
          </wp:anchor>
        </w:drawing>
      </w:r>
      <w:r>
        <w:rPr>
          <w:rFonts w:ascii="Arial" w:hAnsi="Arial" w:eastAsia="Arial" w:cs="Arial"/>
          <w:b w:val="0"/>
          <w:sz w:val="20"/>
        </w:rPr>
        <w:t>Figura 9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1" w:name="_Toc9601"/>
      <w:r>
        <w:rPr>
          <w:rFonts w:ascii="Arial" w:hAnsi="Arial" w:eastAsia="Arial" w:cs="Arial"/>
          <w:b w:val="0"/>
        </w:rPr>
        <w:t>A Região do Estado</w:t>
      </w:r>
      <w:bookmarkEnd w:id="41"/>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Essa diferença justifica manter a região entre as características do sistema.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80000" cy="1984060"/>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2" w:name="_Toc12023"/>
      <w:r>
        <w:rPr>
          <w:rFonts w:ascii="Arial" w:hAnsi="Arial" w:eastAsia="Arial" w:cs="Arial"/>
          <w:b w:val="0"/>
        </w:rPr>
        <w:t>Quais Características Têm Valor para a Previsão</w:t>
      </w:r>
      <w:bookmarkEnd w:id="42"/>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 Porte (nº de matrículas), Adequação da formação docente — Grupo 3, Banda larga, Esgoto em rede pública, Água potável, Internet, Auditório e Sala de leitura — não se separaram do acaso. Elas foram mantidas por dois motivos: a ausência de relação isolada não impede que a característica seja útil em combinação com as demais, e o conjunto já é enxuto o bastante para que o custo de mantê-las seja pequeno. Na prática, o próprio sistema lhes atribui pouco peso.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5740"/>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60000" cy="5285933"/>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primeiro é o histórico recente da própria escola — abandono e reprovação do ano anterior —, de longe o mais forte. O segundo é o perfil dos alunos: defasagem idade-série e nível socioeconômico. O terceiro é o contexto: localização diferenciada, zona rural e região do estado. A infraestrutura tem efeito real, porém modesto, e o porte da escola, isoladamente, não guarda relação detectável com o abandono.</w:t>
      </w:r>
    </w:p>
    <w:p w14:paraId="1648CD21">
      <w:pPr>
        <w:pStyle w:val="3"/>
        <w:ind w:firstLine="0"/>
        <w:rPr>
          <w:color w:val="2E75B5"/>
        </w:rPr>
      </w:pPr>
      <w:r>
        <w:rPr>
          <w:rFonts w:ascii="Arial" w:hAnsi="Arial" w:eastAsia="Arial" w:cs="Arial"/>
          <w:b w:val="0"/>
        </w:rPr>
        <w:t>Dois indicadores adicionais do INEP — esforço docente e complexidade de gestão — foram submetidos ao mesmo critério e não entraram no sistema. O primeiro tem relação fraca com o abandono; o segundo repete a informação já trazida pela defasagem idade-série. Uma comparação controlada, com e sem os dois, confirmou a ausência de ganho: a qualidade da ordenação ficou praticamente idêntica e o erro médio piorou ligeiramente. É o caso de dois funcionários que fazem o mesmo serviço — contratar o segundo não aumenta a produção. Ambos permanecem no projeto apenas como caracterização descritiva da rede.</w:t>
      </w:r>
    </w:p>
    <w:p w14:paraId="3F71063F">
      <w:pPr>
        <w:pStyle w:val="4"/>
        <w:numPr>
          <w:ilvl w:val="1"/>
          <w:numId w:val="1"/>
        </w:numPr>
      </w:pPr>
      <w:bookmarkStart w:id="43" w:name="_Toc27073"/>
      <w:r>
        <w:rPr>
          <w:rFonts w:ascii="Arial" w:hAnsi="Arial" w:eastAsia="Arial" w:cs="Arial"/>
          <w:b w:val="0"/>
        </w:rPr>
        <w:t>Desempenho do Sistema</w:t>
      </w:r>
      <w:bookmarkEnd w:id="43"/>
    </w:p>
    <w:p w14:paraId="4805032B">
      <w:pPr>
        <w:pStyle w:val="5"/>
        <w:numPr>
          <w:ilvl w:val="2"/>
          <w:numId w:val="1"/>
        </w:numPr>
      </w:pPr>
      <w:bookmarkStart w:id="44" w:name="_Toc1489"/>
      <w:r>
        <w:rPr>
          <w:rFonts w:ascii="Arial" w:hAnsi="Arial" w:eastAsia="Arial" w:cs="Arial"/>
          <w:b w:val="0"/>
        </w:rPr>
        <w:t>Como o Desempenho Foi Medido</w:t>
      </w:r>
      <w:bookmarkEnd w:id="44"/>
    </w:p>
    <w:p w14:paraId="02527F0D">
      <w:pPr>
        <w:pStyle w:val="3"/>
        <w:ind w:firstLine="0"/>
        <w:rPr>
          <w:color w:val="2E75B5"/>
        </w:rPr>
      </w:pPr>
      <w:r>
        <w:rPr>
          <w:rFonts w:ascii="Arial" w:hAnsi="Arial" w:eastAsia="Arial" w:cs="Arial"/>
          <w:b w:val="0"/>
        </w:rPr>
        <w:t>O desempenho foi medido sob dois protocolos complementares. O primeiro repete 20 vezes uma divisão em que 20% dos municípios ficam de fora do treino, o que produz uma faixa de confiança em vez de um número solitário e impede que escolas do mesmo município apareçam dos dois lados. O segundo é o teste mais exigente: treinar com o par 2022–2023 e prever o par 2023–2024, ou seja, um ano que o sistema nunca viu. É esse segundo protocolo que simula o uso real.</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E o acerto na lista prioritária (Precision@K) diz, entre as 10% de escolas apontadas como mais críticas, quantas realmente estavam entre as mais críticas. As duas últimas são as que importam para o propósito do sistema.</w:t>
      </w:r>
    </w:p>
    <w:p w14:paraId="242E4030">
      <w:pPr>
        <w:pStyle w:val="5"/>
        <w:numPr>
          <w:ilvl w:val="2"/>
          <w:numId w:val="1"/>
        </w:numPr>
      </w:pPr>
      <w:bookmarkStart w:id="45" w:name="_Toc5771"/>
      <w:r>
        <w:rPr>
          <w:rFonts w:ascii="Arial" w:hAnsi="Arial" w:eastAsia="Arial" w:cs="Arial"/>
          <w:b w:val="0"/>
        </w:rPr>
        <w:t>Resultados em Validação Repetida</w:t>
      </w:r>
      <w:bookmarkEnd w:id="45"/>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2,627 [2,348; 2,905]</w:t>
            </w:r>
          </w:p>
        </w:tc>
        <w:tc>
          <w:tcPr>
            <w:tcW w:w="2268" w:type="dxa"/>
          </w:tcPr>
          <w:p w14:paraId="2CC4EB99">
            <w:r>
              <w:rPr>
                <w:rFonts w:ascii="Arial" w:hAnsi="Arial" w:eastAsia="Arial" w:cs="Arial"/>
                <w:b w:val="0"/>
                <w:sz w:val="18"/>
              </w:rPr>
              <w:t>0,426 [0,391; 0,461]</w:t>
            </w:r>
          </w:p>
        </w:tc>
        <w:tc>
          <w:tcPr>
            <w:tcW w:w="2268" w:type="dxa"/>
          </w:tcPr>
          <w:p w14:paraId="3A3A912A">
            <w:r>
              <w:rPr>
                <w:rFonts w:ascii="Arial" w:hAnsi="Arial" w:eastAsia="Arial" w:cs="Arial"/>
                <w:b w:val="0"/>
                <w:sz w:val="18"/>
              </w:rPr>
              <w:t>0,516 [0,477; 0,556]</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[0,399; 0,463]</w:t>
            </w:r>
          </w:p>
        </w:tc>
        <w:tc>
          <w:tcPr>
            <w:tcW w:w="2268" w:type="dxa"/>
          </w:tcPr>
          <w:p w14:paraId="72813122">
            <w:r>
              <w:rPr>
                <w:rFonts w:ascii="Arial" w:hAnsi="Arial" w:eastAsia="Arial" w:cs="Arial"/>
                <w:b w:val="0"/>
                <w:sz w:val="18"/>
              </w:rPr>
              <w:t>0,500 [0,457; 0,544]</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2,695 [2,397; 2,992]</w:t>
            </w:r>
          </w:p>
        </w:tc>
        <w:tc>
          <w:tcPr>
            <w:tcW w:w="2268" w:type="dxa"/>
          </w:tcPr>
          <w:p w14:paraId="08161C3D">
            <w:r>
              <w:rPr>
                <w:rFonts w:ascii="Arial" w:hAnsi="Arial" w:eastAsia="Arial" w:cs="Arial"/>
                <w:b w:val="0"/>
                <w:sz w:val="18"/>
              </w:rPr>
              <w:t>0,458 [0,428; 0,488]</w:t>
            </w:r>
          </w:p>
        </w:tc>
        <w:tc>
          <w:tcPr>
            <w:tcW w:w="2268" w:type="dxa"/>
          </w:tcPr>
          <w:p w14:paraId="7C7BC5F6">
            <w:r>
              <w:rPr>
                <w:rFonts w:ascii="Arial" w:hAnsi="Arial" w:eastAsia="Arial" w:cs="Arial"/>
                <w:b w:val="0"/>
                <w:sz w:val="18"/>
              </w:rPr>
              <w:t>0,499 [0,463; 0,535]</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20AAE76">
      <w:pPr>
        <w:pStyle w:val="3"/>
        <w:ind w:firstLine="0"/>
        <w:rPr>
          <w:color w:val="2E75B5"/>
        </w:rPr>
      </w:pPr>
      <w:r>
        <w:rPr>
          <w:rFonts w:ascii="Arial" w:hAnsi="Arial" w:eastAsia="Arial" w:cs="Arial"/>
          <w:b w:val="0"/>
        </w:rPr>
        <w:t>A leitura das colunas é diferente. O erro médio melhora pouco: o sistema continua errando o valor exato da taxa. Já a ordenação e o acerto da lista prioritária melhoram muito. O modelo adotado alcança o melhor acerto de ordenação de todos, e das escolas que ele aponta como prioritárias cerca de metade estava de fato entre as mais críticas, contra 7 em cada 100 na escolha ao acaso — sete vezes mais.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66751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80000" cy="1667758"/>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46" w:name="_Toc5902"/>
      <w:r>
        <w:rPr>
          <w:rFonts w:ascii="Arial" w:hAnsi="Arial" w:eastAsia="Arial" w:cs="Arial"/>
          <w:b w:val="0"/>
        </w:rPr>
        <w:t>Resultados no Teste do Ano Nunca Visto</w:t>
      </w:r>
      <w:bookmarkEnd w:id="46"/>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2,890</w:t>
            </w:r>
          </w:p>
        </w:tc>
        <w:tc>
          <w:tcPr>
            <w:tcW w:w="1814" w:type="dxa"/>
          </w:tcPr>
          <w:p w14:paraId="7EFDDDD8">
            <w:r>
              <w:rPr>
                <w:rFonts w:ascii="Arial" w:hAnsi="Arial" w:eastAsia="Arial" w:cs="Arial"/>
                <w:b w:val="0"/>
                <w:sz w:val="18"/>
              </w:rPr>
              <w:t>0,329</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2,620</w:t>
            </w:r>
          </w:p>
        </w:tc>
        <w:tc>
          <w:tcPr>
            <w:tcW w:w="1814" w:type="dxa"/>
          </w:tcPr>
          <w:p w14:paraId="1073F006">
            <w:r>
              <w:rPr>
                <w:rFonts w:ascii="Arial" w:hAnsi="Arial" w:eastAsia="Arial" w:cs="Arial"/>
                <w:b w:val="0"/>
                <w:sz w:val="18"/>
              </w:rPr>
              <w:t>0,390</w:t>
            </w:r>
          </w:p>
        </w:tc>
        <w:tc>
          <w:tcPr>
            <w:tcW w:w="1587" w:type="dxa"/>
          </w:tcPr>
          <w:p w14:paraId="4548CA3E">
            <w:r>
              <w:rPr>
                <w:rFonts w:ascii="Arial" w:hAnsi="Arial" w:eastAsia="Arial" w:cs="Arial"/>
                <w:b w:val="0"/>
                <w:sz w:val="18"/>
              </w:rPr>
              <w:t>0,405</w:t>
            </w:r>
          </w:p>
        </w:tc>
        <w:tc>
          <w:tcPr>
            <w:tcW w:w="1871" w:type="dxa"/>
          </w:tcPr>
          <w:p w14:paraId="2C5DB115">
            <w:r>
              <w:rPr>
                <w:rFonts w:ascii="Arial" w:hAnsi="Arial" w:eastAsia="Arial" w:cs="Arial"/>
                <w:b w:val="0"/>
                <w:sz w:val="18"/>
              </w:rPr>
              <w:t>0,830</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eastAsia="Arial" w:cs="Arial"/>
          <w:b w:val="0"/>
        </w:rPr>
        <w:t>Nesse teste aparece o achado mais relevante da avaliação. Entre um ciclo e outro o abandono médio da rede caiu, e nenhum modelo superou o piso trivial no erro de magnitude: todos erram sistematicamente o nível da taxa. As medidas de ordenação, porém, permanecem muito acima do piso. O sistema continua identificando quais escolas terão abandono alto, mesmo errando o valor.</w:t>
      </w:r>
    </w:p>
    <w:p w14:paraId="5FA6047C">
      <w:pPr>
        <w:pStyle w:val="3"/>
        <w:ind w:firstLine="0"/>
        <w:rPr>
          <w:color w:val="2E75B5"/>
        </w:rPr>
      </w:pPr>
      <w:r>
        <w:rPr>
          <w:rFonts w:ascii="Arial" w:hAnsi="Arial" w:eastAsia="Arial" w:cs="Arial"/>
          <w:b w:val="0"/>
        </w:rPr>
        <w:t>A analogia é a de um termômetro descalibrado: ele erra alguns graus, mas aponta corretamente quem está com mais febre. Para priorizar intervenções, é a ordem que importa. A limitação de magnitude vem da janela curta de dados — apenas dois pares de anos — e está registrada entre as limitações do estudo.</w:t>
      </w:r>
    </w:p>
    <w:p w14:paraId="068320C4">
      <w:pPr>
        <w:pStyle w:val="3"/>
        <w:ind w:firstLine="0"/>
        <w:rPr>
          <w:color w:val="2E75B5"/>
        </w:rPr>
      </w:pPr>
      <w:r>
        <w:rPr>
          <w:rFonts w:ascii="Arial" w:hAnsi="Arial" w:eastAsia="Arial" w:cs="Arial"/>
          <w:b w:val="0"/>
        </w:rPr>
        <w:t>A última coluna traduz o mesmo resultado em uma medida comparável à da literatura, que costuma tratar evasão como uma classificação: a capacidade de separar as escolas críticas das demais chega a 0,830 para o modelo adotado, na faixa típica dos estudos da área.</w:t>
      </w:r>
    </w:p>
    <w:p w14:paraId="2277BBB5">
      <w:pPr>
        <w:pStyle w:val="4"/>
        <w:numPr>
          <w:ilvl w:val="1"/>
          <w:numId w:val="1"/>
        </w:numPr>
      </w:pPr>
      <w:bookmarkStart w:id="47" w:name="_Toc6429"/>
      <w:r>
        <w:rPr>
          <w:rFonts w:ascii="Arial" w:hAnsi="Arial" w:eastAsia="Arial" w:cs="Arial"/>
          <w:b w:val="0"/>
        </w:rPr>
        <w:t>Capacidade de Priorização</w:t>
      </w:r>
      <w:bookmarkEnd w:id="47"/>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indicadas pelo sistema, quantas das escolas realmente críticas são alcançadas? A resposta é obtida variando o tamanho da lista, sem reconstruir o sistema — uma propriedade que motivou a formulação adotada.</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30% das críticas, contra 6% da escolha ao acaso. A das 100 primeiras alcança 54% e a das 150 primeiras, 64%. É o princípio da triagem de um pronto-socorro: com vagas limitadas, a fila ordenada por gravidade encontra muito mais casos graves do que o atendimento por ordem de chegada.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13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580000" cy="1981382"/>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14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487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580000" cy="2135057"/>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4EEC5B">
      <w:pPr>
        <w:pStyle w:val="4"/>
        <w:numPr>
          <w:ilvl w:val="1"/>
          <w:numId w:val="1"/>
        </w:numPr>
      </w:pPr>
      <w:bookmarkStart w:id="48" w:name="_Toc29981"/>
      <w:r>
        <w:rPr>
          <w:rFonts w:ascii="Arial" w:hAnsi="Arial" w:eastAsia="Arial" w:cs="Arial"/>
          <w:b w:val="0"/>
        </w:rPr>
        <w:t>Explicação das Indicações</w:t>
      </w:r>
      <w:bookmarkEnd w:id="48"/>
    </w:p>
    <w:p w14:paraId="4564E80B">
      <w:pPr>
        <w:pStyle w:val="5"/>
        <w:numPr>
          <w:ilvl w:val="2"/>
          <w:numId w:val="1"/>
        </w:numPr>
      </w:pPr>
      <w:bookmarkStart w:id="49" w:name="_Toc13254"/>
      <w:r>
        <w:rPr>
          <w:rFonts w:ascii="Arial" w:hAnsi="Arial" w:eastAsia="Arial" w:cs="Arial"/>
          <w:b w:val="0"/>
        </w:rPr>
        <w:t>Visão Geral</w:t>
      </w:r>
      <w:bookmarkEnd w:id="49"/>
    </w:p>
    <w:p w14:paraId="5B8734FD">
      <w:pPr>
        <w:pStyle w:val="3"/>
        <w:ind w:firstLine="0"/>
        <w:rPr>
          <w:color w:val="2E75B5"/>
        </w:rPr>
      </w:pPr>
      <w:r>
        <w:rPr>
          <w:rFonts w:ascii="Arial" w:hAnsi="Arial" w:eastAsia="Arial" w:cs="Arial"/>
          <w:b w:val="0"/>
        </w:rPr>
        <w:t>Saber que uma escola está no topo da lista não basta; é preciso saber por quê. A técnica de explicação adotada decompõe cada previsão na contribuição de cada característica. Aplicada a todo o conjunto, ela mostra quais características mais pesam nas previsões do sistema: o histórico de abandono da própria escola é, de longe, o principal fator, seguido do abandono na 2ª e na 1ª série, do nível socioeconômico, da reprovação e da defasagem idade-série. Esse peso confirma um princípio conhecido: o melhor previsor do tempo de amanhã costuma ser o tempo de hoje.</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15 – Contribuição de cada característica para 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30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580000" cy="5302674"/>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0" w:name="_Toc21565"/>
      <w:r>
        <w:rPr>
          <w:rFonts w:ascii="Arial" w:hAnsi="Arial" w:eastAsia="Arial" w:cs="Arial"/>
          <w:b w:val="0"/>
        </w:rPr>
        <w:t>Direção dos Efeitos</w:t>
      </w:r>
      <w:bookmarkEnd w:id="50"/>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Essa coerência é um argumento de confiança: o sistema não está apenas acertando, está acertando pelas razões certas.</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16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1" w:name="_Toc8245"/>
      <w:r>
        <w:rPr>
          <w:rFonts w:ascii="Arial" w:hAnsi="Arial" w:eastAsia="Arial" w:cs="Arial"/>
          <w:b w:val="0"/>
        </w:rPr>
        <w:t>Explicação de Uma Escola</w:t>
      </w:r>
      <w:bookmarkEnd w:id="51"/>
    </w:p>
    <w:p w14:paraId="2C975AF9">
      <w:pPr>
        <w:pStyle w:val="3"/>
        <w:ind w:firstLine="0"/>
        <w:rPr>
          <w:color w:val="2E75B5"/>
        </w:rPr>
      </w:pPr>
      <w:r>
        <w:rPr>
          <w:rFonts w:ascii="Arial" w:hAnsi="Arial" w:eastAsia="Arial" w:cs="Arial"/>
          <w:b w:val="0"/>
        </w:rPr>
        <w:t>A decomposição também vale caso a caso. Para qualquer escola é possível mostrar como cada característica afastou sua previsão da média da rede — a diferença entre o mapa do clima de um país e a previsão do tempo de uma cidade. Na escola de maior risco previsto, uma escola estadual indígena no município de Jatobá, as maiores contribuições positivas vêm do histórico de abandono, da defasagem idade-série e do abandono na 2ª série. É exatamente esse tipo de explicação que o painel apresenta ao gestor para justificar cada indicação.</w:t>
      </w: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52" w:name="_Toc11300"/>
      <w:r>
        <w:rPr>
          <w:rFonts w:ascii="Arial" w:hAnsi="Arial" w:eastAsia="Arial" w:cs="Arial"/>
          <w:b w:val="0"/>
        </w:rPr>
        <w:t>Erros do Modelo e Equidade</w:t>
      </w:r>
      <w:bookmarkEnd w:id="52"/>
    </w:p>
    <w:p w14:paraId="4E9AC818">
      <w:pPr>
        <w:pStyle w:val="3"/>
        <w:ind w:firstLine="0"/>
        <w:rPr>
          <w:color w:val="2E75B5"/>
        </w:rPr>
      </w:pPr>
      <w:r>
        <w:rPr>
          <w:rFonts w:ascii="Arial" w:hAnsi="Arial" w:eastAsia="Arial" w:cs="Arial"/>
          <w:b w:val="0"/>
        </w:rPr>
        <w:t>A análise dos erros por grupo revelou um achado de equidade que precisa ser declarado. No teste do ano nunca visto, o sistema erra para mais nas escolas de localização diferenciada: prevê risco alto para escolas indígenas e quilombolas cujo abandono observado é próximo de zero. O erro médio nesse grupo é de −4,09 pontos percentuais, contra +0,42 nas urbanas e −1,02 nas rurais.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capturam. O perfil dessas escolas — rural, baixo nível socioeconômico, alta defasagem idade-série — está associado a abandono alto, mas o abandono observado não acontece. É um caso parecido com o de um seguro de automóvel que cobra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A limitação está registrada no painel e é o primeiro item dos trabalhos futuros.</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53" w:name="_Toc4352"/>
      <w:r>
        <w:rPr>
          <w:rFonts w:ascii="Arial" w:hAnsi="Arial" w:eastAsia="Arial" w:cs="Arial"/>
          <w:b w:val="0"/>
        </w:rPr>
        <w:t>O Painel de Priorização ao Gestor</w:t>
      </w:r>
      <w:bookmarkEnd w:id="53"/>
    </w:p>
    <w:p w14:paraId="60AF4A93">
      <w:pPr>
        <w:pStyle w:val="3"/>
        <w:ind w:firstLine="0"/>
        <w:rPr>
          <w:color w:val="2E75B5"/>
        </w:rPr>
      </w:pPr>
      <w:r>
        <w:rPr>
          <w:rFonts w:ascii="Arial" w:hAnsi="Arial" w:eastAsia="Arial" w:cs="Arial"/>
          <w:b w:val="0"/>
        </w:rPr>
        <w:t>O sistema culmina em um painel interativo que coloca o modelo nas mãos do gestor, atendendo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 o equivalente a um laudo individual.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Uma ressalva fica explícita na própria tela: as previsões exibidas foram calculadas sobre dados que o modelo conhece, e a estimativa honesta de desempenho é a do teste do ano nunca visto.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54" w:name="_Toc32743"/>
      <w:r>
        <w:rPr>
          <w:rFonts w:ascii="Arial" w:hAnsi="Arial" w:eastAsia="Arial" w:cs="Arial"/>
          <w:b w:val="0"/>
        </w:rPr>
        <w:t>Síntese dos Resultados</w:t>
      </w:r>
      <w:bookmarkEnd w:id="54"/>
    </w:p>
    <w:p w14:paraId="3A43783E">
      <w:pPr>
        <w:pStyle w:val="3"/>
        <w:ind w:firstLine="0"/>
        <w:rPr>
          <w:color w:val="2E75B5"/>
        </w:rPr>
      </w:pPr>
      <w:r>
        <w:rPr>
          <w:rFonts w:ascii="Arial" w:hAnsi="Arial" w:eastAsia="Arial" w:cs="Arial"/>
          <w:b w:val="0"/>
        </w:rPr>
        <w:t>Os resultados podem ser resumidos em cinco pontos. Primeiro, o sistema é confiável no que se propõe: uma suíte de 98 testes cobre os erros que passariam despercebidos, e os resultados são reproduzíveis a partir dos dados originais.</w:t>
      </w:r>
    </w:p>
    <w:p w14:paraId="7B06D878">
      <w:pPr>
        <w:pStyle w:val="3"/>
        <w:ind w:firstLine="0"/>
        <w:rPr>
          <w:color w:val="2E75B5"/>
        </w:rPr>
      </w:pPr>
      <w:r>
        <w:rPr>
          <w:rFonts w:ascii="Arial" w:hAnsi="Arial" w:eastAsia="Arial" w:cs="Arial"/>
          <w:b w:val="0"/>
        </w:rPr>
        <w:t>Segundo, o conjunto de características é enxuto e justificado: 39 colunas escolhidas entre mais de 400, com análise estatística individual e critérios explícitos de corte.</w:t>
      </w:r>
    </w:p>
    <w:p w14:paraId="0DD60FA7">
      <w:pPr>
        <w:pStyle w:val="3"/>
        <w:ind w:firstLine="0"/>
        <w:rPr>
          <w:color w:val="2E75B5"/>
        </w:rPr>
      </w:pPr>
      <w:r>
        <w:rPr>
          <w:rFonts w:ascii="Arial" w:hAnsi="Arial" w:eastAsia="Arial" w:cs="Arial"/>
          <w:b w:val="0"/>
        </w:rPr>
        <w:t>Terceiro, o sistema acerta a ordem, não a magnitude. Ele erra o valor exato da taxa, mas ordena as escolas com qualidade útil — e é a ordem que a decisão do gestor requer.</w:t>
      </w:r>
    </w:p>
    <w:p w14:paraId="792A7F03">
      <w:pPr>
        <w:pStyle w:val="3"/>
        <w:ind w:firstLine="0"/>
        <w:rPr>
          <w:color w:val="2E75B5"/>
        </w:rPr>
      </w:pPr>
      <w:r>
        <w:rPr>
          <w:rFonts w:ascii="Arial" w:hAnsi="Arial" w:eastAsia="Arial" w:cs="Arial"/>
          <w:b w:val="0"/>
        </w:rPr>
        <w:t>Quarto, o ganho prático é mensurável: das escolas apontadas como prioritárias, cerca de metade estava de fato entre as mais críticas, contra 7 em cada 100 na escolha ao acaso; e uma lista de 150 escolas alcança quase dois terços das escolas críticas da rede.</w:t>
      </w:r>
    </w:p>
    <w:p w14:paraId="693241E1">
      <w:pPr>
        <w:pStyle w:val="3"/>
        <w:ind w:firstLine="0"/>
        <w:rPr>
          <w:color w:val="2E75B5"/>
        </w:rPr>
      </w:pPr>
      <w:r>
        <w:rPr>
          <w:rFonts w:ascii="Arial" w:hAnsi="Arial" w:eastAsia="Arial" w:cs="Arial"/>
          <w:b w:val="0"/>
        </w:rPr>
        <w:t>Quinto, cada indicação é explicável, o que permite ao gestor concordar ou discordar com argumento — e é também o que expõe, de forma transparente, a limitação de equidade nas escolas de localização diferenciada.</w:t>
      </w:r>
    </w:p>
    <w:p w14:paraId="78BAA92B">
      <w:pPr>
        <w:pStyle w:val="2"/>
        <w:numPr>
          <w:ilvl w:val="0"/>
          <w:numId w:val="1"/>
        </w:numPr>
        <w:rPr>
          <w:color w:val="000000"/>
        </w:rPr>
      </w:pPr>
      <w:bookmarkStart w:id="55" w:name="_Toc29810"/>
      <w:bookmarkStart w:id="60" w:name="_GoBack"/>
      <w:bookmarkEnd w:id="60"/>
      <w:r>
        <w:rPr>
          <w:rFonts w:ascii="Arial" w:hAnsi="Arial" w:eastAsia="Arial" w:cs="Arial"/>
          <w:b w:val="0"/>
        </w:rPr>
        <w:t>Conclusões e Trabalhos Futuros</w:t>
      </w:r>
      <w:bookmarkEnd w:id="55"/>
    </w:p>
    <w:p w14:paraId="2B49EC9B">
      <w:pPr>
        <w:pStyle w:val="4"/>
        <w:numPr>
          <w:ilvl w:val="1"/>
          <w:numId w:val="1"/>
        </w:numPr>
      </w:pPr>
      <w:bookmarkStart w:id="56" w:name="_Toc17921"/>
      <w:r>
        <w:rPr>
          <w:rFonts w:ascii="Arial" w:hAnsi="Arial" w:eastAsia="Arial" w:cs="Arial"/>
          <w:b w:val="0"/>
        </w:rPr>
        <w:t>Conclusões</w:t>
      </w:r>
      <w:bookmarkEnd w:id="56"/>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 xml:space="preserve">Resposta à pergunta de previsão (P2). </w:t>
      </w:r>
      <w:r>
        <w:rPr>
          <w:rFonts w:ascii="Arial" w:hAnsi="Arial" w:eastAsia="Arial" w:cs="Arial"/>
        </w:rPr>
        <w:t>Sim, com uma qualificação que é ela própria um resultado: o sistema identifica quais escolas terão abandono elevado, mas não estima quanto. O acerto da ordenação foi de 0,458 na validação repetida e de 0,390 no teste do ano nunca visto, e a capacidade de separar as escolas críticas das demais chegou a 0,830.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(P3).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−27,98 a +23,70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 a escola que foge ao padrão e o modelo que não enxerga um fator — faz parte da resposta.</w:t>
      </w:r>
    </w:p>
    <w:p w14:paraId="0AE112BC">
      <w:pPr>
        <w:pStyle w:val="3"/>
        <w:ind w:firstLine="0"/>
        <w:rPr>
          <w:color w:val="2E75B5"/>
        </w:rPr>
      </w:pPr>
      <w:r>
        <w:rPr>
          <w:rFonts w:ascii="Arial" w:hAnsi="Arial" w:eastAsia="Arial" w:cs="Arial"/>
          <w:b w:val="0"/>
        </w:rPr>
        <w:t>Sobre o problema: a evasão na rede estadual não é um fenômeno difuso, e sim concentrado. Em 2024, 10% das escolas responderam por 76% dos alunos que abandonaram, enquanto dois terços das escolas não registraram nenhum caso. Esse recorte é o que justifica um sistema de priorização em vez de um acompanhamento pela média da rede.</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64% das escolas críticas da rede, contra 19% da escolha ao acaso.</w:t>
      </w:r>
    </w:p>
    <w:p w14:paraId="526B2FEA">
      <w:pPr>
        <w:pStyle w:val="3"/>
        <w:ind w:firstLine="0"/>
        <w:rPr>
          <w:color w:val="2E75B5"/>
        </w:rPr>
      </w:pPr>
      <w:r>
        <w:rPr>
          <w:rFonts w:ascii="Arial" w:hAnsi="Arial" w:eastAsia="Arial" w:cs="Arial"/>
          <w:b w:val="0"/>
        </w:rPr>
        <w:t>Sobre a engenharia: o sistema foi construído com arquitetura em camadas, dependências em sentido único, 98 testes automatizados e reprodutibilidade completa a partir dos dados originais. Essas propriedades não são acessórias —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8C353BC">
      <w:pPr>
        <w:pStyle w:val="4"/>
        <w:numPr>
          <w:ilvl w:val="1"/>
          <w:numId w:val="1"/>
        </w:numPr>
      </w:pPr>
      <w:bookmarkStart w:id="57" w:name="_Toc10996"/>
      <w:r>
        <w:rPr>
          <w:rFonts w:ascii="Arial" w:hAnsi="Arial" w:eastAsia="Arial" w:cs="Arial"/>
          <w:b w:val="0"/>
        </w:rPr>
        <w:t>Trabalhos Futuros</w:t>
      </w:r>
      <w:bookmarkEnd w:id="57"/>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 a verificação final de que a ferramenta cumpre o propósito para o qual foi construída.</w:t>
      </w:r>
    </w:p>
    <w:p w14:paraId="74A766AA">
      <w:pPr>
        <w:pStyle w:val="8"/>
        <w:rPr>
          <w:color w:val="000000"/>
        </w:rPr>
      </w:pPr>
      <w:bookmarkStart w:id="58" w:name="_Toc31146"/>
      <w:r>
        <w:rPr>
          <w:rFonts w:ascii="Arial" w:hAnsi="Arial" w:eastAsia="Arial" w:cs="Arial"/>
          <w:b w:val="0"/>
        </w:rPr>
        <w:t>Referências</w:t>
      </w:r>
      <w:bookmarkEnd w:id="58"/>
    </w:p>
    <w:p w14:paraId="71D7381E">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w:t>
      </w:r>
    </w:p>
    <w:p w14:paraId="3898415D">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w:t>
      </w:r>
    </w:p>
    <w:p w14:paraId="64A09DD4">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17B44B3E">
      <w:pPr>
        <w:pStyle w:val="3"/>
        <w:ind w:firstLine="0"/>
        <w:rPr>
          <w:color w:val="2E75B5"/>
        </w:rPr>
      </w:pPr>
      <w:r>
        <w:rPr>
          <w:rFonts w:ascii="Arial" w:hAnsi="Arial" w:eastAsia="Arial" w:cs="Arial"/>
          <w:b w:val="0"/>
        </w:rPr>
        <w:t>FREIRE, P. Pedagogia do oprimido. 17. ed. Rio de Janeiro: Paz e Terra, 1987.</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50EF1FD9">
      <w:pPr>
        <w:pStyle w:val="3"/>
        <w:ind w:firstLine="0"/>
        <w:rPr>
          <w:color w:val="2E75B5"/>
        </w:rPr>
      </w:pPr>
      <w:r>
        <w:rPr>
          <w:rFonts w:ascii="Arial" w:hAnsi="Arial" w:eastAsia="Arial" w:cs="Arial"/>
          <w:b w:val="0"/>
        </w:rPr>
        <w:t>Nota ao autor: esta lista contém apenas as fontes efetivamente utilizadas no desenvolvimento do sistema. As referências da fundamentação teórica e dos trabalhos relacionados (Capítulo 2) devem ser acrescentadas conforme a bibliografia consultada.</w:t>
      </w:r>
    </w:p>
    <w:p w14:paraId="6FD186B2">
      <w:pPr>
        <w:pStyle w:val="8"/>
        <w:rPr>
          <w:color w:val="000000"/>
        </w:rPr>
      </w:pPr>
      <w:bookmarkStart w:id="59" w:name="_Toc13703"/>
      <w:r>
        <w:rPr>
          <w:rFonts w:ascii="Arial" w:hAnsi="Arial" w:eastAsia="Arial" w:cs="Arial"/>
          <w:b w:val="0"/>
        </w:rPr>
        <w:t>Apêndice A – Relação das 39 características usadas pelo sistema</w:t>
      </w:r>
      <w:bookmarkEnd w:id="59"/>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0C6155C3">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1436BDD6-F63B-4EB6-ABC8-2284A755E28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D82BA9EF-951A-444B-83E5-B28B52244E64}"/>
  </w:font>
  <w:font w:name="Wingdings">
    <w:panose1 w:val="05000000000000000000"/>
    <w:charset w:val="02"/>
    <w:family w:val="auto"/>
    <w:pitch w:val="default"/>
    <w:sig w:usb0="00000000" w:usb1="00000000" w:usb2="00000000" w:usb3="00000000" w:csb0="80000000" w:csb1="00000000"/>
    <w:embedRegular r:id="rId3" w:fontKey="{29FEC689-1C3E-4794-AB8E-45E69B619966}"/>
  </w:font>
  <w:font w:name="Calibri">
    <w:panose1 w:val="020F0502020204030204"/>
    <w:charset w:val="00"/>
    <w:family w:val="swiss"/>
    <w:pitch w:val="default"/>
    <w:sig w:usb0="E4002EFF" w:usb1="C200247B" w:usb2="00000009" w:usb3="00000000" w:csb0="200001FF" w:csb1="00000000"/>
    <w:embedRegular r:id="rId4" w:fontKey="{2C5E94B9-B271-407F-ABC9-97CC830B8B35}"/>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69A88999-350F-4A13-9EAC-301F02DBD1C3}"/>
  </w:font>
  <w:font w:name="Liberation Sans">
    <w:panose1 w:val="020B0604020202020204"/>
    <w:charset w:val="00"/>
    <w:family w:val="swiss"/>
    <w:pitch w:val="default"/>
    <w:sig w:usb0="E0000AFF" w:usb1="500078FF" w:usb2="00000021" w:usb3="00000000" w:csb0="600001BF" w:csb1="DFF70000"/>
    <w:embedRegular r:id="rId6" w:fontKey="{F620DD22-BD5D-41AE-B2D6-72273874D44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documentProtection w:enforcement="0"/>
  <w:defaultTabStop w:val="720"/>
  <w:autoHyphenation/>
  <w:hyphenationZone w:val="0"/>
  <w:footnotePr>
    <w:footnote w:id="0"/>
    <w:footnote w:id="1"/>
  </w:footnotePr>
  <w:endnotePr>
    <w:endnote w:id="0"/>
    <w:endnote w:id="1"/>
  </w:endnotePr>
  <w:compat>
    <w:compatSetting w:name="compatibilityMode" w:uri="http://schemas.microsoft.com/office/word" w:val="15"/>
  </w:compat>
  <w:rsids>
    <w:rsidRoot w:val="00000000"/>
    <w:rsid w:val="03E75FC9"/>
    <w:rsid w:val="37816D17"/>
    <w:rsid w:val="46E010FE"/>
    <w:rsid w:val="54BC7DEB"/>
    <w:rsid w:val="59E678F3"/>
    <w:rsid w:val="79F53997"/>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11">
    <w:name w:val="Body Text"/>
    <w:basedOn w:val="1"/>
    <w:qFormat/>
    <w:uiPriority w:val="0"/>
    <w:pPr>
      <w:spacing w:before="0" w:after="140" w:line="276" w:lineRule="auto"/>
    </w:pPr>
  </w:style>
  <w:style w:type="paragraph" w:styleId="12">
    <w:name w:val="caption"/>
    <w:basedOn w:val="1"/>
    <w:qFormat/>
    <w:uiPriority w:val="0"/>
    <w:pPr>
      <w:suppressLineNumbers/>
      <w:spacing w:before="120" w:after="120"/>
    </w:pPr>
    <w:rPr>
      <w:rFonts w:cs="Arial"/>
      <w:i/>
      <w:iCs/>
      <w:sz w:val="24"/>
      <w:szCs w:val="24"/>
    </w:rPr>
  </w:style>
  <w:style w:type="paragraph" w:styleId="13">
    <w:name w:val="header"/>
    <w:basedOn w:val="14"/>
    <w:qFormat/>
    <w:uiPriority w:val="0"/>
  </w:style>
  <w:style w:type="paragraph" w:customStyle="1" w:styleId="14">
    <w:name w:val="Cabeçalho e rodapé"/>
    <w:basedOn w:val="1"/>
    <w:qFormat/>
    <w:uiPriority w:val="0"/>
  </w:style>
  <w:style w:type="character" w:styleId="15">
    <w:name w:val="Hyperlink"/>
    <w:qFormat/>
    <w:uiPriority w:val="0"/>
    <w:rPr>
      <w:color w:val="000080"/>
      <w:u w:val="single"/>
    </w:rPr>
  </w:style>
  <w:style w:type="paragraph" w:styleId="16">
    <w:name w:val="List"/>
    <w:basedOn w:val="11"/>
    <w:qFormat/>
    <w:uiPriority w:val="0"/>
    <w:rPr>
      <w:rFonts w:cs="Arial"/>
    </w:rPr>
  </w:style>
  <w:style w:type="paragraph" w:styleId="17">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18">
    <w:name w:val="Title"/>
    <w:basedOn w:val="3"/>
    <w:next w:val="3"/>
    <w:qFormat/>
    <w:uiPriority w:val="0"/>
    <w:pPr>
      <w:keepNext/>
      <w:keepLines/>
      <w:pageBreakBefore w:val="0"/>
      <w:spacing w:before="480" w:after="120" w:line="240" w:lineRule="auto"/>
    </w:pPr>
    <w:rPr>
      <w:b/>
      <w:bCs/>
      <w:sz w:val="72"/>
      <w:szCs w:val="72"/>
    </w:r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qFormat/>
    <w:uiPriority w:val="0"/>
    <w:pPr>
      <w:ind w:left="840" w:leftChars="400"/>
    </w:pPr>
  </w:style>
  <w:style w:type="paragraph" w:styleId="22">
    <w:name w:val="toc 6"/>
    <w:basedOn w:val="1"/>
    <w:next w:val="1"/>
    <w:qFormat/>
    <w:uiPriority w:val="0"/>
    <w:pPr>
      <w:ind w:left="2100" w:leftChars="1000"/>
    </w:pPr>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
    <w:basedOn w:val="1"/>
    <w:next w:val="11"/>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1"/>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59</Pages>
  <Words>9961</Words>
  <Characters>54488</Characters>
  <Paragraphs>463</Paragraphs>
  <TotalTime>16</TotalTime>
  <ScaleCrop>false</ScaleCrop>
  <LinksUpToDate>false</LinksUpToDate>
  <CharactersWithSpaces>64076</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2026-07-24T00:22:19Z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1033-12.1.0.27458</vt:lpwstr>
  </property>
  <property fmtid="{D5CDD505-2E9C-101B-9397-08002B2CF9AE}" pid="5" name="KSOTemplateDocerSaveRecord">
    <vt:lpwstr>eyJoZGlkIjoiNzgyNTQwY2RlMDIwNzkxMTA1ZGEyZjUwMTQ2ODA2NjAiLCJ1c2VySWQiOiIxNjY2NTk4MDEzMDg0In0=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