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1E1FD561">
      <w:pPr>
        <w:pStyle w:val="3"/>
        <w:spacing w:line="259" w:lineRule="auto"/>
        <w:jc w:val="lef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656DB2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EE689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352C1A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1C444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B34ADC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3809CA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6FBCDF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D1CAA4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473446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5D2ECB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EE458A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8F27DE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725064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1B327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14F4F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50FFA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auto"/>
          <w:position w:val="0"/>
          <w:sz w:val="24"/>
          <w:szCs w:val="24"/>
          <w:highlight w:val="none"/>
          <w:u w:val="none"/>
          <w:shd w:val="clear" w:fill="auto"/>
          <w:vertAlign w:val="baseline"/>
        </w:rPr>
      </w:pPr>
      <w:r>
        <w:rPr>
          <w:rFonts w:eastAsia="Arial" w:cs="Arial"/>
          <w:b/>
          <w:bCs/>
          <w:i w:val="0"/>
          <w:iCs w:val="0"/>
          <w:smallCaps/>
          <w:strike w:val="0"/>
          <w:dstrike w:val="0"/>
          <w:color w:val="auto"/>
          <w:position w:val="0"/>
          <w:sz w:val="24"/>
          <w:szCs w:val="24"/>
          <w:highlight w:val="none"/>
          <w:u w:val="none"/>
          <w:shd w:val="clear" w:fill="auto"/>
          <w:vertAlign w:val="baseline"/>
        </w:rPr>
        <w:t>AGRADECIMENTOS</w:t>
      </w:r>
    </w:p>
    <w:p w14:paraId="1DF9DB61">
      <w:pPr>
        <w:pStyle w:val="3"/>
        <w:rPr>
          <w:color w:val="auto"/>
          <w:highlight w:val="none"/>
        </w:rPr>
      </w:pPr>
    </w:p>
    <w:p w14:paraId="6B6B2EAD">
      <w:pPr>
        <w:pStyle w:val="3"/>
        <w:rPr>
          <w:rFonts w:hint="default"/>
          <w:color w:val="auto"/>
          <w:highlight w:val="none"/>
          <w:lang w:val="pt-BR"/>
        </w:rPr>
      </w:pPr>
      <w:r>
        <w:rPr>
          <w:color w:val="auto"/>
          <w:highlight w:val="none"/>
        </w:rPr>
        <w:t xml:space="preserve">Ao professor Silvio Luiz Stanzani, meu orientador, agradeço a leitura atenta e as observações precisas que deram forma a este trabalho. </w:t>
      </w:r>
      <w:r>
        <w:rPr>
          <w:rFonts w:hint="default"/>
          <w:color w:val="auto"/>
          <w:highlight w:val="none"/>
          <w:lang w:val="pt-BR"/>
        </w:rPr>
        <w:t xml:space="preserve">Auxiliou </w:t>
      </w:r>
      <w:r>
        <w:rPr>
          <w:color w:val="auto"/>
          <w:highlight w:val="none"/>
        </w:rPr>
        <w:t xml:space="preserve"> para definir o problema</w:t>
      </w:r>
      <w:r>
        <w:rPr>
          <w:rFonts w:hint="default"/>
          <w:color w:val="auto"/>
          <w:highlight w:val="none"/>
          <w:lang w:val="pt-BR"/>
        </w:rPr>
        <w:t xml:space="preserve"> e como seguir ate a conclusão.</w:t>
      </w:r>
    </w:p>
    <w:p w14:paraId="5A487436">
      <w:pPr>
        <w:pStyle w:val="3"/>
        <w:rPr>
          <w:color w:val="auto"/>
          <w:highlight w:val="none"/>
        </w:rPr>
      </w:pPr>
      <w:r>
        <w:rPr>
          <w:color w:val="auto"/>
          <w:highlight w:val="none"/>
        </w:rPr>
        <w:t xml:space="preserve">A Raimunda Cláudia, minha companheira, por seu incentivo </w:t>
      </w:r>
      <w:r>
        <w:rPr>
          <w:rFonts w:hint="default"/>
          <w:color w:val="auto"/>
          <w:highlight w:val="none"/>
          <w:lang w:val="pt-BR"/>
        </w:rPr>
        <w:t>e apoio sempre que precisei</w:t>
      </w:r>
      <w:r>
        <w:rPr>
          <w:color w:val="auto"/>
          <w:highlight w:val="none"/>
        </w:rPr>
        <w:t>.</w:t>
      </w:r>
    </w:p>
    <w:p w14:paraId="6B1FAAB8">
      <w:pPr>
        <w:pStyle w:val="3"/>
        <w:rPr>
          <w:color w:val="auto"/>
          <w:highlight w:val="none"/>
        </w:rPr>
      </w:pPr>
      <w:r>
        <w:rPr>
          <w:color w:val="auto"/>
          <w:highlight w:val="none"/>
        </w:rPr>
        <w:t>À minha família, que sempre tratou o estudo como algo digno de esforço, e aos amigos que acompanharam cada etapa desta especialização.</w:t>
      </w:r>
    </w:p>
    <w:p w14:paraId="12A1E6D9">
      <w:pPr>
        <w:pStyle w:val="3"/>
        <w:rPr>
          <w:color w:val="auto"/>
          <w:highlight w:val="none"/>
        </w:rPr>
      </w:pPr>
      <w:r>
        <w:rPr>
          <w:color w:val="auto"/>
          <w:highlight w:val="none"/>
        </w:rPr>
        <w:t>À Pontifícia Universidade Católica de São Paulo e ao corpo docente da Especialização em Engenharia de Software, pela formação sólida e pelo ambiente de discussão que tornaram este trabalho possível.</w:t>
      </w:r>
    </w:p>
    <w:p w14:paraId="2BE616FC">
      <w:pPr>
        <w:pStyle w:val="3"/>
        <w:rPr>
          <w:b/>
          <w:bCs/>
          <w:color w:val="auto"/>
          <w:highlight w:val="none"/>
        </w:rPr>
      </w:pPr>
      <w:r>
        <w:rPr>
          <w:color w:val="auto"/>
          <w:highlight w:val="none"/>
        </w:rP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position w:val="0"/>
          <w:sz w:val="24"/>
          <w:szCs w:val="24"/>
          <w:u w:val="none"/>
          <w:shd w:val="clear" w:fill="auto"/>
          <w:vertAlign w:val="baseline"/>
        </w:rPr>
        <w:t>Ninguém educa ninguém, ninguém educa a si mesmo, os homens se educam entre si, mediatizados pelo mundo. (FREIRE, 1987, p. 39).</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caiu de 2,05% em 2022 para 0,96% em 2024. Mas a média esconde o problema real: em 2024, dois terços das escolas não registraram nenhum abandono, enquanto 10% delas concentraram 76% dos 2.043 alunos que deixaram a escola. Este trabalho desenvolve um sistema que identifica antecipadamente as escolas de maior risco, adotando a escola, e não o aluno, como unidade de análise. O sistema reúne dados públicos do INEP — Censo Escolar de 2022 a 2024, taxas de rendimento e quatro indicadores complementares — e deriva 39 características por escola. Com elas, estima a taxa de abandono do ano seguinte por árvores impulsionadas por gradiente, comparadas a modelos de referência. A validação impede a mistura de municípios entre treino e teste e respeita a ordem dos anos. Cada previsão é decomposta na contribuição de cada característica, o que mostra quais elevaram ou reduziram o risco daquela escola. O resultado chega ao gestor em um painel que ordena as escolas por risco e explica cada indicação. O sistema acerta a ordem das escolas muito melhor que o valor da taxa: entre as apontadas como prioritárias, cerca de metade está de fato entre as mais críticas, contra 7 em cada 100 na escolha ao acaso. No teste mais exigente, prever um ano que o sistema não viu, uma lista de 150 escolas alcança mais da metade das escolas críticas da rede. Os principais sinais de risco são o histórico recente de abandono, a reprovação e a defasagem entre idade e série. Registra-se ainda uma limitação de equidade: o sistema superestima o risco nas escolas indígenas e quilombolas.</w:t>
      </w:r>
    </w:p>
    <w:p w14:paraId="31B565F5">
      <w:pPr>
        <w:pStyle w:val="3"/>
        <w:ind w:firstLine="0"/>
        <w:rPr>
          <w:color w:val="2E75B5"/>
        </w:rPr>
      </w:pPr>
      <w:r>
        <w:rPr>
          <w:rFonts w:ascii="Arial" w:hAnsi="Arial" w:eastAsia="Arial" w:cs="Arial"/>
          <w:b w:val="0"/>
        </w:rPr>
        <w:t>Palavras-chave: Evasão escolar. Priorização de escolas. Aprendizado de máquina.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fell from 2.05% in 2022 to 0.96% in 2024. But the average hides the real problem: in 2024, two thirds of the schools recorded no dropout at all, while 10% of them concentrated 76% of the 2,043 students who left school. This work develops a system that identifies in advance the schools at highest risk, taking the school, not the student, as the unit of analysis. The system gathers public data from INEP — the School Census from 2022 to 2024, performance rates and four complementary indicators — and derives 39 characteristics per school. From these it estimates the dropout rate of the following year with a gradient boosted tree model, compared against baseline models. The validation scheme prevents municipalities from being split across training and test sets and respects the ordering of the years. Each prediction is decomposed into the contribution of every characteristic, showing which ones raised or lowered that school's risk. The result reaches the manager through a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predicting a year the system has never seen, a list of 150 schools reaches more than half of the critical schools in the network. Recent dropout history, grade retention and the gap between age and grade are the main risk signals. An equity limitation is also reported: the system overestimates risk in indigenous and quilombola schools.</w:t>
      </w:r>
    </w:p>
    <w:p w14:paraId="3D8D40F5">
      <w:pPr>
        <w:pStyle w:val="3"/>
        <w:ind w:firstLine="0"/>
        <w:rPr>
          <w:color w:val="2E75B5"/>
        </w:rPr>
      </w:pPr>
      <w:r>
        <w:rPr>
          <w:rFonts w:ascii="Arial" w:hAnsi="Arial" w:eastAsia="Arial" w:cs="Arial"/>
          <w:b w:val="0"/>
        </w:rPr>
        <w:t>Keywords: School dropout. School prioritization. Machine learning.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12CBFCCB">
      <w:pPr>
        <w:pStyle w:val="3"/>
        <w:ind w:firstLine="0"/>
        <w:rPr>
          <w:color w:val="2E75B5"/>
        </w:rPr>
      </w:pPr>
      <w:r>
        <w:rPr>
          <w:rFonts w:ascii="Arial" w:hAnsi="Arial"/>
          <w:sz w:val="22"/>
        </w:rPr>
        <w:t>Figura 13 – Desempenho do modelo adotado em cada transição anual (2022→2023 e 2023→2024)</w:t>
      </w:r>
    </w:p>
    <w:p w14:paraId="3199E1D8">
      <w:pPr>
        <w:pStyle w:val="3"/>
        <w:ind w:firstLine="0"/>
        <w:rPr>
          <w:color w:val="2E75B5"/>
        </w:rPr>
      </w:pPr>
      <w:r>
        <w:rPr>
          <w:rFonts w:ascii="Arial" w:hAnsi="Arial"/>
          <w:sz w:val="22"/>
        </w:rPr>
        <w:t>Figura 14 – Resíduo do modelo por escola, em número de alunos que abandonaram o ensino médio, nas transições 2022–2023 e 2023–2024</w:t>
      </w:r>
    </w:p>
    <w:p w14:paraId="0BCC53AB">
      <w:pPr>
        <w:pStyle w:val="3"/>
        <w:ind w:firstLine="0"/>
        <w:rPr>
          <w:color w:val="2E75B5"/>
        </w:rPr>
      </w:pPr>
      <w:r>
        <w:rPr>
          <w:rFonts w:ascii="Arial" w:hAnsi="Arial"/>
          <w:sz w:val="22"/>
        </w:rPr>
        <w:t>Figura 15 – Ganho prático da lista de prioridade em relação à escolha ao acaso</w:t>
      </w:r>
    </w:p>
    <w:p w14:paraId="243493A6">
      <w:pPr>
        <w:pStyle w:val="3"/>
        <w:ind w:firstLine="0"/>
        <w:rPr>
          <w:color w:val="2E75B5"/>
        </w:rPr>
      </w:pPr>
      <w:r>
        <w:rPr>
          <w:rFonts w:ascii="Arial" w:hAnsi="Arial"/>
          <w:sz w:val="22"/>
        </w:rPr>
        <w:t>Figura 16 – Acerto e alcance da lista para diferentes tamanhos de lista</w:t>
      </w:r>
    </w:p>
    <w:p w14:paraId="145FB100">
      <w:pPr>
        <w:pStyle w:val="3"/>
        <w:ind w:firstLine="0"/>
        <w:rPr>
          <w:color w:val="2E75B5"/>
        </w:rPr>
      </w:pPr>
      <w:r>
        <w:rPr>
          <w:rFonts w:ascii="Arial" w:hAnsi="Arial"/>
          <w:sz w:val="22"/>
        </w:rPr>
        <w:t>Figura 17 – Contribuição de cada característica para as previsões do sistema</w:t>
      </w:r>
    </w:p>
    <w:p w14:paraId="44E8BD78">
      <w:pPr>
        <w:pStyle w:val="3"/>
        <w:ind w:firstLine="0"/>
        <w:rPr>
          <w:color w:val="2E75B5"/>
        </w:rPr>
      </w:pPr>
      <w:r>
        <w:rPr>
          <w:rFonts w:ascii="Arial" w:hAnsi="Arial"/>
          <w:sz w:val="22"/>
        </w:rPr>
        <w:t>Figura 18 – Peso e direção de cada característica nas previsões do sistema</w:t>
      </w:r>
    </w:p>
    <w:p w14:paraId="4F99997E">
      <w:pPr>
        <w:pStyle w:val="3"/>
        <w:ind w:firstLine="0"/>
        <w:rPr>
          <w:color w:val="2E75B5"/>
        </w:rPr>
      </w:pPr>
      <w:r>
        <w:rPr>
          <w:rFonts w:ascii="Arial" w:hAnsi="Arial"/>
          <w:sz w:val="22"/>
        </w:rPr>
        <w:t>Figura 19 – Explicação individual da escola de maior risco previsto</w:t>
      </w:r>
    </w:p>
    <w:p w14:paraId="1A68FE01">
      <w:pPr>
        <w:pStyle w:val="3"/>
        <w:ind w:firstLine="0"/>
        <w:rPr>
          <w:color w:val="2E75B5"/>
        </w:rPr>
      </w:pPr>
      <w:r>
        <w:rPr>
          <w:rFonts w:ascii="Arial" w:hAnsi="Arial"/>
          <w:sz w:val="22"/>
        </w:rPr>
        <w:t>Figura 20 – Erro do sistema por grupo de localização no teste do ano nunca visto</w:t>
      </w:r>
    </w:p>
    <w:p w14:paraId="66821D4E">
      <w:pPr>
        <w:pStyle w:val="3"/>
        <w:rPr>
          <w:b/>
          <w:bCs/>
          <w:color w:val="000000"/>
        </w:rPr>
      </w:pPr>
    </w:p>
    <w:p w14:paraId="0E470546">
      <w:pPr>
        <w:pStyle w:val="3"/>
        <w:rPr>
          <w:b/>
          <w:bCs/>
          <w:color w:val="000000"/>
        </w:rPr>
      </w:pP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2E75B5"/>
        </w:rPr>
      </w:pPr>
      <w:r>
        <w:rPr>
          <w:rFonts w:ascii="Arial" w:hAnsi="Arial"/>
          <w:sz w:val="22"/>
        </w:rPr>
        <w:t>Quadro 11 – Desempenho do modelo adotado em cada transição anual (média e faixa de confiança de 95% sobre 20 repetições)</w:t>
      </w:r>
    </w:p>
    <w:p w14:paraId="2CB820C1">
      <w:pPr>
        <w:pStyle w:val="3"/>
        <w:rPr>
          <w:b/>
          <w:bCs/>
          <w:color w:val="000000"/>
        </w:rPr>
      </w:pPr>
    </w:p>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t>ABNT</w:t>
            </w:r>
          </w:p>
        </w:tc>
        <w:tc>
          <w:tcPr>
            <w:tcW w:w="7604" w:type="dxa"/>
          </w:tcPr>
          <w:p w14:paraId="031A16CB">
            <w:pPr>
              <w:pStyle w:val="3"/>
              <w:ind w:firstLine="0"/>
              <w:jc w:val="left"/>
              <w:rPr>
                <w:color w:val="000000"/>
              </w:rPr>
            </w:pPr>
            <w: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t>AFD</w:t>
            </w:r>
          </w:p>
        </w:tc>
        <w:tc>
          <w:tcPr>
            <w:tcW w:w="7604" w:type="dxa"/>
          </w:tcPr>
          <w:p w14:paraId="10CBB3A7">
            <w:pPr>
              <w:pStyle w:val="3"/>
              <w:ind w:firstLine="0"/>
              <w:jc w:val="left"/>
              <w:rPr>
                <w:color w:val="000000"/>
              </w:rPr>
            </w:pPr>
            <w:r>
              <w:t>Adequação da Formação Docente</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t>CRISP-DM</w:t>
            </w:r>
          </w:p>
        </w:tc>
        <w:tc>
          <w:tcPr>
            <w:tcW w:w="7604" w:type="dxa"/>
          </w:tcPr>
          <w:p w14:paraId="77D1C937">
            <w:pPr>
              <w:pStyle w:val="3"/>
              <w:ind w:firstLine="0"/>
              <w:jc w:val="left"/>
              <w:rPr>
                <w:color w:val="000000"/>
              </w:rPr>
            </w:pPr>
            <w:r>
              <w:t>Cross-Industry Standard Process for Data Mining</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t>EJA</w:t>
            </w:r>
          </w:p>
        </w:tc>
        <w:tc>
          <w:tcPr>
            <w:tcW w:w="7604" w:type="dxa"/>
          </w:tcPr>
          <w:p w14:paraId="3C950431">
            <w:pPr>
              <w:pStyle w:val="3"/>
              <w:ind w:firstLine="0"/>
              <w:jc w:val="left"/>
              <w:rPr>
                <w:color w:val="000000"/>
              </w:rPr>
            </w:pPr>
            <w:r>
              <w:t>Educação de Jovens e Adultos</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r>
              <w:t>EM</w:t>
            </w:r>
          </w:p>
        </w:tc>
        <w:tc>
          <w:tcPr>
            <w:tcW w:w="7604" w:type="dxa"/>
          </w:tcPr>
          <w:p w14:paraId="5FE4DE85">
            <w:pPr>
              <w:pStyle w:val="3"/>
              <w:ind w:firstLine="0"/>
              <w:jc w:val="left"/>
              <w:rPr>
                <w:color w:val="000000"/>
              </w:rPr>
            </w:pPr>
            <w:r>
              <w:t>Ensino Médio</w:t>
            </w:r>
          </w:p>
        </w:tc>
      </w:tr>
      <w:tr w14:paraId="1FBC13FC">
        <w:tblPrEx>
          <w:tblCellMar>
            <w:top w:w="0" w:type="dxa"/>
            <w:left w:w="108" w:type="dxa"/>
            <w:bottom w:w="0" w:type="dxa"/>
            <w:right w:w="108" w:type="dxa"/>
          </w:tblCellMar>
        </w:tblPrEx>
        <w:tc>
          <w:tcPr>
            <w:tcW w:w="1275" w:type="dxa"/>
          </w:tcPr>
          <w:p w14:paraId="6EF15157">
            <w:pPr>
              <w:pStyle w:val="3"/>
              <w:ind w:firstLine="0"/>
              <w:jc w:val="left"/>
              <w:rPr>
                <w:color w:val="000000"/>
              </w:rPr>
            </w:pPr>
            <w:r>
              <w:t>INEP</w:t>
            </w:r>
          </w:p>
        </w:tc>
        <w:tc>
          <w:tcPr>
            <w:tcW w:w="7604" w:type="dxa"/>
          </w:tcPr>
          <w:p w14:paraId="595945D6">
            <w:pPr>
              <w:pStyle w:val="3"/>
              <w:ind w:firstLine="0"/>
              <w:jc w:val="left"/>
              <w:rPr>
                <w:color w:val="000000"/>
              </w:rPr>
            </w:pPr>
            <w:r>
              <w:t>Instituto Nacional de Estudos e Pesquisas Educacionais Anísio Teixeira</w:t>
            </w:r>
          </w:p>
        </w:tc>
      </w:tr>
      <w:tr w14:paraId="57288C4A">
        <w:tblPrEx>
          <w:tblCellMar>
            <w:top w:w="0" w:type="dxa"/>
            <w:left w:w="108" w:type="dxa"/>
            <w:bottom w:w="0" w:type="dxa"/>
            <w:right w:w="108" w:type="dxa"/>
          </w:tblCellMar>
        </w:tblPrEx>
        <w:tc>
          <w:tcPr>
            <w:tcW w:w="1275" w:type="dxa"/>
          </w:tcPr>
          <w:p w14:paraId="7D0AB5C5">
            <w:pPr>
              <w:pStyle w:val="3"/>
              <w:ind w:firstLine="0"/>
              <w:jc w:val="left"/>
              <w:rPr>
                <w:color w:val="000000"/>
              </w:rPr>
            </w:pPr>
            <w:r>
              <w:t>INSE</w:t>
            </w:r>
          </w:p>
        </w:tc>
        <w:tc>
          <w:tcPr>
            <w:tcW w:w="7604" w:type="dxa"/>
          </w:tcPr>
          <w:p w14:paraId="5FC0AE45">
            <w:pPr>
              <w:pStyle w:val="3"/>
              <w:ind w:firstLine="0"/>
              <w:jc w:val="left"/>
              <w:rPr>
                <w:color w:val="000000"/>
              </w:rPr>
            </w:pPr>
            <w:r>
              <w:t>Indicador de Nível Socioeconômico</w:t>
            </w:r>
          </w:p>
        </w:tc>
      </w:tr>
      <w:tr w14:paraId="563F479F">
        <w:tblPrEx>
          <w:tblCellMar>
            <w:top w:w="0" w:type="dxa"/>
            <w:left w:w="108" w:type="dxa"/>
            <w:bottom w:w="0" w:type="dxa"/>
            <w:right w:w="108" w:type="dxa"/>
          </w:tblCellMar>
        </w:tblPrEx>
        <w:tc>
          <w:tcPr>
            <w:tcW w:w="1275" w:type="dxa"/>
          </w:tcPr>
          <w:p w14:paraId="59687C2D">
            <w:pPr>
              <w:pStyle w:val="3"/>
              <w:ind w:firstLine="0"/>
              <w:jc w:val="left"/>
              <w:rPr>
                <w:color w:val="000000"/>
              </w:rPr>
            </w:pPr>
            <w:r>
              <w:t>IRD</w:t>
            </w:r>
          </w:p>
        </w:tc>
        <w:tc>
          <w:tcPr>
            <w:tcW w:w="7604" w:type="dxa"/>
          </w:tcPr>
          <w:p w14:paraId="4930AC52">
            <w:pPr>
              <w:pStyle w:val="3"/>
              <w:ind w:firstLine="0"/>
              <w:jc w:val="left"/>
              <w:rPr>
                <w:color w:val="000000"/>
              </w:rPr>
            </w:pPr>
            <w:r>
              <w:t>Indicador de Regularidade do Docente</w:t>
            </w:r>
          </w:p>
        </w:tc>
      </w:tr>
      <w:tr w14:paraId="74A23515">
        <w:tblPrEx>
          <w:tblCellMar>
            <w:top w:w="0" w:type="dxa"/>
            <w:left w:w="108" w:type="dxa"/>
            <w:bottom w:w="0" w:type="dxa"/>
            <w:right w:w="108" w:type="dxa"/>
          </w:tblCellMar>
        </w:tblPrEx>
        <w:tc>
          <w:tcPr>
            <w:tcW w:w="1275" w:type="dxa"/>
          </w:tcPr>
          <w:p w14:paraId="48F6FFD7">
            <w:pPr>
              <w:pStyle w:val="3"/>
              <w:ind w:firstLine="0"/>
              <w:jc w:val="left"/>
              <w:rPr>
                <w:color w:val="000000"/>
              </w:rPr>
            </w:pPr>
            <w:r>
              <w:t>RMSE</w:t>
            </w:r>
          </w:p>
        </w:tc>
        <w:tc>
          <w:tcPr>
            <w:tcW w:w="7604" w:type="dxa"/>
          </w:tcPr>
          <w:p w14:paraId="6213E37B">
            <w:pPr>
              <w:pStyle w:val="3"/>
              <w:ind w:firstLine="0"/>
              <w:jc w:val="left"/>
              <w:rPr>
                <w:color w:val="000000"/>
              </w:rPr>
            </w:pPr>
            <w:r>
              <w:t>Raiz do Erro Quadrático Médio (Root Mean Squared Error)</w:t>
            </w:r>
          </w:p>
        </w:tc>
      </w:tr>
      <w:tr w14:paraId="60369995">
        <w:tblPrEx>
          <w:tblCellMar>
            <w:top w:w="0" w:type="dxa"/>
            <w:left w:w="108" w:type="dxa"/>
            <w:bottom w:w="0" w:type="dxa"/>
            <w:right w:w="108" w:type="dxa"/>
          </w:tblCellMar>
        </w:tblPrEx>
        <w:tc>
          <w:tcPr>
            <w:tcW w:w="1275" w:type="dxa"/>
          </w:tcPr>
          <w:p w14:paraId="3F6D001A">
            <w:pPr>
              <w:pStyle w:val="3"/>
              <w:ind w:firstLine="0"/>
              <w:jc w:val="left"/>
              <w:rPr>
                <w:color w:val="000000"/>
              </w:rPr>
            </w:pPr>
            <w:r>
              <w:t>ROC-AUC</w:t>
            </w:r>
          </w:p>
        </w:tc>
        <w:tc>
          <w:tcPr>
            <w:tcW w:w="7604" w:type="dxa"/>
          </w:tcPr>
          <w:p w14:paraId="5378CFDD">
            <w:pPr>
              <w:pStyle w:val="3"/>
              <w:ind w:firstLine="0"/>
              <w:jc w:val="left"/>
              <w:rPr>
                <w:color w:val="000000"/>
              </w:rPr>
            </w:pPr>
            <w:r>
              <w:t>Área sob a Curva ROC (Area Under the ROC Curve)</w:t>
            </w:r>
          </w:p>
        </w:tc>
      </w:tr>
      <w:tr w14:paraId="474CA64F">
        <w:tblPrEx>
          <w:tblCellMar>
            <w:top w:w="0" w:type="dxa"/>
            <w:left w:w="108" w:type="dxa"/>
            <w:bottom w:w="0" w:type="dxa"/>
            <w:right w:w="108" w:type="dxa"/>
          </w:tblCellMar>
        </w:tblPrEx>
        <w:tc>
          <w:tcPr>
            <w:tcW w:w="1275" w:type="dxa"/>
          </w:tcPr>
          <w:p w14:paraId="67AFA00F">
            <w:pPr>
              <w:pStyle w:val="3"/>
              <w:ind w:firstLine="0"/>
              <w:jc w:val="left"/>
              <w:rPr>
                <w:color w:val="000000"/>
              </w:rPr>
            </w:pPr>
            <w:r>
              <w:t>SHAP</w:t>
            </w:r>
          </w:p>
        </w:tc>
        <w:tc>
          <w:tcPr>
            <w:tcW w:w="7604" w:type="dxa"/>
          </w:tcPr>
          <w:p w14:paraId="285E5E5C">
            <w:pPr>
              <w:pStyle w:val="3"/>
              <w:ind w:firstLine="0"/>
              <w:jc w:val="left"/>
              <w:rPr>
                <w:color w:val="000000"/>
              </w:rPr>
            </w:pPr>
            <w:r>
              <w:t>SHapley Additive exPlanations</w:t>
            </w:r>
          </w:p>
        </w:tc>
      </w:tr>
      <w:tr w14:paraId="2396B301">
        <w:tblPrEx>
          <w:tblCellMar>
            <w:top w:w="0" w:type="dxa"/>
            <w:left w:w="108" w:type="dxa"/>
            <w:bottom w:w="0" w:type="dxa"/>
            <w:right w:w="108" w:type="dxa"/>
          </w:tblCellMar>
        </w:tblPrEx>
        <w:tc>
          <w:tcPr>
            <w:tcW w:w="1275" w:type="dxa"/>
          </w:tcPr>
          <w:p w14:paraId="501B8804">
            <w:pPr>
              <w:pStyle w:val="3"/>
              <w:ind w:firstLine="0"/>
              <w:jc w:val="left"/>
              <w:rPr>
                <w:color w:val="000000"/>
              </w:rPr>
            </w:pPr>
            <w:r>
              <w:t>TCC</w:t>
            </w:r>
          </w:p>
        </w:tc>
        <w:tc>
          <w:tcPr>
            <w:tcW w:w="7604" w:type="dxa"/>
          </w:tcPr>
          <w:p w14:paraId="2E59B334">
            <w:pPr>
              <w:pStyle w:val="3"/>
              <w:ind w:firstLine="0"/>
              <w:jc w:val="left"/>
              <w:rPr>
                <w:color w:val="000000"/>
              </w:rPr>
            </w:pPr>
            <w:r>
              <w:t>Trabalho de Conclusão de Curso</w:t>
            </w:r>
          </w:p>
        </w:tc>
      </w:tr>
      <w:tr w14:paraId="1A923E62">
        <w:tblPrEx>
          <w:tblCellMar>
            <w:top w:w="0" w:type="dxa"/>
            <w:left w:w="108" w:type="dxa"/>
            <w:bottom w:w="0" w:type="dxa"/>
            <w:right w:w="108" w:type="dxa"/>
          </w:tblCellMar>
        </w:tblPrEx>
        <w:tc>
          <w:tcPr>
            <w:tcW w:w="1275" w:type="dxa"/>
          </w:tcPr>
          <w:p w14:paraId="4EF39AC1">
            <w:pPr>
              <w:pStyle w:val="3"/>
              <w:ind w:firstLine="0"/>
              <w:jc w:val="left"/>
              <w:rPr>
                <w:color w:val="000000"/>
              </w:rPr>
            </w:pPr>
            <w:r>
              <w:t>TDI</w:t>
            </w:r>
          </w:p>
        </w:tc>
        <w:tc>
          <w:tcPr>
            <w:tcW w:w="7604" w:type="dxa"/>
          </w:tcPr>
          <w:p w14:paraId="7956B817">
            <w:pPr>
              <w:pStyle w:val="3"/>
              <w:ind w:firstLine="0"/>
              <w:jc w:val="left"/>
              <w:rPr>
                <w:color w:val="000000"/>
              </w:rPr>
            </w:pPr>
            <w:r>
              <w:t>Taxa de Distorção Idade-Série</w:t>
            </w:r>
          </w:p>
        </w:tc>
      </w:tr>
      <w:tr w14:paraId="1A6461CF">
        <w:tblPrEx>
          <w:tblCellMar>
            <w:top w:w="0" w:type="dxa"/>
            <w:left w:w="108" w:type="dxa"/>
            <w:bottom w:w="0" w:type="dxa"/>
            <w:right w:w="108" w:type="dxa"/>
          </w:tblCellMar>
        </w:tblPrEx>
        <w:tc>
          <w:tcPr>
            <w:tcW w:w="1275" w:type="dxa"/>
          </w:tcPr>
          <w:p w14:paraId="3197F694">
            <w:pPr>
              <w:pStyle w:val="3"/>
              <w:ind w:firstLine="0"/>
              <w:jc w:val="left"/>
              <w:rPr>
                <w:color w:val="000000"/>
              </w:rPr>
            </w:pPr>
            <w:r>
              <w:t>XGBoost</w:t>
            </w:r>
          </w:p>
        </w:tc>
        <w:tc>
          <w:tcPr>
            <w:tcW w:w="7604" w:type="dxa"/>
          </w:tcPr>
          <w:p w14:paraId="630CCC3E">
            <w:pPr>
              <w:pStyle w:val="3"/>
              <w:ind w:firstLine="0"/>
              <w:jc w:val="left"/>
              <w:rPr>
                <w:color w:val="000000"/>
              </w:rPr>
            </w:pPr>
            <w:r>
              <w:t>Extreme Gradient Boosting</w:t>
            </w: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1C319AFF">
          <w:pPr>
            <w:pStyle w:val="3"/>
            <w:keepNext w:val="0"/>
            <w:keepLines w:val="0"/>
            <w:pageBreakBefore w:val="0"/>
            <w:widowControl/>
            <w:shd w:val="clear" w:fill="auto"/>
            <w:tabs>
              <w:tab w:val="right" w:pos="8494"/>
            </w:tabs>
            <w:spacing w:before="0" w:after="0" w:line="360" w:lineRule="auto"/>
            <w:ind w:left="0" w:right="0" w:firstLine="0"/>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rPr>
              <w:rFonts w:hint="default"/>
              <w:lang w:val="pt-BR"/>
            </w:rPr>
            <w:t>\</w:t>
          </w: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0CFB392B">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_Toc14999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_Toc14999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AB48AFC">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_Toc30512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_Toc30512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F7735E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_Toc26586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_Toc26586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865636">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_Toc32683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_Toc32683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A7590D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_Toc9018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_Toc9018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1017B6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_Toc15928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_Toc15928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5595F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_Toc18478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_Toc18478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21747D">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_Toc5545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_Toc5545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9551C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_Toc13971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_Toc13971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C64DD1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_Toc5491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_Toc5491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CF5A80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_Toc23274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_Toc23274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5B1965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_Toc12139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_Toc12139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756504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_Toc8619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_Toc8619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8B81D9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_Toc8277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_Toc8277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4388644">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_Toc30212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_Toc30212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5AEEB7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_Toc18978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_Toc18978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001AC7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_Toc12220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_Toc12220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5445B2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_Toc29892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_Toc29892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39CE44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_Toc12568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_Toc12568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1BCA74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_Toc21253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_Toc21253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EBA84B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_Toc15600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_Toc15600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7DB4A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_Toc21195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_Toc21195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18C174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_Toc3667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_Toc3667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A0049C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_Toc15523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_Toc15523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754568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_Toc18028 </w:instrText>
          </w:r>
          <w:r>
            <w:rPr>
              <w:rFonts w:eastAsia="Arial" w:cs="Arial"/>
              <w:bCs/>
              <w:i w:val="0"/>
              <w:iCs w:val="0"/>
              <w:smallCaps/>
              <w:strike w:val="0"/>
              <w:dstrike w:val="0"/>
              <w:vanish w:val="0"/>
              <w:position w:val="0"/>
              <w:szCs w:val="24"/>
              <w:shd w:val="clear" w:fill="auto"/>
              <w:vertAlign w:val="baseline"/>
            </w:rPr>
            <w:fldChar w:fldCharType="separate"/>
          </w:r>
          <w:r>
            <w:t xml:space="preserve">3.2.8 </w:t>
          </w:r>
          <w:r>
            <w:rPr>
              <w:rFonts w:ascii="Arial" w:hAnsi="Arial" w:eastAsia="Arial" w:cs="Arial"/>
            </w:rPr>
            <w:t>Geração da Lista para um Ano Ainda Não Observado</w:t>
          </w:r>
          <w:r>
            <w:tab/>
          </w:r>
          <w:r>
            <w:fldChar w:fldCharType="begin"/>
          </w:r>
          <w:r>
            <w:instrText xml:space="preserve"> PAGEREF _Toc18028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58E23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_Toc1170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_Toc1170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C48425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_Toc10895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_Toc10895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01256D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_Toc32376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_Toc32376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927F7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_Toc15245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_Toc15245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B6506A1">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_Toc31374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_Toc31374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595B689">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_Toc14527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_Toc14527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5E58B43">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_Toc12991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_Toc12991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AB3F35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_Toc29809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_Toc29809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41B6B6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_Toc30709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_Toc30709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4E2C41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_Toc19598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_Toc19598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1DD798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_Toc18056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_Toc18056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868DCC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_Toc29114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_Toc29114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A56FC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_Toc25461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_Toc25461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389362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_Toc14403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_Toc14403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94C25F3">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_Toc28682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_Toc28682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A8D2171">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_Toc18830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_Toc18830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CBA43EB">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_Toc4133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_Toc4133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1341D2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_Toc488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_Toc488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15FF4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_Toc24378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_Toc24378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3F13D7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_Toc26082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_Toc26082 \h </w:instrText>
          </w:r>
          <w:r>
            <w:fldChar w:fldCharType="separate"/>
          </w:r>
          <w:r>
            <w:t>38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10A20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_Toc4796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_Toc4796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18B54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_Toc13227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_Toc13227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01F2B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_Toc23709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_Toc23709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7F4D6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_Toc30713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_Toc30713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07DDC0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_Toc30465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_Toc30465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080A3B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_Toc2948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_Toc2948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1EB6C8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_Toc19034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_Toc19034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A0CEBC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_Toc17703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rPr>
            <w:t>Resultados em Cada Transição Anual</w:t>
          </w:r>
          <w:r>
            <w:tab/>
          </w:r>
          <w:r>
            <w:fldChar w:fldCharType="begin"/>
          </w:r>
          <w:r>
            <w:instrText xml:space="preserve"> PAGEREF _Toc17703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7FF39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_Toc27010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_Toc27010 \h </w:instrText>
          </w:r>
          <w:r>
            <w:fldChar w:fldCharType="separate"/>
          </w:r>
          <w:r>
            <w:t>51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077AC5B">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_Toc19992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_Toc19992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E65FD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_Toc15251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_Toc15251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5D5E4B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_Toc12507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_Toc12507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029235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_Toc10633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_Toc10633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ACF9D9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_Toc16606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_Toc16606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6EFE5B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_Toc5621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_Toc5621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8B74D6C">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_Toc10205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_Toc10205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118CA0">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_Toc22348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_Toc22348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18DF869">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_Toc3968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_Toc3968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C353D9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_Toc29070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_Toc29070 \h </w:instrText>
          </w:r>
          <w:r>
            <w:fldChar w:fldCharType="separate"/>
          </w:r>
          <w:r>
            <w:t>59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EA983C0">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_Toc20691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_Toc20691 \h </w:instrText>
          </w:r>
          <w:r>
            <w:fldChar w:fldCharType="separate"/>
          </w:r>
          <w:r>
            <w:t>61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7DF7611">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_Toc29284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_Toc29284 \h </w:instrText>
          </w:r>
          <w:r>
            <w:fldChar w:fldCharType="separate"/>
          </w:r>
          <w:r>
            <w:t>63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14999"/>
      <w:r>
        <w:rPr>
          <w:rFonts w:ascii="Arial" w:hAnsi="Arial" w:eastAsia="Arial" w:cs="Arial"/>
          <w:b w:val="0"/>
        </w:rPr>
        <w:t>Introdução</w:t>
      </w:r>
      <w:bookmarkEnd w:id="1"/>
    </w:p>
    <w:p w14:paraId="71BF03DA">
      <w:pPr>
        <w:pStyle w:val="4"/>
        <w:numPr>
          <w:ilvl w:val="1"/>
          <w:numId w:val="1"/>
        </w:numPr>
      </w:pPr>
      <w:bookmarkStart w:id="2" w:name="_Toc30512"/>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sociais, econômicas, geográficas e institucionais profundas. Raramente é um evento isolado: costuma ser o desfecho de um afastamento que se acumula entre o estudante e a escola (BOWERS; SPROTT; TAFF, 2013). Pernambuco implantou um programa pioneiro de Ensino Médio em tempo integral, já avaliado quanto aos efeitos sobre o desempenho dos estudantes (ROSA et al., 2022), e a parcela de matrículas nessa modalidade passou de 56,7% em 2022 para 64,9% em 2024 (BRASIL, 2024a). Mesmo assim a rede segue desigual: as escolas rurais e as do São Francisco Pernambucano reúnem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(BRASIL, 2024a). Hoje ela não dispõe de um mecanismo que antecipe o risco. Sem ele, o gestor age depois que o abandono já apareceu nos números do ano anterior.</w:t>
      </w:r>
    </w:p>
    <w:p w14:paraId="6A4DF56F">
      <w:pPr>
        <w:pStyle w:val="3"/>
        <w:ind w:firstLine="0"/>
        <w:rPr>
          <w:color w:val="2E75B5"/>
        </w:rPr>
      </w:pPr>
      <w:r>
        <w:rPr>
          <w:rFonts w:ascii="Arial" w:hAnsi="Arial" w:eastAsia="Arial" w:cs="Arial"/>
          <w:b w:val="0"/>
        </w:rPr>
        <w:t>Antecipar esse risco é o que propõe a literatura de mineração de dados educacionais, que aplica técnicas de aprendizado de máquina a dados da educação para prever desfechos como o abandono (BAKER; YACEF, 2009). Estudos dessa linha mostram ser possível estimar o risco a partir de características observáveis das escolas (CORTEZ; SILVA, 2008) e organizá-lo em sistemas de alerta precoce, que priorizam os casos mais críticos (BOWERS; SPROTT; TAFF, 2013). No Brasil, a abordagem já foi aplicada à evasão com dados públicos do INEP (TEODORO; KAPPEL, 2020), e mapeamentos recentes confirmam o crescimento do tema (JESUS; GUSMÃO, 2024; NASCIMENTO et al., 2024).</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segundo as taxas de rendimento do INEP, vem caindo: 2,05% em 2022, 1,37% em 2023 e 0,96% em 2024 (BRASIL, 2024c). Essa leitura sugere que a situação está sob controle e, principalmente, não indica onde agir. O exame ano a ano mostra outro quadro. Em 2024, 2.043 alunos abandonaram o Ensino Médio na rede estadual; 67% das escolas não registraram nenhum abandono, e as 79 escolas mais críticas, 10% da rede, responderam por 76% de todos os alunos que saíram. O problema não está espalhado pela rede; ele se concentra em poucas escolas. A Figura 1 põe as duas leituras lado a lado.</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sobre onde alocar equipe, programa e visita acontece nesse mesmo nível.</w:t>
      </w:r>
    </w:p>
    <w:p w14:paraId="4E5B67FE">
      <w:pPr>
        <w:pStyle w:val="4"/>
        <w:numPr>
          <w:ilvl w:val="1"/>
          <w:numId w:val="1"/>
        </w:numPr>
      </w:pPr>
      <w:bookmarkStart w:id="3" w:name="_Toc26586"/>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(P1): </w:t>
      </w:r>
      <w:r>
        <w:rPr>
          <w:rFonts w:ascii="Arial" w:hAnsi="Arial" w:eastAsia="Arial" w:cs="Arial"/>
        </w:rPr>
        <w:t>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(P2):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tanto as que perdem mais alunos do que o perfil indica, e merecem atenção imediata, quanto as que resistem apesar de um perfil desfavorável, e merecem ser estudadas.</w:t>
      </w:r>
    </w:p>
    <w:p w14:paraId="1E3A4383">
      <w:pPr>
        <w:pStyle w:val="4"/>
        <w:numPr>
          <w:ilvl w:val="1"/>
          <w:numId w:val="1"/>
        </w:numPr>
      </w:pPr>
      <w:bookmarkStart w:id="4" w:name="_Toc32683"/>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9018"/>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15928"/>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18478"/>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nas visões funcional, estrutural, comportamental e de implantação.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5545"/>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13971"/>
      <w:r>
        <w:rPr>
          <w:rFonts w:ascii="Arial" w:hAnsi="Arial" w:eastAsia="Arial" w:cs="Arial"/>
          <w:b w:val="0"/>
        </w:rPr>
        <w:t>Fundamentação Teórica</w:t>
      </w:r>
      <w:bookmarkEnd w:id="9"/>
    </w:p>
    <w:p w14:paraId="0ED2592D">
      <w:pPr>
        <w:pStyle w:val="5"/>
        <w:numPr>
          <w:ilvl w:val="2"/>
          <w:numId w:val="1"/>
        </w:numPr>
      </w:pPr>
      <w:bookmarkStart w:id="10" w:name="_Toc5491"/>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A evasão escolar é entendida na literatura menos como um evento isolado e mais como o desfecho de um processo prolongado de afastamento entre o estudante e a escola. Bowers, Sprott e Taff (2013) compararam 110 indicadores de risco de abandono reunidos em 36 estudos. Verificaram que os sinais mais precisos são os que acompanham a trajetória do estudante ao longo do tempo, e não os que registram um único momento. O fenômeno é também multinível: além das características do aluno, como desempenho, defasagem idade-série e condição socioeconômica, pesam atributos da própria escola e do território, dimensão que os mapeamentos brasileiros recentes registram entre os fatores indutores mais estudados (JESUS; GUSMÃO, 2024; NASCIMENTO et al., 2024).</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2024c).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23274"/>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A aplicação sistemática de técnicas computacionais a dados educacionais consolidou-se no campo da mineração de dados educacionais (educational data mining). Baker e Yacef (2009), ao revisarem o estado do campo, organizam seus métodos em cinco categorias: predição, agrupamento, mineração de relações, destilação de dados para julgamento humano e descoberta com modelos. Situam a predição entre as tarefas centrais da área — estimar um resultado futuro, como desempenho ou abandono, a partir de atributos observados. Um exemplo precursor é o de Cortez e Silva (2008), que empregaram árvores de decisão, florestas aleatórias, redes neurais e máquinas de vetores de suporte para prever o desempenho de estudantes do ensino secundário português.</w:t>
      </w:r>
    </w:p>
    <w:p w14:paraId="73A69EFE">
      <w:pPr>
        <w:pStyle w:val="5"/>
        <w:numPr>
          <w:ilvl w:val="2"/>
          <w:numId w:val="1"/>
        </w:numPr>
      </w:pPr>
      <w:bookmarkStart w:id="12" w:name="_Toc12139"/>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8619"/>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Modelos de alto desempenho como as florestas e o gradiente impulsionado são frequentemente descritos como caixas-pretas, pois a relação entre suas entradas e saídas não é diretamente legível. Em decisões de interesse público, saber por que uma previsão foi feita é tão importante quanto a previsão. Duas técnicas tornaram-se referência para explicar previsões de qualquer modelo. O LIME, de Ribeiro, Singh e Guestrin (2016), aproxima localmente o modelo por um substituto interpretável; seus autores situam a explicação como condição para que se possa confiar tanto em uma previsão isolada quanto no modelo que a produz. O SHAP, de Lundberg e Lee (2017), atribui a cada atributo uma contribuição para a previsão com base na teoria dos valores de Shapley, o que dá explicações consistentes no nível individual e no global. Este trabalho adota o SHAP para explicar o risco previsto de cada escola.</w:t>
      </w:r>
    </w:p>
    <w:p w14:paraId="23F01F44">
      <w:pPr>
        <w:pStyle w:val="4"/>
        <w:numPr>
          <w:ilvl w:val="1"/>
          <w:numId w:val="1"/>
        </w:numPr>
      </w:pPr>
      <w:bookmarkStart w:id="14" w:name="_Toc8277"/>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A predição de evasão por aprendizado de máquina é um tema ativo, inclusive no Brasil. Dois mapeamentos sistemáticos recentes ilustram a produção nacional: Jesus e Gusmão (2024) recuperaram 336 estudos e analisaram os 71 que atenderam aos critérios de inclusão, e Nascimento et al. (2024) revisaram as técnicas de mineração de dados aplicadas à evasão estudantil. Ambos apontam o predomínio das abordagens de classificação e a concentração de trabalhos no ensino superior. Teodoro e Kappel (2020) aplicaram cinco técnicas de aprendizado de máquina a dados públicos do Inep para prever o risco de evasão em instituições públicas de ensino superior —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No campo dos sistemas de alerta precoce (early warning systems), o mesmo estudo de Bowers, Sprott e Taff (2013) mostrou, por análise ROC, que muitos indicadores usuais têm alta precisão mas baixa acurácia, e que os mais confiáveis se apoiam em desempenho e trajetória. Isso justifica avaliar um sistema de priorização não apenas pelo erro médio, mas pela capacidade de ordenar corretamente as escolas de maior risco — critério adotado neste trabalho. Resta uma lacuna: a maior parte da literatura opera no nível do estudante e no ensino superior. Esta monografia toma a escola como unidade de análise na educação básica, combinando dados públicos, um modelo de gradiente impulsionado e explicações por SHAP para apoiar a priorização de intervenções pela gestão estadual.</w:t>
      </w:r>
    </w:p>
    <w:p w14:paraId="1319101A">
      <w:pPr>
        <w:pStyle w:val="2"/>
        <w:numPr>
          <w:ilvl w:val="0"/>
          <w:numId w:val="1"/>
        </w:numPr>
        <w:rPr>
          <w:color w:val="000000"/>
        </w:rPr>
      </w:pPr>
      <w:bookmarkStart w:id="15" w:name="_Toc30212"/>
      <w:r>
        <w:rPr>
          <w:rFonts w:ascii="Arial" w:hAnsi="Arial" w:eastAsia="Arial" w:cs="Arial"/>
          <w:b w:val="0"/>
        </w:rPr>
        <w:t>Método de Desenvolvimento</w:t>
      </w:r>
      <w:bookmarkEnd w:id="15"/>
    </w:p>
    <w:p w14:paraId="39EFBDEF">
      <w:pPr>
        <w:pStyle w:val="4"/>
        <w:numPr>
          <w:ilvl w:val="1"/>
          <w:numId w:val="1"/>
        </w:numPr>
      </w:pPr>
      <w:bookmarkStart w:id="16" w:name="_Toc18978"/>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um ciclo iterativo e incremental com o processo CRISP-DM (CHAPMAN et al., 2000), que organiza projetos desse tipo em seis etapas: entendimento do negócio, entendimento dos dados, preparação dos dados, construção do modelo, avaliação e implantação.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Duas decisões de organização atravessam todas as fases. A primeira separa o código de produção, formado pelos módulos reaproveitáveis do sistema, do código de análise, que apenas os consome para gerar relatórios e figuras. A segunda faz os dados percorrerem três estágios sucessivos, dos arquivos originais aos intermediários e destes ao conjunto final, sem que um estágio jamais sobrescreva o anterior. Juntas, sustentam duas propriedades exigidas do sistema: qualquer resultado pode ser refeito a partir dos arquivos originais, e cada módulo pode ser testado isoladamente. A estrutura concreta que materializa essas decisões está no Capítulo 5.</w:t>
      </w:r>
    </w:p>
    <w:p w14:paraId="4D605BAE">
      <w:pPr>
        <w:pStyle w:val="4"/>
        <w:numPr>
          <w:ilvl w:val="1"/>
          <w:numId w:val="1"/>
        </w:numPr>
      </w:pPr>
      <w:bookmarkStart w:id="17" w:name="_Toc12220"/>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r w14:paraId="4557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EDB5FD5">
            <w:r>
              <w:rPr>
                <w:rFonts w:ascii="Arial" w:hAnsi="Arial" w:eastAsia="Arial" w:cs="Arial"/>
                <w:b w:val="0"/>
                <w:sz w:val="18"/>
              </w:rPr>
              <w:t>7. Geração da lista para novos anos</w:t>
            </w:r>
          </w:p>
        </w:tc>
        <w:tc>
          <w:tcPr>
            <w:tcW w:w="3456" w:type="dxa"/>
          </w:tcPr>
          <w:p w14:paraId="60460EFB">
            <w:r>
              <w:rPr>
                <w:rFonts w:ascii="Arial" w:hAnsi="Arial" w:eastAsia="Arial" w:cs="Arial"/>
                <w:b w:val="0"/>
                <w:sz w:val="18"/>
              </w:rPr>
              <w:t>Implantação</w:t>
            </w:r>
          </w:p>
        </w:tc>
        <w:tc>
          <w:tcPr>
            <w:tcW w:w="3263" w:type="dxa"/>
          </w:tcPr>
          <w:p w14:paraId="64351780">
            <w:r>
              <w:rPr>
                <w:rFonts w:ascii="Arial" w:hAnsi="Arial" w:eastAsia="Arial" w:cs="Arial"/>
                <w:b w:val="0"/>
                <w:sz w:val="18"/>
              </w:rPr>
              <w:t>Modo de predição para um ano ainda não observado; ranking de risco gravado em disco; validação das fontes do ano solicitado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29892"/>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e não o aluno,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12568"/>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microdados do Censo Escolar (BRASIL, 2024a). Um módulo carrega os arquivos anuais com busca tolerante pelos nomes das colunas, já que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cobrindo abrangência municipal, porte das escolas, infraestrutura e oferta de tempo integral; seus resultados estão reunidos no Capítulo 6. Um deles já orienta a leitura do restante: o índice de infraestrutura é muito menor nas escolas rurais do que nas urbanas (0,52 contra 0,71). Essa fase também revelou problemas nos dados de origem que orientaram decisões posteriores: uma coluna de matrículas ausente em todo o ano de 2022, que foi descartada, e o código de região do estado, que muda de formato entre 2022 e 2023 e precisou ser convertido.</w:t>
      </w:r>
    </w:p>
    <w:p w14:paraId="40F8A41F">
      <w:pPr>
        <w:pStyle w:val="5"/>
        <w:numPr>
          <w:ilvl w:val="2"/>
          <w:numId w:val="1"/>
        </w:numPr>
      </w:pPr>
      <w:bookmarkStart w:id="20" w:name="_Toc21253"/>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que reúnem aprovação, reprovação e abandono, no total e por série (BRASIL, 2024c), e quatro indicadores educacionais — o nível socioeconômico, a regularidade do corpo docente, a defasagem idade-série e a adequação da formação dos professores (BRASIL, 2024b).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nunca em zero.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15600"/>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e o sistema usa 39. A redução é deliberada: com 1.586 observações, manter centenas de colunas faria o sistema decorar a base em vez de aprender o padrão, de modo que ele acertaria o passado e erraria o ano seguinte (HASTIE; TIBSHIRANI; FRIEDMAN, 2009).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alinhados às diretrizes de seleção de variáveis da literatura (GUYON; ELISSEEFF, 2003). Saiu, primeiro, a informação repetida: o número de turmas e o de professores acompanham quase perfeitamente o de matrículas, e manter os três apenas confunde o sistema. Saiu também o que é consequência aritmética de outra coluna, como a taxa de aprovação, que é o que sobra depois da reprovação e do abandono; fornecê-la seria entregar a resposta antecipadamente. Saíram, por fim, as colunas ausentes na maior parte das escolas, caso das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21195"/>
      <w:r>
        <w:rPr>
          <w:rFonts w:ascii="Arial" w:hAnsi="Arial" w:eastAsia="Arial" w:cs="Arial"/>
          <w:b w:val="0"/>
        </w:rPr>
        <w:t>Construção e Ajuste do Modelo de Previsão</w:t>
      </w:r>
      <w:bookmarkEnd w:id="22"/>
    </w:p>
    <w:p w14:paraId="234DC940">
      <w:pPr>
        <w:pStyle w:val="3"/>
        <w:ind w:firstLine="0"/>
        <w:rPr>
          <w:color w:val="2E75B5"/>
        </w:rPr>
      </w:pPr>
      <w:r>
        <w:rPr>
          <w:rFonts w:ascii="Arial" w:hAnsi="Arial" w:eastAsia="Arial" w:cs="Arial"/>
          <w:b w:val="0"/>
        </w:rPr>
        <w:t>A quarta fase construiu o modelo. Antes do modelo principal foram avaliados dois modelos de referência, um linear e um baseado em árvores de decisão,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Só com o preparo idêntico a comparação é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cada regra interna considera poucas condições por vez, o aprendizado avança em passos pequenos e a complexidade é penalizada. Em uma base de treino de menos de 800 observações, é essa contenção que impede o sistema de decorar as escolas que já viu, em vez de aprender o padrão que vale para as demais. O modelo final é gravado em disco e carregado pelo painel; treino e uso são etapas separadas.</w:t>
      </w:r>
    </w:p>
    <w:p w14:paraId="5B1CFE5A">
      <w:pPr>
        <w:pStyle w:val="5"/>
        <w:numPr>
          <w:ilvl w:val="2"/>
          <w:numId w:val="1"/>
        </w:numPr>
      </w:pPr>
      <w:bookmarkStart w:id="23" w:name="_Toc3667"/>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Um teste automatizado verifica a consistência da decomposição: a soma das contribuições precisa reproduzir a previsão.</w:t>
      </w:r>
    </w:p>
    <w:p w14:paraId="3DF04341">
      <w:pPr>
        <w:pStyle w:val="5"/>
        <w:numPr>
          <w:ilvl w:val="2"/>
          <w:numId w:val="1"/>
        </w:numPr>
      </w:pPr>
      <w:bookmarkStart w:id="24" w:name="_Toc15523"/>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painel foi definido como ferramenta de apoio à decisão, que prioriza escolas e explica o porquê, e não como recomendação automática de ações. A razão é metodológica: o sistema identifica associações, não causas, e a literatura de validação alerta justamente para o risco de modelos que se apoiam em preditores não causais (ROBERTS et al., 2017). Sugerir a intervenção específica exigiria evidência de causalidade que os dados não sustentam. O painel mostra onde olhar primeiro e por quê; a decisão de como agir permanece com o gestor.</w:t>
      </w:r>
    </w:p>
    <w:p w14:paraId="211656A5">
      <w:pPr>
        <w:pStyle w:val="5"/>
        <w:numPr>
          <w:ilvl w:val="2"/>
          <w:numId w:val="1"/>
        </w:numPr>
      </w:pPr>
      <w:bookmarkStart w:id="25" w:name="_Toc18028"/>
      <w:r>
        <w:rPr>
          <w:rFonts w:ascii="Arial" w:hAnsi="Arial" w:eastAsia="Arial" w:cs="Arial"/>
          <w:b w:val="0"/>
        </w:rPr>
        <w:t>Geração da Lista para um Ano Ainda Não Observado</w:t>
      </w:r>
      <w:bookmarkEnd w:id="25"/>
    </w:p>
    <w:p w14:paraId="59F696E3">
      <w:pPr>
        <w:pStyle w:val="3"/>
        <w:ind w:firstLine="0"/>
        <w:rPr>
          <w:color w:val="2E75B5"/>
        </w:rPr>
      </w:pPr>
      <w:r>
        <w:rPr>
          <w:rFonts w:ascii="Arial" w:hAnsi="Arial" w:eastAsia="Arial" w:cs="Arial"/>
          <w:b w:val="0"/>
        </w:rPr>
        <w:t>A sétima fase tornou o sistema utilizável a cada nova edição dos dados. O modelo não é ajustado a um par de anos específico: ele aprende uma relação geral entre as características da escola em um ano e o abandono do ano seguinte. Essa propriedade permite gerar uma lista nova sempre que o INEP publica uma edição, e é o papel da terceira linha do Quadro 2, em que as características de 2024 servem para prever o abandono de 2025.</w:t>
      </w:r>
    </w:p>
    <w:p w14:paraId="5A598E48">
      <w:pPr>
        <w:pStyle w:val="3"/>
        <w:ind w:firstLine="0"/>
        <w:rPr>
          <w:color w:val="2E75B5"/>
        </w:rPr>
      </w:pPr>
      <w:r>
        <w:rPr>
          <w:rFonts w:ascii="Arial" w:hAnsi="Arial" w:eastAsia="Arial" w:cs="Arial"/>
          <w:b w:val="0"/>
        </w:rPr>
        <w:t>A dificuldade é que o conjunto usado no treino só admite escolas cujo abandono do ano seguinte já foi observado, e esse valor ainda não existe no ano que se quer prever. A construção das características ganhou então um modo que dispensa a exigência do alvo, mantendo todo o resto idêntico ao do treino: as mesmas colunas, na mesma ordem, com a mesma imputação de ausências. Antes de qualquer cálculo, o módulo verifica se as fontes do ano solicitado já foram carregadas; se faltar alguma, interrompe a execução com uma mensagem que diz qual ano importar. Falhar de forma explícita é preferível a produzir uma lista silenciosamente incompleta.</w:t>
      </w:r>
    </w:p>
    <w:p w14:paraId="2ACAC0B4">
      <w:pPr>
        <w:pStyle w:val="3"/>
        <w:ind w:firstLine="0"/>
        <w:rPr>
          <w:color w:val="2E75B5"/>
        </w:rPr>
      </w:pPr>
      <w:r>
        <w:rPr>
          <w:rFonts w:ascii="Arial" w:hAnsi="Arial" w:eastAsia="Arial" w:cs="Arial"/>
          <w:b w:val="0"/>
        </w:rPr>
        <w:t>Sobre esse conjunto, um módulo próprio carrega o modelo gravado em disco e devolve as escolas ordenadas por risco, com a posição de cada uma, o ano de referência e o ano previsto. O resultado é gravado em disco e pode ser acionado por uma única linha de comando, informando o ano de referência. Treino e uso permanecem separados: gerar a lista de um ano novo não exige treinar o modelo outra vez. Com os dados já disponíveis, a lista de 2025 foi gerada a partir das características de 2024 e cobre as 791 escolas da rede, com risco médio previsto de 0,85%. Essas previsões são inteiramente fora da amostra: o modelo nunca viu o ano que está prevendo.</w:t>
      </w:r>
    </w:p>
    <w:p w14:paraId="57A1D3F3">
      <w:pPr>
        <w:pStyle w:val="3"/>
        <w:ind w:firstLine="0"/>
        <w:rPr>
          <w:color w:val="2E75B5"/>
        </w:rPr>
      </w:pPr>
      <w:r>
        <w:rPr>
          <w:rFonts w:ascii="Arial" w:hAnsi="Arial" w:eastAsia="Arial" w:cs="Arial"/>
          <w:b w:val="0"/>
        </w:rPr>
        <w:t>Quatro verificações automatizadas protegem esse caminho, porque um erro aqui não geraria sintoma: as características de predição têm de ser idênticas às do treino, o conjunto tem de conter apenas o ano solicitado, não pode restar nenhuma ausência e a lista devolvida tem de estar íntegra. Uma quinta verifica que o pedido de um ano sem dados falha com a mensagem correta.</w:t>
      </w:r>
    </w:p>
    <w:p w14:paraId="7820F8BC">
      <w:pPr>
        <w:pStyle w:val="4"/>
        <w:numPr>
          <w:ilvl w:val="1"/>
          <w:numId w:val="1"/>
        </w:numPr>
      </w:pPr>
      <w:bookmarkStart w:id="26" w:name="_Toc1170"/>
      <w:r>
        <w:rPr>
          <w:rFonts w:ascii="Arial" w:hAnsi="Arial" w:eastAsia="Arial" w:cs="Arial"/>
          <w:b w:val="0"/>
        </w:rPr>
        <w:t>Práticas de Engenharia de Software</w:t>
      </w:r>
      <w:bookmarkEnd w:id="26"/>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138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a ordenação da lista e a equivalência entre as características de treino e as de predição;</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7" w:name="_Toc10895"/>
      <w:r>
        <w:rPr>
          <w:rFonts w:ascii="Arial" w:hAnsi="Arial" w:eastAsia="Arial" w:cs="Arial"/>
          <w:b w:val="0"/>
        </w:rPr>
        <w:t>Arquitetura do Software</w:t>
      </w:r>
      <w:bookmarkEnd w:id="27"/>
    </w:p>
    <w:p w14:paraId="527CA8A8">
      <w:pPr>
        <w:pStyle w:val="4"/>
        <w:numPr>
          <w:ilvl w:val="1"/>
          <w:numId w:val="1"/>
        </w:numPr>
      </w:pPr>
      <w:bookmarkStart w:id="28" w:name="_Toc32376"/>
      <w:r>
        <w:rPr>
          <w:rFonts w:ascii="Arial" w:hAnsi="Arial" w:eastAsia="Arial" w:cs="Arial"/>
          <w:b w:val="0"/>
        </w:rPr>
        <w:t>Aspectos Funcionais e Não-Funcionais</w:t>
      </w:r>
      <w:bookmarkEnd w:id="28"/>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 A Figura 2 reúne esses atores e casos de uso.</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Cinco requisitos não funcionais orientaram o projeto. A reprodutibilidade exige que qualquer resultado possa ser reconstruído a partir dos dados originais, que permanecem imutáveis. A explicabilidade obriga o sistema a justificar cada indicação de prioridade, o que restringe a escolha às soluções cujas previsões possam ser decompostas e apresentadas ao gestor. A ausência de vazamento pede que a validação respeite a ordem do tempo e a proximidade geográfica: o sistema nunca pode ser avaliado com informação que não teria no momento do uso, sob pena de produzir números otimistas e falsos. A testabilidade cobre cada módulo com testes automatizados. E a portabilidade requer que a aplicação seja empacotável para implantação, sem depender da máquina de desenvolvimento.</w:t>
      </w:r>
    </w:p>
    <w:p w14:paraId="64DEEBC7">
      <w:pPr>
        <w:pStyle w:val="4"/>
        <w:numPr>
          <w:ilvl w:val="1"/>
          <w:numId w:val="1"/>
        </w:numPr>
      </w:pPr>
      <w:bookmarkStart w:id="29" w:name="_Toc15245"/>
      <w:r>
        <w:rPr>
          <w:rFonts w:ascii="Arial" w:hAnsi="Arial" w:eastAsia="Arial" w:cs="Arial"/>
          <w:b w:val="0"/>
        </w:rPr>
        <w:t>Visão Estrutural</w:t>
      </w:r>
      <w:bookmarkEnd w:id="29"/>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e sem ciclos, ou seja, nenhuma camada depende, direta ou indiretamente, de outra que dependa dela: a camada de características depende da camada de dados; a de modelo, da de características; a do painel, da de modelo. A configuração é transversal a todas. Os scripts de análise e os testes consomem as camadas de produção, e nenhuma camada de produção depende deles. É essa orientação acíclica, representada na Figura 3,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O acoplamento é fraco: nenhum componente precisa que o outro esteja em execução, o que permite retomar o fluxo a partir de qualquer etapa. A Figura 4 mostra esses componentes e o caminho percorrido pelos dados.</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30" w:name="_Toc31374"/>
      <w:r>
        <w:rPr>
          <w:rFonts w:ascii="Arial" w:hAnsi="Arial" w:eastAsia="Arial" w:cs="Arial"/>
          <w:b w:val="0"/>
        </w:rPr>
        <w:t>Visão Comportamental</w:t>
      </w:r>
      <w:bookmarkEnd w:id="30"/>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 A Figura 5 detalha essa sequência.</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1" w:name="_Toc14527"/>
      <w:r>
        <w:rPr>
          <w:rFonts w:ascii="Arial" w:hAnsi="Arial" w:eastAsia="Arial" w:cs="Arial"/>
          <w:b w:val="0"/>
        </w:rPr>
        <w:t>Visão de Implementação e Implantação</w:t>
      </w:r>
      <w:bookmarkEnd w:id="31"/>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 A Figura 6 representa esse arranjo.</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2" w:name="_Toc12991"/>
      <w:r>
        <w:rPr>
          <w:rFonts w:ascii="Arial" w:hAnsi="Arial" w:eastAsia="Arial" w:cs="Arial"/>
          <w:b w:val="0"/>
        </w:rPr>
        <w:t>Tecnologias e Aspectos de Implementação</w:t>
      </w:r>
      <w:bookmarkEnd w:id="32"/>
    </w:p>
    <w:p w14:paraId="6E080A24">
      <w:pPr>
        <w:pStyle w:val="4"/>
        <w:numPr>
          <w:ilvl w:val="1"/>
          <w:numId w:val="1"/>
        </w:numPr>
      </w:pPr>
      <w:bookmarkStart w:id="33" w:name="_Toc29809"/>
      <w:r>
        <w:rPr>
          <w:rFonts w:ascii="Arial" w:hAnsi="Arial" w:eastAsia="Arial" w:cs="Arial"/>
          <w:b w:val="0"/>
        </w:rPr>
        <w:t>Soluções de Tecnologia</w:t>
      </w:r>
      <w:bookmarkEnd w:id="33"/>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(McKINNEY, 2010) e NumPy (HARRIS et al., 2020); a leitura das planilhas do INEP usa o openpyxl.</w:t>
      </w:r>
    </w:p>
    <w:p w14:paraId="1615CA9A">
      <w:pPr>
        <w:pStyle w:val="3"/>
        <w:ind w:firstLine="0"/>
        <w:rPr>
          <w:color w:val="2E75B5"/>
        </w:rPr>
      </w:pPr>
      <w:r>
        <w:rPr>
          <w:rFonts w:ascii="Arial" w:hAnsi="Arial" w:eastAsia="Arial" w:cs="Arial"/>
          <w:b w:val="0"/>
        </w:rPr>
        <w:t>A construção do modelo usa o scikit-learn (PEDREGOSA et al., 2011) e o XGBoost (CHEN; GUESTRIN, 2016). Do scikit-learn vêm o preparo das características, os modelos de referência, a busca de configuração e os protocolos de validação; do XGBoost,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(LUNDBERG; LEE, 2017),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4" w:name="_Toc30709"/>
      <w:r>
        <w:rPr>
          <w:rFonts w:ascii="Arial" w:hAnsi="Arial" w:eastAsia="Arial" w:cs="Arial"/>
          <w:b w:val="0"/>
        </w:rPr>
        <w:t>Aspectos de Implementação</w:t>
      </w:r>
      <w:bookmarkEnd w:id="34"/>
    </w:p>
    <w:p w14:paraId="1D664FD8">
      <w:pPr>
        <w:pStyle w:val="5"/>
        <w:numPr>
          <w:ilvl w:val="2"/>
          <w:numId w:val="1"/>
        </w:numPr>
      </w:pPr>
      <w:bookmarkStart w:id="35" w:name="_Toc19598"/>
      <w:r>
        <w:rPr>
          <w:rFonts w:ascii="Arial" w:hAnsi="Arial" w:eastAsia="Arial" w:cs="Arial"/>
          <w:b w:val="0"/>
        </w:rPr>
        <w:t>Estrutura do Código</w:t>
      </w:r>
      <w:bookmarkEnd w:id="35"/>
    </w:p>
    <w:p w14:paraId="5F719458">
      <w:pPr>
        <w:pStyle w:val="3"/>
        <w:ind w:firstLine="0"/>
        <w:rPr>
          <w:color w:val="2E75B5"/>
        </w:rPr>
      </w:pPr>
      <w:r>
        <w:rPr>
          <w:rFonts w:ascii="Arial" w:hAnsi="Arial" w:eastAsia="Arial" w:cs="Arial"/>
          <w:b w:val="0"/>
        </w:rPr>
        <w:t>A separação entre código de produção e código de análise, estabelecida no Capítulo 3, materializa-se em diretórios.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numerados na ordem em que devem ser executados, ficam em notebooks; a aplicação do painel, em app; e os testes, em tests.</w:t>
      </w:r>
    </w:p>
    <w:p w14:paraId="0DB58165">
      <w:pPr>
        <w:pStyle w:val="5"/>
        <w:numPr>
          <w:ilvl w:val="2"/>
          <w:numId w:val="1"/>
        </w:numPr>
      </w:pPr>
      <w:bookmarkStart w:id="36" w:name="_Toc18056"/>
      <w:r>
        <w:rPr>
          <w:rFonts w:ascii="Arial" w:hAnsi="Arial" w:eastAsia="Arial" w:cs="Arial"/>
          <w:b w:val="0"/>
        </w:rPr>
        <w:t>Fluxo dos Dados</w:t>
      </w:r>
      <w:bookmarkEnd w:id="36"/>
    </w:p>
    <w:p w14:paraId="067CFA9E">
      <w:pPr>
        <w:pStyle w:val="3"/>
        <w:ind w:firstLine="0"/>
        <w:rPr>
          <w:color w:val="2E75B5"/>
        </w:rPr>
      </w:pPr>
      <w:r>
        <w:rPr>
          <w:rFonts w:ascii="Arial" w:hAnsi="Arial" w:eastAsia="Arial" w:cs="Arial"/>
          <w:b w:val="0"/>
        </w:rPr>
        <w:t>Os três estágios de dados também correspondem a diretórios distintos: os arquivos originais do INEP, que permanecem imutáveis; os arquivos intermediários, um por fonte, já padronizados por escola e ano; e o conjunto final usado na previsão. Cada etapa lê o artefato da etapa anterior e grava o seu em disco, no formato Parquet. Como nenhuma etapa aciona a seguinte diretamente, é possível reexecutar apenas o trecho afetado por uma correção, sem repetir o fluxo inteiro.</w:t>
      </w:r>
    </w:p>
    <w:p w14:paraId="79BA5652">
      <w:pPr>
        <w:pStyle w:val="5"/>
        <w:numPr>
          <w:ilvl w:val="2"/>
          <w:numId w:val="1"/>
        </w:numPr>
      </w:pPr>
      <w:bookmarkStart w:id="37" w:name="_Toc29114"/>
      <w:r>
        <w:rPr>
          <w:rFonts w:ascii="Arial" w:hAnsi="Arial" w:eastAsia="Arial" w:cs="Arial"/>
          <w:b w:val="0"/>
        </w:rPr>
        <w:t>Painel Interativo</w:t>
      </w:r>
      <w:bookmarkEnd w:id="37"/>
    </w:p>
    <w:p w14:paraId="314579C9">
      <w:pPr>
        <w:pStyle w:val="3"/>
        <w:ind w:firstLine="0"/>
        <w:rPr>
          <w:color w:val="2E75B5"/>
        </w:rPr>
      </w:pPr>
      <w:r>
        <w:rPr>
          <w:rFonts w:ascii="Arial" w:hAnsi="Arial" w:eastAsia="Arial" w:cs="Arial"/>
          <w:b w:val="0"/>
        </w:rPr>
        <w:t>No painel, essa mesma disciplina se traduz em três partes. A camada de serviço concentra a regra de negócio: lista de risco, explicação por escola e diagnóstico. Um módulo à parte traduz os nomes técnicos das colunas para a linguagem do gestor. A interface apenas consome essas duas partes. O modelo e o conjunto de características são carregados uma única vez, quando a aplicação sobe, e as explicações de todas as escolas são calculadas nesse momento, de modo que a navegação entre filtros e abas não repete o cálculo. Como a regra vive fora da tela, ela é testada sem que a interface precise ser executada.</w:t>
      </w:r>
    </w:p>
    <w:p w14:paraId="7F290BC8">
      <w:pPr>
        <w:pStyle w:val="5"/>
        <w:numPr>
          <w:ilvl w:val="2"/>
          <w:numId w:val="1"/>
        </w:numPr>
      </w:pPr>
      <w:bookmarkStart w:id="38" w:name="_Toc25461"/>
      <w:r>
        <w:rPr>
          <w:rFonts w:ascii="Arial" w:hAnsi="Arial" w:eastAsia="Arial" w:cs="Arial"/>
          <w:b w:val="0"/>
        </w:rPr>
        <w:t>Testes Automatizados</w:t>
      </w:r>
      <w:bookmarkEnd w:id="38"/>
    </w:p>
    <w:p w14:paraId="79F7FAEC">
      <w:pPr>
        <w:pStyle w:val="3"/>
        <w:ind w:firstLine="0"/>
        <w:rPr>
          <w:color w:val="2E75B5"/>
        </w:rPr>
      </w:pPr>
      <w:r>
        <w:rPr>
          <w:rFonts w:ascii="Arial" w:hAnsi="Arial" w:eastAsia="Arial" w:cs="Arial"/>
          <w:b w:val="0"/>
        </w:rPr>
        <w:t>A suíte é executada pelo pytest e organizada em um módulo por camada. Os testes constroem os próprios dados sintéticos, pequenos e escritos no corpo de cada caso, de modo que nenhuma execução depende dos microdados do INEP — que são grandes e podem não estar disponíveis em outra máquina. Os riscos cobertos por cada módulo estão detalhados no Capítulo 6.</w:t>
      </w:r>
    </w:p>
    <w:p w14:paraId="5CDC61E9">
      <w:pPr>
        <w:pStyle w:val="5"/>
        <w:numPr>
          <w:ilvl w:val="2"/>
          <w:numId w:val="1"/>
        </w:numPr>
      </w:pPr>
      <w:bookmarkStart w:id="39" w:name="_Toc14403"/>
      <w:r>
        <w:rPr>
          <w:rFonts w:ascii="Arial" w:hAnsi="Arial" w:eastAsia="Arial" w:cs="Arial"/>
          <w:b w:val="0"/>
        </w:rPr>
        <w:t>Gerenciamento de Dependências</w:t>
      </w:r>
      <w:bookmarkEnd w:id="39"/>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atendendo ao requisito de reprodutibilidade estabelecido na arquitetura.</w:t>
      </w:r>
    </w:p>
    <w:p w14:paraId="7A9D3065">
      <w:pPr>
        <w:pStyle w:val="2"/>
        <w:numPr>
          <w:ilvl w:val="0"/>
          <w:numId w:val="1"/>
        </w:numPr>
        <w:rPr>
          <w:color w:val="000000"/>
        </w:rPr>
      </w:pPr>
      <w:bookmarkStart w:id="40" w:name="_Toc28682"/>
      <w:r>
        <w:rPr>
          <w:rFonts w:ascii="Arial" w:hAnsi="Arial" w:eastAsia="Arial" w:cs="Arial"/>
          <w:b w:val="0"/>
        </w:rPr>
        <w:t>Testes e Análise dos Resultados</w:t>
      </w:r>
      <w:bookmarkEnd w:id="40"/>
    </w:p>
    <w:p w14:paraId="5264F51A">
      <w:pPr>
        <w:pStyle w:val="4"/>
        <w:numPr>
          <w:ilvl w:val="1"/>
          <w:numId w:val="1"/>
        </w:numPr>
      </w:pPr>
      <w:bookmarkStart w:id="41" w:name="_Toc18830"/>
      <w:r>
        <w:rPr>
          <w:rFonts w:ascii="Arial" w:hAnsi="Arial" w:eastAsia="Arial" w:cs="Arial"/>
          <w:b w:val="0"/>
        </w:rPr>
        <w:t>Testes de Software</w:t>
      </w:r>
      <w:bookmarkEnd w:id="41"/>
    </w:p>
    <w:p w14:paraId="6D115D9C">
      <w:pPr>
        <w:pStyle w:val="3"/>
        <w:ind w:firstLine="0"/>
        <w:rPr>
          <w:color w:val="2E75B5"/>
        </w:rPr>
      </w:pPr>
      <w:r>
        <w:rPr>
          <w:rFonts w:ascii="Arial" w:hAnsi="Arial" w:eastAsia="Arial" w:cs="Arial"/>
          <w:b w:val="0"/>
        </w:rPr>
        <w:t>A corretude do sistema é garantida por uma suíte de 138 testes automatizados, que roda por inteiro a cada alteração; todos passam na última execução. Mais do que a quantidade, importa o tipo de risco que eles cobrem. Em sistemas que aprendem a partir de dados, os erros de preparação em geral não interrompem a execução: produzem, em silêncio, um modelo inválido que continua respondendo normalmente, risco já documentado como característico de sistemas de aprendizado de máquina em produção (SCULLEY et al., 2015). Um deslocamento de um ano no casamento entre as características e o abandono, por exemplo, destruiria todo o valor preditivo sem gerar qualquer sintoma. Por isso os testes se concentram nos riscos que comprometeriam a validade dos resultados. O Quadro 4 relaciona os principais módulos de teste aos riscos que cada um cobre.</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r w14:paraId="1226E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CFCCD04">
            <w:r>
              <w:rPr>
                <w:rFonts w:ascii="Arial" w:hAnsi="Arial" w:eastAsia="Arial" w:cs="Arial"/>
                <w:b w:val="0"/>
                <w:sz w:val="18"/>
              </w:rPr>
              <w:t>test_predicao.py</w:t>
            </w:r>
          </w:p>
        </w:tc>
        <w:tc>
          <w:tcPr>
            <w:tcW w:w="6520" w:type="dxa"/>
          </w:tcPr>
          <w:p w14:paraId="1D3BE26E">
            <w:r>
              <w:rPr>
                <w:rFonts w:ascii="Arial" w:hAnsi="Arial" w:eastAsia="Arial" w:cs="Arial"/>
                <w:b w:val="0"/>
                <w:sz w:val="18"/>
              </w:rPr>
              <w:t>Geração da lista para um ano ainda não observado: características idênticas às do treino, ausência de lacunas e falha explícita quando o ano não tem dados</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42" w:name="_Toc4133"/>
      <w:r>
        <w:rPr>
          <w:rFonts w:ascii="Arial" w:hAnsi="Arial" w:eastAsia="Arial" w:cs="Arial"/>
          <w:b w:val="0"/>
        </w:rPr>
        <w:t>Caracterização dos Dados e Análise das Características Usadas</w:t>
      </w:r>
      <w:bookmarkEnd w:id="42"/>
    </w:p>
    <w:p w14:paraId="4D464269">
      <w:pPr>
        <w:pStyle w:val="5"/>
        <w:numPr>
          <w:ilvl w:val="2"/>
          <w:numId w:val="1"/>
        </w:numPr>
      </w:pPr>
      <w:bookmarkStart w:id="43" w:name="_Toc488"/>
      <w:r>
        <w:rPr>
          <w:rFonts w:ascii="Arial" w:hAnsi="Arial" w:eastAsia="Arial" w:cs="Arial"/>
          <w:b w:val="0"/>
        </w:rPr>
        <w:t>Base Construída</w:t>
      </w:r>
      <w:bookmarkEnd w:id="43"/>
    </w:p>
    <w:p w14:paraId="4E588503">
      <w:pPr>
        <w:pStyle w:val="3"/>
        <w:ind w:firstLine="0"/>
        <w:rPr>
          <w:color w:val="2E75B5"/>
        </w:rPr>
      </w:pPr>
      <w:r>
        <w:rPr>
          <w:rFonts w:ascii="Arial" w:hAnsi="Arial" w:eastAsia="Arial" w:cs="Arial"/>
          <w:b w:val="0"/>
        </w:rPr>
        <w:t>A base histórica reúne 2.392 registros de 806 escolas, 97,4% delas presentes nos três anos,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5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2022 para 2023 e 2023 para 2024, de modo que as 791 linhas de 2024 não servem de origem, por não haver 2025 a observar. Essas linhas não se perdem: são o alvo das linhas de 2023. Descontadas,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44" w:name="_Toc24378"/>
      <w:r>
        <w:rPr>
          <w:rFonts w:ascii="Arial" w:hAnsi="Arial" w:eastAsia="Arial" w:cs="Arial"/>
          <w:b w:val="0"/>
        </w:rPr>
        <w:t>O Que o Sistema Prevê</w:t>
      </w:r>
      <w:bookmarkEnd w:id="44"/>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Em 68% das observações a taxa é exatamente zero, ou seja, a maioria das escolas não registra abandono no ano. E o risco é muito desigual entre grupos: em 2024 a taxa média foi de 0,6% nas 679 escolas urbanas (desvio-padrão de 1,8 ponto), 0,9% nas 70 rurais (desvio-padrão de 1,8) e 6,3% nas 42 escolas indígenas e quilombolas (desvio-padrão de 8,9).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de baixo a crítico,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79745" cy="1981291"/>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5" w:name="_Toc26082"/>
      <w:r>
        <w:rPr>
          <w:rFonts w:ascii="Arial" w:hAnsi="Arial" w:eastAsia="Arial" w:cs="Arial"/>
          <w:b w:val="0"/>
        </w:rPr>
        <w:t>Análise Estatística das Características Contínuas</w:t>
      </w:r>
      <w:bookmarkEnd w:id="45"/>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As taxas de rendimento e os quatro indicadores educacionais que aparecem no quadro merecem definição. As taxas de abandono e de reprovação do ano anterior são percentuais de matrículas publicados pelo INEP, apresentados para o Ensino Médio como um todo e para cada série.</w:t>
      </w:r>
    </w:p>
    <w:p w14:paraId="14A85065">
      <w:pPr>
        <w:pStyle w:val="3"/>
        <w:ind w:firstLine="0"/>
        <w:rPr>
          <w:color w:val="2E75B5"/>
        </w:rPr>
      </w:pPr>
      <w:r>
        <w:rPr>
          <w:rFonts w:ascii="Arial" w:hAnsi="Arial" w:eastAsia="Arial" w:cs="Arial"/>
          <w:b w:val="0"/>
        </w:rPr>
        <w:t>A distorção idade-série, referida no restante do texto e nos quadros do Apêndice A também como defasagem idade-série, é o percentual de alunos com dois anos ou mais acima da idade esperada para a série que cursam.</w:t>
      </w:r>
    </w:p>
    <w:p w14:paraId="7841EB8B">
      <w:pPr>
        <w:pStyle w:val="3"/>
        <w:ind w:firstLine="0"/>
        <w:rPr>
          <w:color w:val="2E75B5"/>
        </w:rPr>
      </w:pPr>
      <w:r>
        <w:rPr>
          <w:rFonts w:ascii="Arial" w:hAnsi="Arial" w:eastAsia="Arial" w:cs="Arial"/>
          <w:b w:val="0"/>
        </w:rPr>
        <w:t>O nível socioeconômico (INSE) é uma escala contínua calculada pelo INEP a partir do perfil das famílias dos alunos (BRASIL, 2024b): escolaridade dos pais, renda e bens do domicílio. Valores maiores indicam comunidades mais favorecidas. Entre as 69.820 escolas brasileiras avaliadas em 2021 a escala vai de 2,45 a 6,85; nesta rede, varia de 2,97 a 6,10, com média de 4,46.</w:t>
      </w:r>
    </w:p>
    <w:p w14:paraId="251A6EAD">
      <w:pPr>
        <w:pStyle w:val="3"/>
        <w:ind w:firstLine="0"/>
        <w:rPr>
          <w:color w:val="2E75B5"/>
        </w:rPr>
      </w:pPr>
      <w:r>
        <w:rPr>
          <w:rFonts w:ascii="Arial" w:hAnsi="Arial" w:eastAsia="Arial" w:cs="Arial"/>
          <w:b w:val="0"/>
        </w:rPr>
        <w:t>A adequação da formação docente reparte os professores da escola em cinco grupos que somam 100%. O Grupo 1 reúne os professores com licenciatura na própria disciplina que lecionam, a formação considerada ideal; o Grupo 3, os de licenciatura em área diferente; e o Grupo 5, os sem ensino superior. Apenas esses três entram no sistema, por resumirem os dois extremos e o caso intermediário mais comum.</w:t>
      </w:r>
    </w:p>
    <w:p w14:paraId="49815EC8">
      <w:pPr>
        <w:pStyle w:val="3"/>
        <w:ind w:firstLine="0"/>
        <w:rPr>
          <w:color w:val="2E75B5"/>
        </w:rPr>
      </w:pPr>
      <w:r>
        <w:rPr>
          <w:rFonts w:ascii="Arial" w:hAnsi="Arial" w:eastAsia="Arial" w:cs="Arial"/>
          <w:b w:val="0"/>
        </w:rPr>
        <w:t>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A mediana divide a rede ao meio; quando fica muito abaixo da média, indica que poucas escolas com valores altos puxam o resultado para cima. A última coluna resume a relação de cada característica com o abandono do ano seguinte, num indicador que varia de −1 a +1. Positivo significa que a característica acompanha o aumento do abandono; negativo, que acompanha a redução. Quanto mais distante de zero, mais forte a associação. Os asteriscos indicam a confiança do resultado (* 95%, ** 99%, *** 99,9%); sem asterisco, a relação não se distingue do acaso. As unidades variam conforme a linha: taxas e proporções estão em pontos percentuais, e as demais seguem as escalas descritas acima. O porte é a única característica transformada — entra como logaritmo do número de matrículas, para que escolas muito grandes não dominem a comparação. Por isso a mediana de 5,87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17,8% do conjunto,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As características de fluxo concentram-se em zero: metade das escolas não registrou abandono no ano anterior, e a média de 1,72% é puxada por poucas escolas com valores muito altos, até 43,6%. O tempo integral comporta-se de forma quase binária, com a rede dividida entre escolas totalmente integrais e escolas sem nenhuma matrícula nessa modalidade, e pouca coisa no meio. Já a defasagem idade-série distribui-se de maneira equilibrada, em torno de 23%, o que a torna especialmente útil para diferenciar escolas. A Figura 8 reúne a distribuição das 23 características em um único painel.</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6" w:name="_Toc4796"/>
      <w:r>
        <w:rPr>
          <w:rFonts w:ascii="Arial" w:hAnsi="Arial" w:eastAsia="Arial" w:cs="Arial"/>
          <w:b w:val="0"/>
        </w:rPr>
        <w:t>Análise Estatística das Características de Sim ou Não</w:t>
      </w:r>
      <w:bookmarkEnd w:id="46"/>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está na localização, não na infraestrutura.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entre as escolas que têm o atributo e as que não têm, e por isso se completam: somadas, dão o total da rede. As duas colunas seguintes são de outra natureza, pois cada uma traz a taxa média de abandono no ano seguinte dentro de um desses grupos. São duas médias do mesmo indicador, medidas em conjuntos diferentes de escolas, e não há razão para que se somem a 100%;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 A Figura 9 apresenta a mesma comparação em forma gráfica.</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7" w:name="_Toc13227"/>
      <w:r>
        <w:rPr>
          <w:rFonts w:ascii="Arial" w:hAnsi="Arial" w:eastAsia="Arial" w:cs="Arial"/>
          <w:b w:val="0"/>
        </w:rPr>
        <w:t>A Região do Estado</w:t>
      </w:r>
      <w:bookmarkEnd w:id="47"/>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 O Quadro 8 e a Figura 10 detalham o peso de cada região no conjunto de dados e o abandono médio observado em cada uma.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8" w:name="_Toc23709"/>
      <w:r>
        <w:rPr>
          <w:rFonts w:ascii="Arial" w:hAnsi="Arial" w:eastAsia="Arial" w:cs="Arial"/>
          <w:b w:val="0"/>
        </w:rPr>
        <w:t>Quais Características Têm Valor para a Previsão</w:t>
      </w:r>
      <w:bookmarkEnd w:id="48"/>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não se separaram do acaso: Porte (nº de matrículas), Adequação da formação docente — Grupo 3, Banda larga, Esgoto em rede pública, Água potável, Internet, Auditório e Sala de leitura.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 A Figura 11 ordena todas as características numéricas por essa relação.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mais forte, de longe, é o histórico recente da própria escola: abandono e reprovação do ano anterior. Vem depois o perfil dos alunos, com a defasagem idade-série e o nível socioeconômico. Por último,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o esforço docente e a complexidade de gestão, foram submetidos ao mesmo critério e não entraram no sistema. O esforço docente tem relação fraca com o abandono; a complexidade de gestão repete a informação já trazida pela defasagem idade-série. Uma comparação controlada, com e sem os dois, confirmou a ausência de ganho: a qualidade da ordenação ficou praticamente idêntica e o erro médio piorou ligeiramente. Contratar um segundo funcionário para o serviço que o primeiro já faz não aumenta a produção. Ambos permanecem no projeto apenas como caracterização descritiva da rede.</w:t>
      </w:r>
    </w:p>
    <w:p w14:paraId="63600EC3">
      <w:pPr>
        <w:pStyle w:val="3"/>
        <w:ind w:firstLine="0"/>
        <w:rPr>
          <w:color w:val="2E75B5"/>
        </w:rPr>
      </w:pPr>
      <w:r>
        <w:rPr>
          <w:rFonts w:ascii="Arial" w:hAnsi="Arial" w:eastAsia="Arial" w:cs="Arial"/>
          <w:b w:val="0"/>
        </w:rPr>
        <w:t>A caracterização das escolas fixa o critério que orienta o restante do capítulo. Como o que se exige do sistema é colocar no topo da lista as escolas que de fato terão abandono alto, a avaliação a seguir julga sobretudo a ordem prevista, e não o valor exato da taxa.</w:t>
      </w:r>
    </w:p>
    <w:p w14:paraId="3F71063F">
      <w:pPr>
        <w:pStyle w:val="4"/>
        <w:numPr>
          <w:ilvl w:val="1"/>
          <w:numId w:val="1"/>
        </w:numPr>
      </w:pPr>
      <w:bookmarkStart w:id="49" w:name="_Toc30713"/>
      <w:r>
        <w:rPr>
          <w:rFonts w:ascii="Arial" w:hAnsi="Arial" w:eastAsia="Arial" w:cs="Arial"/>
          <w:b w:val="0"/>
        </w:rPr>
        <w:t>Desempenho do Sistema</w:t>
      </w:r>
      <w:bookmarkEnd w:id="49"/>
    </w:p>
    <w:p w14:paraId="4805032B">
      <w:pPr>
        <w:pStyle w:val="5"/>
        <w:numPr>
          <w:ilvl w:val="2"/>
          <w:numId w:val="1"/>
        </w:numPr>
      </w:pPr>
      <w:bookmarkStart w:id="50" w:name="_Toc30465"/>
      <w:r>
        <w:rPr>
          <w:rFonts w:ascii="Arial" w:hAnsi="Arial" w:eastAsia="Arial" w:cs="Arial"/>
          <w:b w:val="0"/>
        </w:rPr>
        <w:t>Como o Desempenho Foi Medido</w:t>
      </w:r>
      <w:bookmarkEnd w:id="50"/>
    </w:p>
    <w:p w14:paraId="22E30C10">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mais exigente: treinar com o par 2022–2023 e prever o par 2023–2024, isto é, um ano que o sistema nunca viu. É esse que simula o uso real. Ambos seguem a recomendação de que dados com estrutura espacial ou temporal exijam esquemas de validação capazes de separar os blocos dependentes, sob pena de superestimar o desempenho (ROBERTS et al., 2017).</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bookmarkStart w:id="51" w:name="_Toc2948"/>
      <w:r>
        <w:rPr>
          <w:rFonts w:ascii="Arial" w:hAnsi="Arial" w:eastAsia="Arial" w:cs="Arial"/>
          <w:b w:val="0"/>
        </w:rPr>
        <w:t>Resultados em Validação Repetida</w:t>
      </w:r>
      <w:bookmarkEnd w:id="51"/>
    </w:p>
    <w:p w14:paraId="420AAE76">
      <w:pPr>
        <w:pStyle w:val="3"/>
        <w:ind w:firstLine="0"/>
        <w:rPr>
          <w:color w:val="auto"/>
          <w:highlight w:val="none"/>
        </w:rPr>
      </w:pPr>
      <w:r>
        <w:rPr>
          <w:color w:val="auto"/>
          <w:highlight w:val="none"/>
        </w:rPr>
        <w:t>O Quadro 9 reúne o desempenho dos quatro modelos sob o primeiro protocolo, com a faixa de confiança obtida nas 20 repetições.</w:t>
      </w:r>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ABBCF8C">
      <w:pPr>
        <w:pStyle w:val="3"/>
        <w:ind w:firstLine="0"/>
        <w:rPr>
          <w:color w:val="2E75B5"/>
        </w:rPr>
      </w:pPr>
      <w:r>
        <w:rPr>
          <w:rFonts w:ascii="Arial" w:hAnsi="Arial" w:eastAsia="Arial" w:cs="Arial"/>
          <w:b w:val="0"/>
        </w:rPr>
        <w:t>Cada coluna do Quadro 9 conta uma história diferente. O erro médio melhora pouco: o sistema continua errando o valor exato da taxa. Já a ordenação e o acerto da lista prioritária melhoram muito em relação à média da rede. Na ordenação os três modelos ficam praticamente empatados, com intervalos de confiança que se sobrepõem e sem vencedor claro, e o modelo adotado acompanha os demais: das escolas que ele aponta como prioritárias, cerca de metade estava de fato entre as mais críticas, contra 7 em cada 100 na escolha ao acaso, sete vezes mais. A Figura 12 mostra como essas três medidas se distribuem ao longo das 20 repetições.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79745" cy="1667682"/>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2" w:name="_Toc19034"/>
      <w:r>
        <w:rPr>
          <w:rFonts w:ascii="Arial" w:hAnsi="Arial" w:eastAsia="Arial" w:cs="Arial"/>
          <w:b w:val="0"/>
        </w:rPr>
        <w:t>Resultados no Teste do Ano Nunca Visto</w:t>
      </w:r>
      <w:bookmarkEnd w:id="52"/>
    </w:p>
    <w:p w14:paraId="0226D584">
      <w:pPr>
        <w:pStyle w:val="3"/>
        <w:ind w:firstLine="0"/>
        <w:rPr>
          <w:color w:val="auto"/>
          <w:highlight w:val="none"/>
        </w:rPr>
      </w:pPr>
      <w:bookmarkStart w:id="67" w:name="_GoBack"/>
      <w:r>
        <w:rPr>
          <w:color w:val="auto"/>
          <w:highlight w:val="none"/>
        </w:rPr>
        <w:t>O Quadro 10 repete a comparação sob o segundo protocolo, em que o modelo aprende com os pares de 2022 e 2023 e é avaliado num ano que nunca viu.</w:t>
      </w:r>
    </w:p>
    <w:bookmarkEnd w:id="67"/>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O Quadro 10 traz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O sistema se comporta como um termômetro descalibrado: erra alguns graus, mas aponta corretamente quem está com mais febre. Para priorizar intervenções, é a ordem que importa. A limitação de magnitude vem da janela curta de dados, apenas dois pares de anos,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0,798 para o modelo adotado, na faixa típica dos estudos da área.</w:t>
      </w:r>
    </w:p>
    <w:p w14:paraId="6F1254E4">
      <w:pPr>
        <w:pStyle w:val="3"/>
        <w:ind w:firstLine="0"/>
        <w:rPr>
          <w:color w:val="2E75B5"/>
        </w:rPr>
      </w:pPr>
      <w:r>
        <w:rPr>
          <w:rFonts w:ascii="Arial" w:hAnsi="Arial" w:eastAsia="Arial" w:cs="Arial"/>
          <w:b w:val="0"/>
        </w:rPr>
        <w:t>Entre modelos tão próximos, o XGBoost foi mantido como modelo principal por duas razões, reconhecendo-se que a escolha não é imposta pelos números. A primeira tem a ver com o propósito do sistema. Como o objetivo é priorizar, isto é, ordenar as escolas por risco, as medidas que mais importam são a ordenação e o acerto da lista prioritária. É nelas que o modelo adotado se sai melhor no teste do ano nunca visto, o cenário que reproduz o uso real. O modelo em árvores de referência leva vantagem no erro de magnitude e na separação entre escolas críticas e não críticas, dimensões menos centrais para a decisão de onde intervir primeiro. A segunda razão é prática: é sobre o modelo adotado que se constroem as explicações apresentadas na seção seguinte. Como as diferenças entre os três modelos permanecem dentro da margem de incerteza, a escolha não representa perda de desempenho relevante.</w:t>
      </w:r>
    </w:p>
    <w:p w14:paraId="24977E46">
      <w:pPr>
        <w:pStyle w:val="5"/>
        <w:numPr>
          <w:ilvl w:val="2"/>
          <w:numId w:val="1"/>
        </w:numPr>
      </w:pPr>
      <w:bookmarkStart w:id="53" w:name="_Toc17703"/>
      <w:r>
        <w:rPr>
          <w:rFonts w:ascii="Arial" w:hAnsi="Arial" w:eastAsia="Arial" w:cs="Arial"/>
          <w:b w:val="0"/>
        </w:rPr>
        <w:t>Resultados em Cada Transição Anual</w:t>
      </w:r>
      <w:bookmarkEnd w:id="53"/>
    </w:p>
    <w:p w14:paraId="68971E2A">
      <w:pPr>
        <w:pStyle w:val="3"/>
        <w:ind w:firstLine="0"/>
        <w:rPr>
          <w:color w:val="2E75B5"/>
        </w:rPr>
      </w:pPr>
      <w:r>
        <w:rPr>
          <w:rFonts w:ascii="Arial" w:hAnsi="Arial" w:eastAsia="Arial" w:cs="Arial"/>
          <w:b w:val="0"/>
        </w:rPr>
        <w:t>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a mesma régua do Quadro 9, aqui separada por ano em vez de agregada. É sempre o mesmo modelo; muda apenas o ano de referência. O Quadro 11 reúne os resultados dos dois cenários.</w:t>
      </w:r>
    </w:p>
    <w:p w14:paraId="07971620">
      <w:pPr>
        <w:pStyle w:val="3"/>
        <w:ind w:firstLine="0"/>
        <w:rPr>
          <w:color w:val="2E75B5"/>
        </w:rPr>
      </w:pPr>
      <w:r>
        <w:rPr>
          <w:rFonts w:ascii="Arial" w:hAnsi="Arial"/>
          <w:sz w:val="22"/>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sz w:val="18"/>
              </w:rPr>
              <w:t>Indicador de desempenho</w:t>
            </w:r>
          </w:p>
        </w:tc>
        <w:tc>
          <w:tcPr>
            <w:tcW w:w="2484" w:type="dxa"/>
          </w:tcPr>
          <w:p w14:paraId="434758FF">
            <w:r>
              <w:rPr>
                <w:rFonts w:ascii="Arial" w:hAnsi="Arial" w:eastAsia="Arial" w:cs="Arial"/>
                <w:b/>
                <w:sz w:val="18"/>
              </w:rPr>
              <w:t>Cenário 2022 → 2023</w:t>
            </w:r>
          </w:p>
        </w:tc>
        <w:tc>
          <w:tcPr>
            <w:tcW w:w="2484" w:type="dxa"/>
          </w:tcPr>
          <w:p w14:paraId="7D368DAD">
            <w:r>
              <w:rPr>
                <w:rFonts w:ascii="Arial" w:hAnsi="Arial" w:eastAsia="Arial" w:cs="Arial"/>
                <w:b/>
                <w:sz w:val="18"/>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sz w:val="18"/>
              </w:rPr>
              <w:t>Erro médio da taxa, p.p. (RMSE) — menor é melhor</w:t>
            </w:r>
          </w:p>
        </w:tc>
        <w:tc>
          <w:tcPr>
            <w:tcW w:w="2484" w:type="dxa"/>
          </w:tcPr>
          <w:p w14:paraId="290B08DD">
            <w:r>
              <w:rPr>
                <w:rFonts w:ascii="Arial" w:hAnsi="Arial" w:eastAsia="Arial" w:cs="Arial"/>
                <w:b w:val="0"/>
                <w:sz w:val="18"/>
              </w:rPr>
              <w:t>2,82 ± 0,34</w:t>
            </w:r>
          </w:p>
        </w:tc>
        <w:tc>
          <w:tcPr>
            <w:tcW w:w="2484" w:type="dxa"/>
          </w:tcPr>
          <w:p w14:paraId="4AFD25CB">
            <w:r>
              <w:rPr>
                <w:rFonts w:ascii="Arial" w:hAnsi="Arial" w:eastAsia="Arial" w:cs="Arial"/>
                <w:b w:val="0"/>
                <w:sz w:val="18"/>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sz w:val="18"/>
              </w:rPr>
              <w:t>Acerto da ordenação, de 0 a 1 (Spearman)</w:t>
            </w:r>
          </w:p>
        </w:tc>
        <w:tc>
          <w:tcPr>
            <w:tcW w:w="2484" w:type="dxa"/>
          </w:tcPr>
          <w:p w14:paraId="44C44AAA">
            <w:r>
              <w:rPr>
                <w:rFonts w:ascii="Arial" w:hAnsi="Arial" w:eastAsia="Arial" w:cs="Arial"/>
                <w:b w:val="0"/>
                <w:sz w:val="18"/>
              </w:rPr>
              <w:t>0,469 ± 0,039</w:t>
            </w:r>
          </w:p>
        </w:tc>
        <w:tc>
          <w:tcPr>
            <w:tcW w:w="2484" w:type="dxa"/>
          </w:tcPr>
          <w:p w14:paraId="3904D936">
            <w:r>
              <w:rPr>
                <w:rFonts w:ascii="Arial" w:hAnsi="Arial" w:eastAsia="Arial" w:cs="Arial"/>
                <w:b w:val="0"/>
                <w:sz w:val="18"/>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sz w:val="18"/>
              </w:rPr>
              <w:t>Acerto na lista prioritária, top 10% (Precision@K)</w:t>
            </w:r>
          </w:p>
        </w:tc>
        <w:tc>
          <w:tcPr>
            <w:tcW w:w="2484" w:type="dxa"/>
          </w:tcPr>
          <w:p w14:paraId="05EBC5C6">
            <w:r>
              <w:rPr>
                <w:rFonts w:ascii="Arial" w:hAnsi="Arial" w:eastAsia="Arial" w:cs="Arial"/>
                <w:b w:val="0"/>
                <w:sz w:val="18"/>
              </w:rPr>
              <w:t>0,627 ± 0,060</w:t>
            </w:r>
          </w:p>
        </w:tc>
        <w:tc>
          <w:tcPr>
            <w:tcW w:w="2484" w:type="dxa"/>
          </w:tcPr>
          <w:p w14:paraId="5ADDB3E1">
            <w:r>
              <w:rPr>
                <w:rFonts w:ascii="Arial" w:hAnsi="Arial" w:eastAsia="Arial" w:cs="Arial"/>
                <w:b w:val="0"/>
                <w:sz w:val="18"/>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sz w:val="18"/>
              </w:rPr>
              <w:t>Separação alto/baixo risco (ROC-AUC)</w:t>
            </w:r>
          </w:p>
        </w:tc>
        <w:tc>
          <w:tcPr>
            <w:tcW w:w="2484" w:type="dxa"/>
          </w:tcPr>
          <w:p w14:paraId="240799C6">
            <w:r>
              <w:rPr>
                <w:rFonts w:ascii="Arial" w:hAnsi="Arial" w:eastAsia="Arial" w:cs="Arial"/>
                <w:b w:val="0"/>
                <w:sz w:val="18"/>
              </w:rPr>
              <w:t>0,901 ± 0,035</w:t>
            </w:r>
          </w:p>
        </w:tc>
        <w:tc>
          <w:tcPr>
            <w:tcW w:w="2484" w:type="dxa"/>
          </w:tcPr>
          <w:p w14:paraId="1B1D9CD6">
            <w:r>
              <w:rPr>
                <w:rFonts w:ascii="Arial" w:hAnsi="Arial" w:eastAsia="Arial" w:cs="Arial"/>
                <w:b w:val="0"/>
                <w:sz w:val="18"/>
              </w:rPr>
              <w:t>0,813 ± 0,019</w:t>
            </w:r>
          </w:p>
        </w:tc>
      </w:tr>
    </w:tbl>
    <w:p w14:paraId="1C5D7AC1">
      <w:pPr>
        <w:pStyle w:val="3"/>
        <w:ind w:firstLine="0"/>
        <w:rPr>
          <w:color w:val="2E75B5"/>
        </w:rPr>
      </w:pPr>
      <w:r>
        <w:rPr>
          <w:rFonts w:ascii="Arial" w:hAnsi="Arial"/>
          <w:sz w:val="22"/>
        </w:rPr>
        <w:t>Fonte: elaborado pelo autor.</w:t>
      </w:r>
    </w:p>
    <w:p w14:paraId="326796B6">
      <w:pPr>
        <w:pStyle w:val="3"/>
        <w:ind w:firstLine="0"/>
        <w:rPr>
          <w:color w:val="2E75B5"/>
        </w:rPr>
      </w:pPr>
      <w:r>
        <w:rPr>
          <w:rFonts w:ascii="Arial" w:hAnsi="Arial" w:eastAsia="Arial" w:cs="Arial"/>
          <w:b w:val="0"/>
        </w:rPr>
        <w:t>O modelo mantém utilidade nas duas transições, mas rende mais na primeira. Na transição de 2022 para 2023, 63% das escolas que ele coloca no topo da lista estão de fato entre as de maior abandono. Na de 2023 para 2024, esse acerto cai para 38% — ainda muito acima dos cerca de 10% de uma escolha ao acaso. A queda acompanha a própria mudança da rede: o abandono médio caiu de 1,36% para 0,88% e as escolas se aproximaram de zero, o que reduz o erro absoluto e comprime o sinal que permite ordená-las. Mesmo no cenário mais difícil, a capacidade de separar as escolas de alto risco das demais permanece alta (0,81 numa escala em que 0,5 é o acaso). Os dois cenários cercam os valores do Quadro 9, que avalia as duas transições agregadas — sinal de que a decomposição é coerente com o desempenho global. A Figura 13 apresenta os dois cenários lado a lado.</w:t>
      </w:r>
    </w:p>
    <w:p w14:paraId="06ABB063">
      <w:pPr>
        <w:pStyle w:val="3"/>
        <w:ind w:firstLine="0"/>
        <w:rPr>
          <w:color w:val="2E75B5"/>
        </w:rPr>
      </w:pPr>
      <w:r>
        <w:rPr>
          <w:rFonts w:ascii="Arial" w:hAnsi="Arial"/>
          <w:sz w:val="22"/>
        </w:rPr>
        <w:t>Figura 13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sz w:val="22"/>
        </w:rPr>
        <w:t>Fonte: elaborado pelo autor.</w:t>
      </w:r>
    </w:p>
    <w:p w14:paraId="433FF695">
      <w:pPr>
        <w:pStyle w:val="3"/>
        <w:ind w:firstLine="0"/>
        <w:rPr>
          <w:color w:val="2E75B5"/>
        </w:rPr>
      </w:pPr>
      <w:r>
        <w:rPr>
          <w:rFonts w:ascii="Arial" w:hAnsi="Arial" w:eastAsia="Arial" w:cs="Arial"/>
          <w:b w:val="0"/>
        </w:rPr>
        <w:t>A mesma comparação entre os dois anos pode ser lida em número de alunos, e não em taxa. Convertendo a taxa de abandono de cada escola em quantidade de estudantes, ou seja, multiplicando-a pela matrícula do ensino médio no ano em que o abandono é medido, o resíduo passa a exprimir quantos alunos o sistema errou, para mais ou para menos, em cada escola. A Figura 14 apresenta esse resíduo, escola a escola, nas duas transições. Em ambas, a maioria das escolas concentra-se em torno de zero e o erro médio é de cerca de três alunos por escola (3,3 na transição de 2022 para 2023 e 3,0 na de 2023 para 2024), sem tendência sistemática de superestimar ou subestimar; as poucas escolas de maior porte, com dezenas de evasões, concentram os maiores desvios.</w:t>
      </w:r>
    </w:p>
    <w:p w14:paraId="23069A4F">
      <w:pPr>
        <w:pStyle w:val="3"/>
        <w:ind w:firstLine="0"/>
        <w:rPr>
          <w:color w:val="2E75B5"/>
        </w:rPr>
      </w:pPr>
      <w:r>
        <w:rPr>
          <w:rFonts w:ascii="Arial" w:hAnsi="Arial"/>
          <w:sz w:val="22"/>
        </w:rPr>
        <w:t>Figura 14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sz w:val="22"/>
        </w:rPr>
        <w:t>Fonte: elaborado pelo autor.</w:t>
      </w:r>
    </w:p>
    <w:p w14:paraId="2277BBB5">
      <w:pPr>
        <w:pStyle w:val="4"/>
        <w:numPr>
          <w:ilvl w:val="1"/>
          <w:numId w:val="1"/>
        </w:numPr>
      </w:pPr>
      <w:bookmarkStart w:id="54" w:name="_Toc27010"/>
      <w:r>
        <w:rPr>
          <w:rFonts w:ascii="Arial" w:hAnsi="Arial" w:eastAsia="Arial" w:cs="Arial"/>
          <w:b w:val="0"/>
        </w:rPr>
        <w:t>Capacidade de Priorização</w:t>
      </w:r>
      <w:bookmarkEnd w:id="54"/>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como ele prevê uma taxa, e não um rótulo de “em risco” ou “fora de risco”, o ponto de corte da lista pode ser escolhido depois, conforme o orçamento disponível.</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Vale aqui o princípio da triagem de um pronto-socorro: com vagas limitadas, a fila ordenada por gravidade encontra muito mais casos graves do que o atendimento por ordem de chegada. A Figura 15 compara o alcance da lista do sistema com o da escolha ao acaso, e a Figura 16 mostra como o acerto e o alcance variam conforme o tamanho da lista.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579745" cy="2134959"/>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55" w:name="_Toc19992"/>
      <w:r>
        <w:rPr>
          <w:rFonts w:ascii="Arial" w:hAnsi="Arial" w:eastAsia="Arial" w:cs="Arial"/>
          <w:b w:val="0"/>
        </w:rPr>
        <w:t>Explicação das Indicações</w:t>
      </w:r>
      <w:bookmarkEnd w:id="55"/>
    </w:p>
    <w:p w14:paraId="4564E80B">
      <w:pPr>
        <w:pStyle w:val="5"/>
        <w:numPr>
          <w:ilvl w:val="2"/>
          <w:numId w:val="1"/>
        </w:numPr>
      </w:pPr>
      <w:bookmarkStart w:id="56" w:name="_Toc15251"/>
      <w:r>
        <w:rPr>
          <w:rFonts w:ascii="Arial" w:hAnsi="Arial" w:eastAsia="Arial" w:cs="Arial"/>
          <w:b w:val="0"/>
        </w:rPr>
        <w:t>Visão Geral</w:t>
      </w:r>
      <w:bookmarkEnd w:id="56"/>
    </w:p>
    <w:p w14:paraId="5B8734FD">
      <w:pPr>
        <w:pStyle w:val="3"/>
        <w:ind w:firstLine="0"/>
        <w:rPr>
          <w:color w:val="2E75B5"/>
        </w:rPr>
      </w:pPr>
      <w:r>
        <w:rPr>
          <w:rFonts w:ascii="Arial" w:hAnsi="Arial" w:eastAsia="Arial" w:cs="Arial"/>
          <w:b w:val="0"/>
        </w:rPr>
        <w:t>Saber que uma escola está no topo da lista não basta; é preciso saber por quê. A técnica de explicação adotada é o SHAP (LUNDBERG; LEE, 2017), apresentado no Capítulo 2, que decompõe cada previsão na contribuição de cada característica. Aplicada a todo o conjunto, ela ordena as características por peso nas previsões do sistema. No topo está o abandono do ano anterior na 2ª série, seguido da defasagem idade-série. Vêm depois o abandono do Ensino Médio como um todo e o da 1ª série. Aparecem então a localização diferenciada — peso retomado adiante, em Erros do Modelo e Equidade — e a reprovação do ano anterior. Somadas, as medidas do ano anterior respondem pela maior parte do peso total. Esse peso confirma um princípio conhecido: o melhor previsor do tempo de amanhã costuma ser o tempo de hoje. A Figura 17 ordena as características por esse peso.</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7" w:name="_Toc12507"/>
      <w:r>
        <w:rPr>
          <w:rFonts w:ascii="Arial" w:hAnsi="Arial" w:eastAsia="Arial" w:cs="Arial"/>
          <w:b w:val="0"/>
        </w:rPr>
        <w:t>Direção dos Efeitos</w:t>
      </w:r>
      <w:bookmarkEnd w:id="57"/>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 A Figura 18 reúne, para cada característica, o peso e a direção de sua contribuição.</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8" w:name="_Toc10633"/>
      <w:r>
        <w:rPr>
          <w:rFonts w:ascii="Arial" w:hAnsi="Arial" w:eastAsia="Arial" w:cs="Arial"/>
          <w:b w:val="0"/>
        </w:rPr>
        <w:t>Explicação de Uma Escola</w:t>
      </w:r>
      <w:bookmarkEnd w:id="58"/>
    </w:p>
    <w:p w14:paraId="2C975AF9">
      <w:pPr>
        <w:pStyle w:val="3"/>
        <w:ind w:firstLine="0"/>
        <w:rPr>
          <w:rFonts w:ascii="Arial" w:hAnsi="Arial" w:eastAsia="Arial" w:cs="Arial"/>
          <w:b w:val="0"/>
        </w:rPr>
      </w:pPr>
      <w:r>
        <w:rPr>
          <w:rFonts w:ascii="Arial" w:hAnsi="Arial" w:eastAsia="Arial" w:cs="Arial"/>
          <w:b w:val="0"/>
        </w:rPr>
        <w:t>A decomposição também vale caso a caso. Para qualquer escola é possível mostrar como cada característica afastou sua previsão da média da rede, o que separa o mapa do clima de um país da previsão do tempo de uma cidade. Na escola de maior risco previsto, uma estadual indígena no município de Jatobá, as maiores contribuições positivas vêm do histórico de abandono, da defasagem idade-série e do abandono na 2ª série, como mostra a Figura 19. É essa explicação que o painel apresenta ao gestor para justificar cada indicação.</w:t>
      </w:r>
    </w:p>
    <w:p w14:paraId="124B9F2F">
      <w:pPr>
        <w:pStyle w:val="3"/>
        <w:ind w:firstLine="0"/>
        <w:rPr>
          <w:rFonts w:ascii="Arial" w:hAnsi="Arial" w:eastAsia="Arial" w:cs="Arial"/>
          <w:b w:val="0"/>
        </w:rPr>
      </w:pPr>
    </w:p>
    <w:p w14:paraId="6FB29AAC">
      <w:pPr>
        <w:pStyle w:val="3"/>
        <w:ind w:firstLine="0"/>
        <w:rPr>
          <w:rFonts w:ascii="Arial" w:hAnsi="Arial" w:eastAsia="Arial" w:cs="Arial"/>
          <w:b w:val="0"/>
        </w:rPr>
      </w:pPr>
    </w:p>
    <w:p w14:paraId="5F1B95E9">
      <w:pPr>
        <w:pStyle w:val="3"/>
        <w:ind w:firstLine="0"/>
        <w:rPr>
          <w:rFonts w:ascii="Arial" w:hAnsi="Arial" w:eastAsia="Arial" w:cs="Arial"/>
          <w:b w:val="0"/>
        </w:rPr>
      </w:pPr>
    </w:p>
    <w:p w14:paraId="3FC15897">
      <w:pPr>
        <w:pStyle w:val="3"/>
        <w:ind w:firstLine="0"/>
        <w:rPr>
          <w:rFonts w:ascii="Arial" w:hAnsi="Arial" w:eastAsia="Arial" w:cs="Arial"/>
          <w:b w:val="0"/>
        </w:rPr>
      </w:pPr>
    </w:p>
    <w:p w14:paraId="13A3067E">
      <w:pPr>
        <w:pStyle w:val="3"/>
        <w:ind w:firstLine="0"/>
        <w:rPr>
          <w:rFonts w:ascii="Arial" w:hAnsi="Arial" w:eastAsia="Arial" w:cs="Arial"/>
          <w:b w:val="0"/>
        </w:rPr>
      </w:pPr>
    </w:p>
    <w:p w14:paraId="28EA3091">
      <w:pPr>
        <w:pStyle w:val="3"/>
        <w:ind w:firstLine="0"/>
        <w:rPr>
          <w:rFonts w:ascii="Arial" w:hAnsi="Arial" w:eastAsia="Arial" w:cs="Arial"/>
          <w:b w:val="0"/>
        </w:rPr>
      </w:pPr>
    </w:p>
    <w:p w14:paraId="609565C8">
      <w:pPr>
        <w:pStyle w:val="3"/>
        <w:ind w:firstLine="0"/>
        <w:rPr>
          <w:rFonts w:ascii="Arial" w:hAnsi="Arial" w:eastAsia="Arial" w:cs="Arial"/>
          <w:b w:val="0"/>
        </w:rPr>
      </w:pPr>
    </w:p>
    <w:p w14:paraId="66540C6F">
      <w:pPr>
        <w:pStyle w:val="3"/>
        <w:ind w:firstLine="0"/>
        <w:rPr>
          <w:rFonts w:ascii="Arial" w:hAnsi="Arial" w:eastAsia="Arial" w:cs="Arial"/>
          <w:b w:val="0"/>
        </w:rPr>
      </w:pPr>
    </w:p>
    <w:p w14:paraId="6ECAB2CC">
      <w:pPr>
        <w:pStyle w:val="3"/>
        <w:ind w:firstLine="0"/>
        <w:rPr>
          <w:rFonts w:ascii="Arial" w:hAnsi="Arial" w:eastAsia="Arial" w:cs="Arial"/>
          <w:b w:val="0"/>
        </w:rPr>
      </w:pPr>
    </w:p>
    <w:p w14:paraId="0FE8D28F">
      <w:pPr>
        <w:pStyle w:val="3"/>
        <w:ind w:firstLine="0"/>
        <w:rPr>
          <w:rFonts w:ascii="Arial" w:hAnsi="Arial" w:eastAsia="Arial" w:cs="Arial"/>
          <w:b w:val="0"/>
        </w:rPr>
      </w:pPr>
    </w:p>
    <w:p w14:paraId="247A106E">
      <w:pPr>
        <w:pStyle w:val="3"/>
        <w:ind w:firstLine="0"/>
        <w:rPr>
          <w:rFonts w:ascii="Arial" w:hAnsi="Arial" w:eastAsia="Arial" w:cs="Arial"/>
          <w:b w:val="0"/>
        </w:rPr>
      </w:pP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9" w:name="_Toc16606"/>
      <w:r>
        <w:rPr>
          <w:rFonts w:ascii="Arial" w:hAnsi="Arial" w:eastAsia="Arial" w:cs="Arial"/>
          <w:b w:val="0"/>
        </w:rPr>
        <w:t>Erros do Modelo e Equidade</w:t>
      </w:r>
      <w:bookmarkEnd w:id="59"/>
    </w:p>
    <w:p w14:paraId="4E9AC818">
      <w:pPr>
        <w:pStyle w:val="3"/>
        <w:ind w:firstLine="0"/>
        <w:rPr>
          <w:color w:val="2E75B5"/>
        </w:rPr>
      </w:pPr>
      <w:r>
        <w:rPr>
          <w:rFonts w:ascii="Arial" w:hAnsi="Arial" w:eastAsia="Arial" w:cs="Arial"/>
          <w:b w:val="0"/>
        </w:rPr>
        <w:t>A análise dos erros por grupo revelou um achado de equidade que precisa ser declarado, na linha do que a literatura recomenda para sistemas preditivos aplicados a políticas públicas (BAROCAS; HARDT; NARAYANAN, 2023). No teste do ano nunca visto, o sistema erra para mais nas escolas de localização diferenciada: prevê risco alto para escolas indígenas e quilombolas cujo abandono observado é próximo de zero. O erro médio nesse grupo é de −6,12 pontos percentuais, contra +0,07 nas urbanas e +0,38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rural, de baixo nível socioeconômico e com alta defasagem idade-série, está associado a abandono alto, mas o abandono observado não acontece. É o que faz um seguro de automóvel cobrar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 A Figura 20 compara o erro médio do sistema entre os grupos de localização.</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60" w:name="_Toc5621"/>
      <w:r>
        <w:rPr>
          <w:rFonts w:ascii="Arial" w:hAnsi="Arial" w:eastAsia="Arial" w:cs="Arial"/>
          <w:b w:val="0"/>
        </w:rPr>
        <w:t>O Painel de Priorização ao Gestor</w:t>
      </w:r>
      <w:bookmarkEnd w:id="60"/>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1" w:name="_Toc10205"/>
      <w:r>
        <w:rPr>
          <w:rFonts w:ascii="Arial" w:hAnsi="Arial" w:eastAsia="Arial" w:cs="Arial"/>
          <w:b w:val="0"/>
        </w:rPr>
        <w:t>Síntese dos Resultados</w:t>
      </w:r>
      <w:bookmarkEnd w:id="61"/>
    </w:p>
    <w:p w14:paraId="3A43783E">
      <w:pPr>
        <w:pStyle w:val="3"/>
        <w:ind w:firstLine="0"/>
        <w:rPr>
          <w:color w:val="2E75B5"/>
        </w:rPr>
      </w:pPr>
      <w:r>
        <w:rPr>
          <w:rFonts w:ascii="Arial" w:hAnsi="Arial" w:eastAsia="Arial" w:cs="Arial"/>
          <w:b w:val="0"/>
        </w:rPr>
        <w:t>Cinco resultados resumem o trabalho. O sistema é confiável no que se propõe: uma suíte de 138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O conjunto de características é enxuto e justificado, com 39 colunas escolhidas entre mais de 400, cada uma submetida a análise estatística individual e a critérios explícitos de corte.</w:t>
      </w:r>
    </w:p>
    <w:p w14:paraId="0DD60FA7">
      <w:pPr>
        <w:pStyle w:val="3"/>
        <w:ind w:firstLine="0"/>
        <w:rPr>
          <w:color w:val="2E75B5"/>
        </w:rPr>
      </w:pPr>
      <w:r>
        <w:rPr>
          <w:rFonts w:ascii="Arial" w:hAnsi="Arial" w:eastAsia="Arial" w:cs="Arial"/>
          <w:b w:val="0"/>
        </w:rPr>
        <w:t>O sistema acerta a ordem, não a magnitude. Ele erra o valor exato da taxa, mas ordena as escolas com qualidade útil, e é a ordem que a decisão do gestor requer.</w:t>
      </w:r>
    </w:p>
    <w:p w14:paraId="792A7F03">
      <w:pPr>
        <w:pStyle w:val="3"/>
        <w:ind w:firstLine="0"/>
        <w:rPr>
          <w:color w:val="2E75B5"/>
        </w:rPr>
      </w:pPr>
      <w:r>
        <w:rPr>
          <w:rFonts w:ascii="Arial" w:hAnsi="Arial" w:eastAsia="Arial" w:cs="Arial"/>
          <w:b w:val="0"/>
        </w:rPr>
        <w:t>O ganho prático é mensurável: das escolas apontadas como prioritárias, cerca de metade estava de fato entre as mais críticas, contra 7 em cada 100 na escolha ao acaso, e uma lista de 150 escolas alcança mais da metade das escolas críticas da rede.</w:t>
      </w:r>
    </w:p>
    <w:p w14:paraId="693241E1">
      <w:pPr>
        <w:pStyle w:val="3"/>
        <w:ind w:firstLine="0"/>
        <w:rPr>
          <w:color w:val="2E75B5"/>
        </w:rPr>
      </w:pPr>
      <w:r>
        <w:rPr>
          <w:rFonts w:ascii="Arial" w:hAnsi="Arial" w:eastAsia="Arial" w:cs="Arial"/>
          <w:b w:val="0"/>
        </w:rPr>
        <w:t>Por fim, cada indicação é explicável. Isso permite ao gestor concordar ou discordar com argumento e é também o que expõe, de forma transparente, a limitação de equidade nas escolas de localização diferenciada.</w:t>
      </w:r>
    </w:p>
    <w:p w14:paraId="78BAA92B">
      <w:pPr>
        <w:pStyle w:val="2"/>
        <w:numPr>
          <w:ilvl w:val="0"/>
          <w:numId w:val="1"/>
        </w:numPr>
        <w:rPr>
          <w:color w:val="000000"/>
        </w:rPr>
      </w:pPr>
      <w:bookmarkStart w:id="62" w:name="_Toc22348"/>
      <w:r>
        <w:rPr>
          <w:rFonts w:ascii="Arial" w:hAnsi="Arial" w:eastAsia="Arial" w:cs="Arial"/>
          <w:b w:val="0"/>
        </w:rPr>
        <w:t>Conclusões e Trabalhos Futuros</w:t>
      </w:r>
      <w:bookmarkEnd w:id="62"/>
    </w:p>
    <w:p w14:paraId="2B49EC9B">
      <w:pPr>
        <w:pStyle w:val="4"/>
        <w:numPr>
          <w:ilvl w:val="1"/>
          <w:numId w:val="1"/>
        </w:numPr>
      </w:pPr>
      <w:bookmarkStart w:id="63" w:name="_Toc3968"/>
      <w:r>
        <w:rPr>
          <w:rFonts w:ascii="Arial" w:hAnsi="Arial" w:eastAsia="Arial" w:cs="Arial"/>
          <w:b w:val="0"/>
        </w:rPr>
        <w:t>Conclusões</w:t>
      </w:r>
      <w:bookmarkEnd w:id="63"/>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(P1). </w:t>
      </w:r>
      <w:r>
        <w:rPr>
          <w:rFonts w:ascii="Arial" w:hAnsi="Arial" w:eastAsia="Arial" w:cs="Arial"/>
        </w:rPr>
        <w:t>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(P2).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−27,87 a +23,69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a escola que foge ao padrão e o modelo que não enxerga um fator, faz parte da resposta.</w:t>
      </w:r>
    </w:p>
    <w:p w14:paraId="0AE112BC">
      <w:pPr>
        <w:pStyle w:val="3"/>
        <w:ind w:firstLine="0"/>
        <w:rPr>
          <w:color w:val="2E75B5"/>
        </w:rPr>
      </w:pPr>
      <w:r>
        <w:rPr>
          <w:rFonts w:ascii="Arial" w:hAnsi="Arial" w:eastAsia="Arial" w:cs="Arial"/>
          <w:b w:val="0"/>
        </w:rPr>
        <w:t>Sobre o problema: a evasão na rede estadual é concentrada, não difusa.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138 testes automatizados e reprodutibilidade completa a partir dos dados originais. Essas propriedades não são acessórias: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3A00B01">
      <w:pPr>
        <w:pStyle w:val="3"/>
        <w:ind w:firstLine="0"/>
        <w:rPr>
          <w:color w:val="2E75B5"/>
        </w:rPr>
      </w:pPr>
      <w:r>
        <w:rPr>
          <w:rFonts w:ascii="Arial" w:hAnsi="Arial" w:eastAsia="Arial" w:cs="Arial"/>
          <w:b w:val="0"/>
        </w:rPr>
        <w:t>Sobre o que o sistema não garante: prever evasão não é o mesmo que conhecê-la. A decisão de deixar a escola é de um estudante, e o que pesa nela — trabalho, gravidez, mudança de cidade, doença, violência, perda de vínculo com o estudo — não está em nenhuma das 39 características, que descrevem a escola, não o aluno. O sistema encontra associações, não causas. Ele não garante que uma escola apontada terá abandono alto, nem que uma escola fora da lista esteja em segurança: cerca de metade das prioritárias não está entre as mais críticas, e o acerto da lista caiu de 0,627 para 0,381 de uma transição anual para a outra. Nas escolas indígenas e quilombolas, erra com confiança sobre um grupo inteiro. A lista diz onde olhar primeiro; quem confirma é a visita à escola.</w:t>
      </w:r>
    </w:p>
    <w:p w14:paraId="28C353BC">
      <w:pPr>
        <w:pStyle w:val="4"/>
        <w:numPr>
          <w:ilvl w:val="1"/>
          <w:numId w:val="1"/>
        </w:numPr>
      </w:pPr>
      <w:bookmarkStart w:id="64" w:name="_Toc29070"/>
      <w:r>
        <w:rPr>
          <w:rFonts w:ascii="Arial" w:hAnsi="Arial" w:eastAsia="Arial" w:cs="Arial"/>
          <w:b w:val="0"/>
        </w:rPr>
        <w:t>Trabalhos Futuros</w:t>
      </w:r>
      <w:bookmarkEnd w:id="64"/>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verificação final de que a ferramenta cumpre o propósito para o qual foi construída.</w:t>
      </w:r>
    </w:p>
    <w:p w14:paraId="3CF3BE1C">
      <w:pPr>
        <w:pStyle w:val="3"/>
        <w:ind w:firstLine="0"/>
        <w:rPr>
          <w:color w:val="2E75B5"/>
        </w:rPr>
      </w:pPr>
      <w:r>
        <w:rPr>
          <w:rFonts w:ascii="Arial" w:hAnsi="Arial" w:eastAsia="Arial" w:cs="Arial"/>
          <w:b w:val="0"/>
        </w:rPr>
        <w:t>Medida de incerteza: entregar cada escola com um intervalo, não com um número só. Escolas pequenas, em que a saída de poucos alunos muda a taxa, precisam chegar ao gestor com essa ressalva visível.</w:t>
      </w:r>
    </w:p>
    <w:p w14:paraId="3FACD3A8">
      <w:pPr>
        <w:pStyle w:val="3"/>
        <w:ind w:firstLine="0"/>
        <w:rPr>
          <w:color w:val="2E75B5"/>
        </w:rPr>
      </w:pPr>
      <w:r>
        <w:rPr>
          <w:rFonts w:ascii="Arial" w:hAnsi="Arial" w:eastAsia="Arial" w:cs="Arial"/>
          <w:b w:val="0"/>
        </w:rPr>
        <w:t>Dados por aluno: a evasão acontece na trajetória de cada estudante, e o sistema só enxerga a escola. Registros de matrícula, frequência e notas, respeitada a proteção de dados pessoais, permitiriam estimar o risco individual.</w:t>
      </w:r>
    </w:p>
    <w:p w14:paraId="7AF06E78">
      <w:pPr>
        <w:pStyle w:val="3"/>
        <w:ind w:firstLine="0"/>
        <w:rPr>
          <w:color w:val="2E75B5"/>
        </w:rPr>
      </w:pPr>
      <w:r>
        <w:rPr>
          <w:rFonts w:ascii="Arial" w:hAnsi="Arial" w:eastAsia="Arial" w:cs="Arial"/>
          <w:b w:val="0"/>
        </w:rPr>
        <w:t>Sinais durante o ano: hoje a lista sai uma vez por ano. Frequência e notas por bimestre permitiriam recalcular o risco enquanto ainda há tempo de agir.</w:t>
      </w:r>
    </w:p>
    <w:p w14:paraId="5FA7C965">
      <w:pPr>
        <w:pStyle w:val="3"/>
        <w:ind w:firstLine="0"/>
        <w:rPr>
          <w:color w:val="2E75B5"/>
        </w:rPr>
      </w:pPr>
      <w:r>
        <w:rPr>
          <w:rFonts w:ascii="Arial" w:hAnsi="Arial" w:eastAsia="Arial" w:cs="Arial"/>
          <w:b w:val="0"/>
        </w:rPr>
        <w:t>Monitoramento de deriva: o abandono da rede caiu de 2,05% para 0,96% entre 2022 e 2024, e foi isso que degradou a previsão de magnitude. O sistema precisa avisar sozinho quando os dados novos se afastam daqueles em que aprendeu.</w:t>
      </w:r>
    </w:p>
    <w:p w14:paraId="13822144">
      <w:pPr>
        <w:pStyle w:val="3"/>
        <w:ind w:firstLine="0"/>
        <w:rPr>
          <w:color w:val="2E75B5"/>
        </w:rPr>
      </w:pPr>
      <w:r>
        <w:rPr>
          <w:rFonts w:ascii="Arial" w:hAnsi="Arial" w:eastAsia="Arial" w:cs="Arial"/>
          <w:b w:val="0"/>
        </w:rPr>
        <w:t>Validação em outra rede: aplicar o mesmo protocolo fora de Pernambuco separaria o que é método do que é particularidade desta rede.</w:t>
      </w:r>
    </w:p>
    <w:p w14:paraId="51E336E1">
      <w:pPr>
        <w:pStyle w:val="3"/>
        <w:ind w:firstLine="0"/>
        <w:rPr>
          <w:color w:val="2E75B5"/>
        </w:rPr>
      </w:pPr>
      <w:r>
        <w:rPr>
          <w:rFonts w:ascii="Arial" w:hAnsi="Arial" w:eastAsia="Arial" w:cs="Arial"/>
          <w:b w:val="0"/>
        </w:rPr>
        <w:t>Comparação de modelos com mais dados: os três modelos avaliados empataram dentro da margem de incerteza. Com séries mais longas, a comparação deve ser refeita.</w:t>
      </w:r>
    </w:p>
    <w:p w14:paraId="74A766AA">
      <w:pPr>
        <w:pStyle w:val="8"/>
        <w:rPr>
          <w:color w:val="000000"/>
        </w:rPr>
      </w:pPr>
      <w:bookmarkStart w:id="65" w:name="_Toc20691"/>
      <w:r>
        <w:rPr>
          <w:rFonts w:ascii="Arial" w:hAnsi="Arial" w:eastAsia="Arial" w:cs="Arial"/>
          <w:b w:val="0"/>
        </w:rPr>
        <w:t>Referências</w:t>
      </w:r>
      <w:bookmarkEnd w:id="65"/>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117FC7F7">
      <w:pPr>
        <w:pStyle w:val="3"/>
        <w:ind w:firstLine="0"/>
        <w:rPr>
          <w:color w:val="2E75B5"/>
        </w:rPr>
      </w:pPr>
      <w:r>
        <w:rPr>
          <w:rFonts w:ascii="Arial" w:hAnsi="Arial" w:eastAsia="Arial" w:cs="Arial"/>
          <w:b w:val="0"/>
        </w:rPr>
        <w:t>BAROCAS, S.; HARDT, M.; NARAYANAN, A. Fairness and machine learning: limitations and opportunities. Cambridge: MIT Press, 2023.</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2024a.</w:t>
      </w:r>
    </w:p>
    <w:p w14:paraId="3898415D">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2024b.</w:t>
      </w:r>
    </w:p>
    <w:p w14:paraId="64A09DD4">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2024c.</w:t>
      </w:r>
    </w:p>
    <w:p w14:paraId="2FB4A314">
      <w:pPr>
        <w:pStyle w:val="3"/>
        <w:ind w:firstLine="0"/>
        <w:rPr>
          <w:color w:val="2E75B5"/>
        </w:rPr>
      </w:pPr>
      <w:r>
        <w:rPr>
          <w:rFonts w:ascii="Arial" w:hAnsi="Arial" w:eastAsia="Arial" w:cs="Arial"/>
          <w:b w:val="0"/>
        </w:rPr>
        <w:t>BREIMAN, L. Random forests. Machine Learning, v. 45, n. 1, p. 5–32, 2001.</w:t>
      </w:r>
    </w:p>
    <w:p w14:paraId="724BA2CC">
      <w:pPr>
        <w:pStyle w:val="3"/>
        <w:ind w:firstLine="0"/>
        <w:rPr>
          <w:color w:val="2E75B5"/>
        </w:rPr>
      </w:pPr>
      <w:r>
        <w:rPr>
          <w:rFonts w:ascii="Arial" w:hAnsi="Arial" w:eastAsia="Arial" w:cs="Arial"/>
          <w:b w:val="0"/>
        </w:rPr>
        <w:t>CHAPMAN, P. et al. CRISP-DM 1.0: step-by-step data mining guide. Copenhagen: SPSS, 2000.</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646EE532">
      <w:pPr>
        <w:pStyle w:val="3"/>
        <w:ind w:firstLine="0"/>
        <w:rPr>
          <w:color w:val="2E75B5"/>
        </w:rPr>
      </w:pPr>
      <w:r>
        <w:rPr>
          <w:rFonts w:ascii="Arial" w:hAnsi="Arial" w:eastAsia="Arial" w:cs="Arial"/>
          <w:b w:val="0"/>
        </w:rPr>
        <w:t>GUYON, I.; ELISSEEFF, A. An introduction to variable and feature selection. Journal of Machine Learning Research, v. 3, p. 1157–1182, 2003.</w:t>
      </w:r>
    </w:p>
    <w:p w14:paraId="6667117A">
      <w:pPr>
        <w:pStyle w:val="3"/>
        <w:ind w:firstLine="0"/>
        <w:rPr>
          <w:color w:val="2E75B5"/>
        </w:rPr>
      </w:pPr>
      <w:r>
        <w:rPr>
          <w:rFonts w:ascii="Arial" w:hAnsi="Arial" w:eastAsia="Arial" w:cs="Arial"/>
          <w:b w:val="0"/>
        </w:rPr>
        <w:t>HARRIS, C. R. et al. Array programming with NumPy. Nature, v. 585, n. 7825, p. 357–362, 2020.</w:t>
      </w:r>
    </w:p>
    <w:p w14:paraId="5099EECC">
      <w:pPr>
        <w:pStyle w:val="3"/>
        <w:ind w:firstLine="0"/>
        <w:rPr>
          <w:color w:val="2E75B5"/>
        </w:rPr>
      </w:pPr>
      <w:r>
        <w:rPr>
          <w:rFonts w:ascii="Arial" w:hAnsi="Arial" w:eastAsia="Arial" w:cs="Arial"/>
          <w:b w:val="0"/>
        </w:rPr>
        <w:t>HASTIE, T.; TIBSHIRANI, R.; FRIEDMAN, J. The elements of statistical learning: data mining, inference, and prediction. 2. ed. New York: Springer, 2009.</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2F7DF0F">
      <w:pPr>
        <w:pStyle w:val="3"/>
        <w:ind w:firstLine="0"/>
        <w:rPr>
          <w:color w:val="2E75B5"/>
        </w:rPr>
      </w:pPr>
      <w:r>
        <w:rPr>
          <w:rFonts w:ascii="Arial" w:hAnsi="Arial" w:eastAsia="Arial" w:cs="Arial"/>
          <w:b w:val="0"/>
        </w:rPr>
        <w:t>McKINNEY, W. Data structures for statistical computing in Python. In: PYTHON IN SCIENCE CONFERENCE, 9., 2010, Austin. Proceedings [...]. [S. l.]: SciPy, 2010. p. 56–61.</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3406965D">
      <w:pPr>
        <w:pStyle w:val="3"/>
        <w:ind w:firstLine="0"/>
        <w:rPr>
          <w:color w:val="2E75B5"/>
        </w:rPr>
      </w:pPr>
      <w:r>
        <w:rPr>
          <w:rFonts w:ascii="Arial" w:hAnsi="Arial" w:eastAsia="Arial" w:cs="Arial"/>
          <w:b w:val="0"/>
        </w:rPr>
        <w:t>PEDREGOSA, F. et al. Scikit-learn: machine learning in Python. Journal of Machine Learning Research, v. 12, p. 2825–2830, 2011.</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517B800F">
      <w:pPr>
        <w:pStyle w:val="3"/>
        <w:ind w:firstLine="0"/>
        <w:rPr>
          <w:color w:val="2E75B5"/>
        </w:rPr>
      </w:pPr>
      <w:r>
        <w:rPr>
          <w:rFonts w:ascii="Arial" w:hAnsi="Arial" w:eastAsia="Arial" w:cs="Arial"/>
          <w:b w:val="0"/>
        </w:rPr>
        <w:t>ROBERTS, D. R. et al. Cross-validation strategies for data with temporal, spatial, hierarchical, or phylogenetic structure. Ecography, v. 40, n. 8, p. 913–929, 2017.</w:t>
      </w:r>
    </w:p>
    <w:p w14:paraId="71108688">
      <w:pPr>
        <w:pStyle w:val="3"/>
        <w:ind w:firstLine="0"/>
        <w:rPr>
          <w:color w:val="2E75B5"/>
        </w:rPr>
      </w:pPr>
      <w:r>
        <w:rPr>
          <w:rFonts w:ascii="Arial" w:hAnsi="Arial" w:eastAsia="Arial" w:cs="Arial"/>
          <w:b w:val="0"/>
        </w:rPr>
        <w:t>ROSA, L. et al. The effects of public high school subsidies on student test scores: the case of a full-day high school in Pernambuco, Brazil. Economics of Education Review, v. 87, art. 102201, 2022.</w:t>
      </w:r>
    </w:p>
    <w:p w14:paraId="6A97F6EE">
      <w:pPr>
        <w:pStyle w:val="3"/>
        <w:ind w:firstLine="0"/>
        <w:rPr>
          <w:color w:val="2E75B5"/>
        </w:rPr>
      </w:pPr>
      <w:r>
        <w:rPr>
          <w:rFonts w:ascii="Arial" w:hAnsi="Arial" w:eastAsia="Arial" w:cs="Arial"/>
          <w:b w:val="0"/>
        </w:rPr>
        <w:t>SCULLEY, D. et al. Hidden technical debt in machine learning systems. In: ADVANCES IN NEURAL INFORMATION PROCESSING SYSTEMS, 28., 2015, Montreal. Anais [...]. Red Hook: Curran Associates, 2015. p. 2503–2511.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6FD186B2">
      <w:pPr>
        <w:pStyle w:val="8"/>
        <w:rPr>
          <w:color w:val="000000"/>
        </w:rPr>
      </w:pPr>
      <w:bookmarkStart w:id="66" w:name="_Toc29284"/>
      <w:r>
        <w:rPr>
          <w:rFonts w:ascii="Arial" w:hAnsi="Arial" w:eastAsia="Arial" w:cs="Arial"/>
          <w:b w:val="0"/>
        </w:rPr>
        <w:t>Apêndice A – Relação das 39 características usadas pelo sistema</w:t>
      </w:r>
      <w:bookmarkEnd w:id="66"/>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6D2C892-0751-4D7D-A90F-FF761EE7F276}"/>
  </w:font>
  <w:font w:name="Arial">
    <w:panose1 w:val="020B0604020202020204"/>
    <w:charset w:val="00"/>
    <w:family w:val="swiss"/>
    <w:pitch w:val="default"/>
    <w:sig w:usb0="E0002EFF" w:usb1="C000785B" w:usb2="00000009" w:usb3="00000000" w:csb0="400001FF" w:csb1="FFFF0000"/>
    <w:embedRegular r:id="rId2" w:fontKey="{0C8D4B59-23C8-4EB5-9F51-787BD4FB7393}"/>
  </w:font>
  <w:font w:name="Courier New">
    <w:panose1 w:val="02070309020205020404"/>
    <w:charset w:val="00"/>
    <w:family w:val="modern"/>
    <w:pitch w:val="default"/>
    <w:sig w:usb0="E0002EFF" w:usb1="C0007843" w:usb2="00000009" w:usb3="00000000" w:csb0="400001FF" w:csb1="FFFF0000"/>
    <w:embedRegular r:id="rId3" w:fontKey="{A87C3243-1C6A-43B0-B8CA-69804371819A}"/>
  </w:font>
  <w:font w:name="Symbol">
    <w:panose1 w:val="05050102010706020507"/>
    <w:charset w:val="02"/>
    <w:family w:val="roman"/>
    <w:pitch w:val="default"/>
    <w:sig w:usb0="00000000" w:usb1="00000000" w:usb2="00000000" w:usb3="00000000" w:csb0="80000000" w:csb1="00000000"/>
    <w:embedRegular r:id="rId4" w:fontKey="{0E49A639-7BA3-4B5E-8E8A-FCEF2D1B9888}"/>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5" w:fontKey="{F0B01BD4-7BAE-405F-8E76-29C651C5C6F2}"/>
  </w:font>
  <w:font w:name="Georgia">
    <w:panose1 w:val="02040502050405020303"/>
    <w:charset w:val="00"/>
    <w:family w:val="roman"/>
    <w:pitch w:val="default"/>
    <w:sig w:usb0="00000287" w:usb1="00000000" w:usb2="00000000" w:usb3="00000000" w:csb0="2000009F" w:csb1="00000000"/>
    <w:embedRegular r:id="rId6" w:fontKey="{843598C2-BA39-4C00-A045-C11E3743B452}"/>
  </w:font>
  <w:font w:name="Liberation Sans">
    <w:panose1 w:val="020B0604020202020204"/>
    <w:charset w:val="00"/>
    <w:family w:val="swiss"/>
    <w:pitch w:val="default"/>
    <w:sig w:usb0="E0000AFF" w:usb1="500078FF" w:usb2="00000021" w:usb3="00000000" w:csb0="600001BF" w:csb1="DFF70000"/>
    <w:embedRegular r:id="rId7" w:fontKey="{BC269E65-FDFE-4274-8DDF-06009CB22CDD}"/>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5B845C4"/>
    <w:rsid w:val="0E3A73C0"/>
    <w:rsid w:val="154F2ABF"/>
    <w:rsid w:val="1B1E5FE7"/>
    <w:rsid w:val="200E54CB"/>
    <w:rsid w:val="22AB6FED"/>
    <w:rsid w:val="25754CB1"/>
    <w:rsid w:val="2C1B3E3D"/>
    <w:rsid w:val="311C20B6"/>
    <w:rsid w:val="341E170A"/>
    <w:rsid w:val="353476BB"/>
    <w:rsid w:val="361F7A70"/>
    <w:rsid w:val="37816D17"/>
    <w:rsid w:val="400E487F"/>
    <w:rsid w:val="46E010FE"/>
    <w:rsid w:val="4FB122AA"/>
    <w:rsid w:val="54BC7DEB"/>
    <w:rsid w:val="55540C4E"/>
    <w:rsid w:val="59E678F3"/>
    <w:rsid w:val="5B7708DE"/>
    <w:rsid w:val="5DFA0956"/>
    <w:rsid w:val="64D75322"/>
    <w:rsid w:val="654C03D3"/>
    <w:rsid w:val="7195085D"/>
    <w:rsid w:val="79F53997"/>
    <w:rsid w:val="7A046AD5"/>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character" w:styleId="11">
    <w:name w:val="Hyperlink"/>
    <w:qFormat/>
    <w:uiPriority w:val="0"/>
    <w:rPr>
      <w:color w:val="000080"/>
      <w:u w:val="single"/>
    </w:rPr>
  </w:style>
  <w:style w:type="paragraph" w:styleId="12">
    <w:name w:val="toc 2"/>
    <w:basedOn w:val="1"/>
    <w:next w:val="1"/>
    <w:qFormat/>
    <w:uiPriority w:val="0"/>
    <w:pPr>
      <w:ind w:left="420" w:leftChars="200"/>
    </w:pPr>
  </w:style>
  <w:style w:type="paragraph" w:styleId="13">
    <w:name w:val="List"/>
    <w:basedOn w:val="14"/>
    <w:qFormat/>
    <w:uiPriority w:val="0"/>
    <w:rPr>
      <w:rFonts w:cs="Arial"/>
    </w:rPr>
  </w:style>
  <w:style w:type="paragraph" w:styleId="14">
    <w:name w:val="Body Text"/>
    <w:basedOn w:val="1"/>
    <w:qFormat/>
    <w:uiPriority w:val="0"/>
    <w:pPr>
      <w:spacing w:before="0" w:after="140" w:line="276" w:lineRule="auto"/>
    </w:pPr>
  </w:style>
  <w:style w:type="paragraph" w:styleId="15">
    <w:name w:val="toc 6"/>
    <w:basedOn w:val="1"/>
    <w:next w:val="1"/>
    <w:qFormat/>
    <w:uiPriority w:val="0"/>
    <w:pPr>
      <w:ind w:left="2100" w:leftChars="1000"/>
    </w:pPr>
  </w:style>
  <w:style w:type="paragraph" w:styleId="16">
    <w:name w:val="Title"/>
    <w:basedOn w:val="3"/>
    <w:next w:val="3"/>
    <w:qFormat/>
    <w:uiPriority w:val="0"/>
    <w:pPr>
      <w:keepNext/>
      <w:keepLines/>
      <w:pageBreakBefore w:val="0"/>
      <w:spacing w:before="480" w:after="120" w:line="240" w:lineRule="auto"/>
    </w:pPr>
    <w:rPr>
      <w:b/>
      <w:bCs/>
      <w:sz w:val="72"/>
      <w:szCs w:val="72"/>
    </w:rPr>
  </w:style>
  <w:style w:type="paragraph" w:styleId="17">
    <w:name w:val="header"/>
    <w:basedOn w:val="18"/>
    <w:qFormat/>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Arial"/>
      <w:i/>
      <w:iCs/>
      <w:sz w:val="24"/>
      <w:szCs w:val="24"/>
    </w:rPr>
  </w:style>
  <w:style w:type="paragraph" w:styleId="20">
    <w:name w:val="toc 3"/>
    <w:basedOn w:val="1"/>
    <w:next w:val="1"/>
    <w:qFormat/>
    <w:uiPriority w:val="0"/>
    <w:pPr>
      <w:ind w:left="840" w:leftChars="400"/>
    </w:pPr>
  </w:style>
  <w:style w:type="paragraph" w:styleId="21">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22">
    <w:name w:val="toc 1"/>
    <w:basedOn w:val="1"/>
    <w:next w:val="1"/>
    <w:qFormat/>
    <w:uiPriority w:val="0"/>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1"/>
    <w:basedOn w:val="1"/>
    <w:next w:val="14"/>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4"/>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65</Pages>
  <Words>9961</Words>
  <Characters>54488</Characters>
  <Paragraphs>463</Paragraphs>
  <TotalTime>5</TotalTime>
  <ScaleCrop>false</ScaleCrop>
  <LinksUpToDate>false</LinksUpToDate>
  <CharactersWithSpaces>64076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2026-08-01T00:39:14Z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1046-12.1.0.28032</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