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77DF2541">
      <w:pPr>
        <w:pStyle w:val="3"/>
        <w:ind w:firstLine="0"/>
        <w:rPr>
          <w:color w:val="2E75B5"/>
        </w:rPr>
      </w:pPr>
      <w:r>
        <w:rPr>
          <w:rFonts w:ascii="Arial" w:hAnsi="Arial"/>
          <w:color w:val="1F4E9B"/>
          <w:sz w:val="22"/>
          <w:highlight w:val="yellow"/>
        </w:rPr>
        <w:t>Quadro 12 – O modelo diante de seis escolas reais (teste do ano nunca visto, 2023–2024)</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091CA2A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bookmarkStart w:id="67" w:name="_GoBack"/>
          <w:bookmarkEnd w:id="67"/>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2374A2A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_Toc12401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57F4C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_Toc12543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13AF2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_Toc14626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_Toc14626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FD0C4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_Toc23872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_Toc23872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542B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_Toc28034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_Toc28034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76D76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_Toc28761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_Toc28761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89CC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_Toc4269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_Toc4269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08916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_Toc10777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_Toc10777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59AFE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_Toc20433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_Toc20433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F648C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_Toc9508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_Toc9508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9FF7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_Toc15464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_Toc15464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09680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_Toc12496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_Toc12496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6F84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_Toc25905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_Toc25905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82BEC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_Toc4786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_Toc4786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7F4CC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_Toc27633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_Toc27633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EC7B4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_Toc13791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_Toc13791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30FD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_Toc9797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_Toc9797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183F7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_Toc15599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_Toc15599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B8C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_Toc2578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_Toc2578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7D8AC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_Toc21815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_Toc21815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D08F6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_Toc27214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_Toc27214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64C99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_Toc23782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_Toc23782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5508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_Toc28472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_Toc28472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6887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_Toc15071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_Toc15071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C5D00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_Toc19777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_Toc19777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906F4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_Toc32391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_Toc32391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A35F4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_Toc6183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_Toc6183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BF15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_Toc20191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_Toc20191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ED17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_Toc15389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_Toc15389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2B473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_Toc11175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_Toc11175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E34CC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_Toc13549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_Toc13549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681FE2">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_Toc22620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_Toc22620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C2A5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_Toc7035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_Toc7035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EF65B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_Toc18504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_Toc18504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5CDC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_Toc9236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_Toc9236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DEB2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_Toc23556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_Toc23556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B41A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_Toc15462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_Toc15462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2F03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_Toc1051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82018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_Toc11804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_Toc11804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692B0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_Toc14765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_Toc14765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6DB04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_Toc4974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6C99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_Toc1347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_Toc1347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31E37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_Toc5417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_Toc5417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AA58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_Toc19768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186F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_Toc26104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_Toc26104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0434D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_Toc12380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_Toc12380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F3916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_Toc19704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_Toc19704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0B9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_Toc5820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_Toc5820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5A6E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_Toc25048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_Toc25048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E8839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_Toc12732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_Toc12732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FDABF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_Toc28439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_Toc28439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58E2F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_Toc11745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_Toc11745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4039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_Toc21282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_Toc21282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AE202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_Toc11256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_Toc11256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7368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_Toc16214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_Toc16214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507EC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_Toc1161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_Toc1161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48F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_Toc27708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_Toc27708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41016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_Toc12202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_Toc12202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C308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_Toc21625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_Toc21625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8F6F4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_Toc15542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_Toc15542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62822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_Toc21560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_Toc21560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9FC34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_Toc24690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_Toc24690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52CD3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_Toc14639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_Toc14639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951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_Toc5544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_Toc5544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F8676E">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_Toc28513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_Toc28513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FEEAA7">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_Toc27451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_Toc27451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2401"/>
      <w:r>
        <w:rPr>
          <w:rFonts w:ascii="Arial" w:hAnsi="Arial" w:eastAsia="Arial" w:cs="Arial"/>
          <w:b w:val="0"/>
        </w:rPr>
        <w:t>Introdução</w:t>
      </w:r>
      <w:bookmarkEnd w:id="1"/>
    </w:p>
    <w:p w14:paraId="71BF03DA">
      <w:pPr>
        <w:pStyle w:val="4"/>
        <w:numPr>
          <w:ilvl w:val="1"/>
          <w:numId w:val="1"/>
        </w:numPr>
      </w:pPr>
      <w:bookmarkStart w:id="2" w:name="_Toc125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4626"/>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23872"/>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8034"/>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761"/>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4269"/>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0777"/>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0433"/>
      <w:r>
        <w:rPr>
          <w:rFonts w:ascii="Arial" w:hAnsi="Arial" w:eastAsia="Arial" w:cs="Arial"/>
          <w:b w:val="0"/>
        </w:rPr>
        <w:t>Fundamentação Teórica</w:t>
      </w:r>
      <w:bookmarkEnd w:id="9"/>
    </w:p>
    <w:p w14:paraId="0ED2592D">
      <w:pPr>
        <w:pStyle w:val="5"/>
        <w:numPr>
          <w:ilvl w:val="2"/>
          <w:numId w:val="1"/>
        </w:numPr>
      </w:pPr>
      <w:bookmarkStart w:id="10" w:name="_Toc9508"/>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546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496"/>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5905"/>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4786"/>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7633"/>
      <w:r>
        <w:rPr>
          <w:rFonts w:ascii="Arial" w:hAnsi="Arial" w:eastAsia="Arial" w:cs="Arial"/>
          <w:b w:val="0"/>
        </w:rPr>
        <w:t>Método de Desenvolvimento</w:t>
      </w:r>
      <w:bookmarkEnd w:id="15"/>
    </w:p>
    <w:p w14:paraId="39EFBDEF">
      <w:pPr>
        <w:pStyle w:val="4"/>
        <w:numPr>
          <w:ilvl w:val="1"/>
          <w:numId w:val="1"/>
        </w:numPr>
      </w:pPr>
      <w:bookmarkStart w:id="16" w:name="_Toc1379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9797"/>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5599"/>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2578"/>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1815"/>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7214"/>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3782"/>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472"/>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507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9777"/>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3239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6183"/>
      <w:r>
        <w:rPr>
          <w:rFonts w:ascii="Arial" w:hAnsi="Arial" w:eastAsia="Arial" w:cs="Arial"/>
          <w:b w:val="0"/>
        </w:rPr>
        <w:t>Arquitetura do Software</w:t>
      </w:r>
      <w:bookmarkEnd w:id="27"/>
    </w:p>
    <w:p w14:paraId="527CA8A8">
      <w:pPr>
        <w:pStyle w:val="4"/>
        <w:numPr>
          <w:ilvl w:val="1"/>
          <w:numId w:val="1"/>
        </w:numPr>
      </w:pPr>
      <w:bookmarkStart w:id="28" w:name="_Toc20191"/>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5389"/>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117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3549"/>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2620"/>
      <w:r>
        <w:rPr>
          <w:rFonts w:ascii="Arial" w:hAnsi="Arial" w:eastAsia="Arial" w:cs="Arial"/>
          <w:b w:val="0"/>
        </w:rPr>
        <w:t>Tecnologias e Aspectos de Implementação</w:t>
      </w:r>
      <w:bookmarkEnd w:id="32"/>
    </w:p>
    <w:p w14:paraId="6E080A24">
      <w:pPr>
        <w:pStyle w:val="4"/>
        <w:numPr>
          <w:ilvl w:val="1"/>
          <w:numId w:val="1"/>
        </w:numPr>
      </w:pPr>
      <w:bookmarkStart w:id="33" w:name="_Toc7035"/>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8504"/>
      <w:r>
        <w:rPr>
          <w:rFonts w:ascii="Arial" w:hAnsi="Arial" w:eastAsia="Arial" w:cs="Arial"/>
          <w:b w:val="0"/>
        </w:rPr>
        <w:t>Aspectos de Implementação</w:t>
      </w:r>
      <w:bookmarkEnd w:id="34"/>
    </w:p>
    <w:p w14:paraId="1D664FD8">
      <w:pPr>
        <w:pStyle w:val="5"/>
        <w:numPr>
          <w:ilvl w:val="2"/>
          <w:numId w:val="1"/>
        </w:numPr>
      </w:pPr>
      <w:bookmarkStart w:id="35" w:name="_Toc9236"/>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3556"/>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5462"/>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05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1804"/>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4765"/>
      <w:r>
        <w:rPr>
          <w:rFonts w:ascii="Arial" w:hAnsi="Arial" w:eastAsia="Arial" w:cs="Arial"/>
          <w:b w:val="0"/>
        </w:rPr>
        <w:t>Testes e Análise dos Resultados</w:t>
      </w:r>
      <w:bookmarkEnd w:id="40"/>
    </w:p>
    <w:p w14:paraId="5264F51A">
      <w:pPr>
        <w:pStyle w:val="4"/>
        <w:numPr>
          <w:ilvl w:val="1"/>
          <w:numId w:val="1"/>
        </w:numPr>
      </w:pPr>
      <w:bookmarkStart w:id="41" w:name="_Toc497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1347"/>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5417"/>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1976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610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2380"/>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9704"/>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582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25048"/>
      <w:r>
        <w:rPr>
          <w:rFonts w:ascii="Arial" w:hAnsi="Arial" w:eastAsia="Arial" w:cs="Arial"/>
          <w:b w:val="0"/>
        </w:rPr>
        <w:t>Desempenho do Sistema</w:t>
      </w:r>
      <w:bookmarkEnd w:id="49"/>
    </w:p>
    <w:p w14:paraId="4805032B">
      <w:pPr>
        <w:pStyle w:val="5"/>
        <w:numPr>
          <w:ilvl w:val="2"/>
          <w:numId w:val="1"/>
        </w:numPr>
      </w:pPr>
      <w:bookmarkStart w:id="50" w:name="_Toc12732"/>
      <w:r>
        <w:rPr>
          <w:rFonts w:ascii="Arial" w:hAnsi="Arial" w:eastAsia="Arial" w:cs="Arial"/>
          <w:b w:val="0"/>
        </w:rPr>
        <w:t>Como o Desempenho Foi Medido</w:t>
      </w:r>
      <w:bookmarkEnd w:id="50"/>
    </w:p>
    <w:p>
      <w:pPr>
        <w:pStyle w:val="3"/>
        <w:ind w:firstLine="0"/>
        <w:rPr>
          <w:color w:val="2E75B5"/>
        </w:rPr>
      </w:pPr>
      <w:r>
        <w:rPr>
          <w:rFonts w:ascii="Arial" w:hAnsi="Arial"/>
          <w:color w:val="1F4E9B"/>
          <w:highlight w:val="yellow"/>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a pergunta desta seção; a subseção final a responde caso a caso, com escolas reais.</w:t>
      </w:r>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6350AE0C">
      <w:pPr>
        <w:pStyle w:val="3"/>
        <w:ind w:firstLine="0"/>
        <w:rPr>
          <w:color w:val="2E75B5"/>
        </w:rPr>
      </w:pPr>
      <w:r>
        <w:rPr>
          <w:rFonts w:ascii="Arial" w:hAnsi="Arial"/>
        </w:rPr>
        <w:t>Antes da comparação entre modelos, convém responder em termos diretos quanto o sistema erra e quanto acerta. No cenário que simula o uso real, ele erra o valor da taxa de abandono de cada escola em cerca de 2,9 pontos percentuais — o equivalente a cerca de 3 alunos por escola —, de modo que a taxa prevista não deve ser lida como um número exato. O acerto está em indicar quem precisa de atenção primeiro: de cada dez escolas que o sistema coloca no topo da lista de prioridade, cerca de quatro estavam de fato entre as de maior abandono, contra menos de uma se a lista fosse montada ao acaso. É essa capacidade de ordenar, e não o valor exato da taxa, que constitui a contribuição do sistema; os quadros seguintes detalham esses números.</w:t>
      </w:r>
    </w:p>
    <w:p w14:paraId="242E4030">
      <w:pPr>
        <w:pStyle w:val="5"/>
        <w:numPr>
          <w:ilvl w:val="2"/>
          <w:numId w:val="1"/>
        </w:numPr>
      </w:pPr>
      <w:bookmarkStart w:id="51" w:name="_Toc28439"/>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 o piso trivial da média da rede, os dois modelos de referência e o modelo adotado (XGBoost) —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(2,6 pontos percentuais no modelo adotado, contra 3,2 do palpite pela média da rede): o sistema continua errando o valor exato da taxa. Já a ordenação e o acerto da lista prioritária melhoram muito em relação à média da rede. Na ordenação os três modelos ficam praticamente empatados, com intervalos de confiança que se sobrepõem e sem vencedor claro.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1745"/>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o segundo protocolo, em que o modelo aprende com os pares de 2022 e 2023 e é avaliado num ano que nunca viu.</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Entre um ciclo e outro o abandono médio da rede caiu, e nenhum modelo superou o piso trivial no erro de magnitude: todos erram sistematicamente o nível da taxa. Em números, o modelo adotado erra a taxa de cada escola em 2,9 pontos percentuais, em média, ante 2,5 de quem simplesmente repete a média da rede para todas as escolas. As medidas de ordenação, porém, permanecem muito acima do piso. O sistema continua identificando quais escolas terão abandono alto, mesmo errando o valor. Das 79 escolas que ele coloca no topo da lista (10% da rede do ano de teste), 33 estavam de fato entre as de maior abandono; a escolha ao acaso acertaria 7 — um ganho de quase cinco vezes.</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t>Entre modelos tão próximos, o XGBoost foi mantido como modelo adotado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de referência em árvores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1282"/>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color w:val="1F4E9B"/>
          <w:highlight w:val="yellow"/>
        </w:rPr>
        <w:t xml:space="preserve">Para julgar esses números, a régua é dupla: uma escolha ao acaso acertaria cerca de 10% da lista, e repetir a média da rede não ordenaria escola alguma. Lido assim, 0,627 significa que, de cada cem escolas apontadas na transição de 2022 para 2023, 63 estavam de fato entre as mais críticas, contra dez do acaso. </w:t>
      </w: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pPr>
        <w:pStyle w:val="5"/>
        <w:numPr>
          <w:ilvl w:val="2"/>
          <w:numId w:val="1"/>
        </w:numPr>
      </w:pPr>
      <w:r>
        <w:rPr>
          <w:rFonts w:ascii="Arial" w:hAnsi="Arial"/>
          <w:color w:val="1F4E9B"/>
          <w:highlight w:val="yellow"/>
        </w:rPr>
        <w:t>O Que Esses Números Significam em Seis Escolas</w:t>
      </w:r>
    </w:p>
    <w:p>
      <w:pPr>
        <w:pStyle w:val="3"/>
        <w:ind w:firstLine="0"/>
        <w:rPr>
          <w:color w:val="2E75B5"/>
        </w:rPr>
      </w:pPr>
      <w:r>
        <w:rPr>
          <w:rFonts w:ascii="Arial" w:hAnsi="Arial"/>
          <w:color w:val="1F4E9B"/>
          <w:highlight w:val="yellow"/>
        </w:rPr>
        <w:t>Os quadros anteriores resumem centenas de escolas em poucos números; este mostra o que eles significam caso a caso. O Quadro 12 traz seis escolas reais do teste do ano nunca visto — o modelo treinado com os pares de 2022 e 2023, prevendo 2024 sem conhecê-lo. Para cada uma: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pPr>
        <w:pStyle w:val="3"/>
        <w:ind w:firstLine="0"/>
        <w:rPr>
          <w:color w:val="2E75B5"/>
        </w:rPr>
      </w:pPr>
      <w:r>
        <w:rPr>
          <w:rFonts w:ascii="Arial" w:hAnsi="Arial"/>
          <w:color w:val="1F4E9B"/>
          <w:sz w:val="22"/>
          <w:highlight w:val="yellow"/>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8BDAD81">
            <w:r>
              <w:rPr>
                <w:rFonts w:ascii="Arial" w:hAnsi="Arial" w:eastAsia="Arial" w:cs="Arial"/>
                <w:b/>
                <w:color w:val="1F4E9B"/>
                <w:sz w:val="18"/>
                <w:highlight w:val="yellow"/>
              </w:rPr>
              <w:t>Escola (município)</w:t>
            </w:r>
          </w:p>
        </w:tc>
        <w:tc>
          <w:tcPr>
            <w:tcW w:w="1900" w:type="dxa"/>
          </w:tcPr>
          <w:p w14:paraId="434758FF">
            <w:r>
              <w:rPr>
                <w:rFonts w:ascii="Arial" w:hAnsi="Arial" w:eastAsia="Arial" w:cs="Arial"/>
                <w:b/>
                <w:color w:val="1F4E9B"/>
                <w:sz w:val="18"/>
                <w:highlight w:val="yellow"/>
              </w:rPr>
              <w:t>Abandono observado em 2024</w:t>
            </w:r>
          </w:p>
        </w:tc>
        <w:tc>
          <w:tcPr>
            <w:tcW w:w="1800" w:type="dxa"/>
          </w:tcPr>
          <w:p w14:paraId="7D368DAD">
            <w:r>
              <w:rPr>
                <w:rFonts w:ascii="Arial" w:hAnsi="Arial" w:eastAsia="Arial" w:cs="Arial"/>
                <w:b/>
                <w:color w:val="1F4E9B"/>
                <w:sz w:val="18"/>
                <w:highlight w:val="yellow"/>
              </w:rPr>
              <w:t>Previsto pelo modelo</w:t>
            </w:r>
          </w:p>
        </w:tc>
        <w:tc>
          <w:tcPr>
            <w:tcW w:w="1760" w:type="dxa"/>
          </w:tcPr>
          <w:p w14:paraId="7D368DAD">
            <w:r>
              <w:rPr>
                <w:rFonts w:ascii="Arial" w:hAnsi="Arial" w:eastAsia="Arial" w:cs="Arial"/>
                <w:b/>
                <w:color w:val="1F4E9B"/>
                <w:sz w:val="18"/>
                <w:highlight w:val="yellow"/>
              </w:rPr>
              <w:t>Posição na lista</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B003DF3">
            <w:r>
              <w:rPr>
                <w:rFonts w:ascii="Arial" w:hAnsi="Arial" w:eastAsia="Arial" w:cs="Arial"/>
                <w:b w:val="0"/>
                <w:color w:val="1F4E9B"/>
                <w:sz w:val="18"/>
                <w:highlight w:val="yellow"/>
              </w:rPr>
              <w:t>Sagrada Família (Carnaubeira da Penha)</w:t>
            </w:r>
          </w:p>
        </w:tc>
        <w:tc>
          <w:tcPr>
            <w:tcW w:w="1900" w:type="dxa"/>
          </w:tcPr>
          <w:p w14:paraId="290B08DD">
            <w:r>
              <w:rPr>
                <w:rFonts w:ascii="Arial" w:hAnsi="Arial" w:eastAsia="Arial" w:cs="Arial"/>
                <w:b w:val="0"/>
                <w:color w:val="1F4E9B"/>
                <w:sz w:val="18"/>
                <w:highlight w:val="yellow"/>
              </w:rPr>
              <w:t>16,7%</w:t>
            </w:r>
          </w:p>
        </w:tc>
        <w:tc>
          <w:tcPr>
            <w:tcW w:w="1800" w:type="dxa"/>
          </w:tcPr>
          <w:p w14:paraId="4AFD25CB">
            <w:r>
              <w:rPr>
                <w:rFonts w:ascii="Arial" w:hAnsi="Arial" w:eastAsia="Arial" w:cs="Arial"/>
                <w:b w:val="0"/>
                <w:color w:val="1F4E9B"/>
                <w:sz w:val="18"/>
                <w:highlight w:val="yellow"/>
              </w:rPr>
              <w:t>16,4%</w:t>
            </w:r>
          </w:p>
        </w:tc>
        <w:tc>
          <w:tcPr>
            <w:tcW w:w="1760" w:type="dxa"/>
          </w:tcPr>
          <w:p w14:paraId="4AFD25CB">
            <w:r>
              <w:rPr>
                <w:rFonts w:ascii="Arial" w:hAnsi="Arial" w:eastAsia="Arial" w:cs="Arial"/>
                <w:b w:val="0"/>
                <w:color w:val="1F4E9B"/>
                <w:sz w:val="18"/>
                <w:highlight w:val="yellow"/>
              </w:rPr>
              <w:t>9ª</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1FAE7F4E">
            <w:r>
              <w:rPr>
                <w:rFonts w:ascii="Arial" w:hAnsi="Arial" w:eastAsia="Arial" w:cs="Arial"/>
                <w:b w:val="0"/>
                <w:color w:val="1F4E9B"/>
                <w:sz w:val="18"/>
                <w:highlight w:val="yellow"/>
              </w:rPr>
              <w:t>Estadual Ororuba (Pesqueira)</w:t>
            </w:r>
          </w:p>
        </w:tc>
        <w:tc>
          <w:tcPr>
            <w:tcW w:w="1900" w:type="dxa"/>
          </w:tcPr>
          <w:p w14:paraId="44C44AAA">
            <w:r>
              <w:rPr>
                <w:rFonts w:ascii="Arial" w:hAnsi="Arial" w:eastAsia="Arial" w:cs="Arial"/>
                <w:b w:val="0"/>
                <w:color w:val="1F4E9B"/>
                <w:sz w:val="18"/>
                <w:highlight w:val="yellow"/>
              </w:rPr>
              <w:t>28,1%</w:t>
            </w:r>
          </w:p>
        </w:tc>
        <w:tc>
          <w:tcPr>
            <w:tcW w:w="1800" w:type="dxa"/>
          </w:tcPr>
          <w:p w14:paraId="3904D936">
            <w:r>
              <w:rPr>
                <w:rFonts w:ascii="Arial" w:hAnsi="Arial" w:eastAsia="Arial" w:cs="Arial"/>
                <w:b w:val="0"/>
                <w:color w:val="1F4E9B"/>
                <w:sz w:val="18"/>
                <w:highlight w:val="yellow"/>
              </w:rPr>
              <w:t>19,9%</w:t>
            </w:r>
          </w:p>
        </w:tc>
        <w:tc>
          <w:tcPr>
            <w:tcW w:w="1760" w:type="dxa"/>
          </w:tcPr>
          <w:p w14:paraId="3904D936">
            <w:r>
              <w:rPr>
                <w:rFonts w:ascii="Arial" w:hAnsi="Arial" w:eastAsia="Arial" w:cs="Arial"/>
                <w:b w:val="0"/>
                <w:color w:val="1F4E9B"/>
                <w:sz w:val="18"/>
                <w:highlight w:val="yellow"/>
              </w:rPr>
              <w:t>3ª</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48B3B4D">
            <w:r>
              <w:rPr>
                <w:rFonts w:ascii="Arial" w:hAnsi="Arial" w:eastAsia="Arial" w:cs="Arial"/>
                <w:b w:val="0"/>
                <w:color w:val="1F4E9B"/>
                <w:sz w:val="18"/>
                <w:highlight w:val="yellow"/>
              </w:rPr>
              <w:t>EREM Santos Dumont (Recife)</w:t>
            </w:r>
          </w:p>
        </w:tc>
        <w:tc>
          <w:tcPr>
            <w:tcW w:w="1900" w:type="dxa"/>
          </w:tcPr>
          <w:p w14:paraId="05EBC5C6">
            <w:r>
              <w:rPr>
                <w:rFonts w:ascii="Arial" w:hAnsi="Arial" w:eastAsia="Arial" w:cs="Arial"/>
                <w:b w:val="0"/>
                <w:color w:val="1F4E9B"/>
                <w:sz w:val="18"/>
                <w:highlight w:val="yellow"/>
              </w:rPr>
              <w:t>0,0%</w:t>
            </w:r>
          </w:p>
        </w:tc>
        <w:tc>
          <w:tcPr>
            <w:tcW w:w="1800" w:type="dxa"/>
          </w:tcPr>
          <w:p w14:paraId="5ADDB3E1">
            <w:r>
              <w:rPr>
                <w:rFonts w:ascii="Arial" w:hAnsi="Arial" w:eastAsia="Arial" w:cs="Arial"/>
                <w:b w:val="0"/>
                <w:color w:val="1F4E9B"/>
                <w:sz w:val="18"/>
                <w:highlight w:val="yellow"/>
              </w:rPr>
              <w:t>0,2%</w:t>
            </w:r>
          </w:p>
        </w:tc>
        <w:tc>
          <w:tcPr>
            <w:tcW w:w="1760" w:type="dxa"/>
          </w:tcPr>
          <w:p w14:paraId="5ADDB3E1">
            <w:r>
              <w:rPr>
                <w:rFonts w:ascii="Arial" w:hAnsi="Arial" w:eastAsia="Arial" w:cs="Arial"/>
                <w:b w:val="0"/>
                <w:color w:val="1F4E9B"/>
                <w:sz w:val="18"/>
                <w:highlight w:val="yellow"/>
              </w:rPr>
              <w:t>579ª</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65CF03C2">
            <w:r>
              <w:rPr>
                <w:rFonts w:ascii="Arial" w:hAnsi="Arial" w:eastAsia="Arial" w:cs="Arial"/>
                <w:b w:val="0"/>
                <w:color w:val="1F4E9B"/>
                <w:sz w:val="18"/>
                <w:highlight w:val="yellow"/>
              </w:rPr>
              <w:t>Antônio Vieira de Barros (Salgueiro)</w:t>
            </w:r>
          </w:p>
        </w:tc>
        <w:tc>
          <w:tcPr>
            <w:tcW w:w="1900" w:type="dxa"/>
          </w:tcPr>
          <w:p w14:paraId="240799C6">
            <w:r>
              <w:rPr>
                <w:rFonts w:ascii="Arial" w:hAnsi="Arial" w:eastAsia="Arial" w:cs="Arial"/>
                <w:b w:val="0"/>
                <w:color w:val="1F4E9B"/>
                <w:sz w:val="18"/>
                <w:highlight w:val="yellow"/>
              </w:rPr>
              <w:t>0,0%</w:t>
            </w:r>
          </w:p>
        </w:tc>
        <w:tc>
          <w:tcPr>
            <w:tcW w:w="1800" w:type="dxa"/>
          </w:tcPr>
          <w:p w14:paraId="1B1D9CD6">
            <w:r>
              <w:rPr>
                <w:rFonts w:ascii="Arial" w:hAnsi="Arial" w:eastAsia="Arial" w:cs="Arial"/>
                <w:b w:val="0"/>
                <w:color w:val="1F4E9B"/>
                <w:sz w:val="18"/>
                <w:highlight w:val="yellow"/>
              </w:rPr>
              <w:t>1,3%</w:t>
            </w:r>
          </w:p>
        </w:tc>
        <w:tc>
          <w:tcPr>
            <w:tcW w:w="1760" w:type="dxa"/>
          </w:tcPr>
          <w:p w14:paraId="1B1D9CD6">
            <w:r>
              <w:rPr>
                <w:rFonts w:ascii="Arial" w:hAnsi="Arial" w:eastAsia="Arial" w:cs="Arial"/>
                <w:b w:val="0"/>
                <w:color w:val="1F4E9B"/>
                <w:sz w:val="18"/>
                <w:highlight w:val="yellow"/>
              </w:rPr>
              <w:t>101ª</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65CF03C2">
            <w:r>
              <w:rPr>
                <w:rFonts w:ascii="Arial" w:hAnsi="Arial" w:eastAsia="Arial" w:cs="Arial"/>
                <w:b w:val="0"/>
                <w:color w:val="1F4E9B"/>
                <w:sz w:val="18"/>
                <w:highlight w:val="yellow"/>
              </w:rPr>
              <w:t>Estadual Indígena José Luciano (Jatobá)</w:t>
            </w:r>
          </w:p>
        </w:tc>
        <w:tc>
          <w:tcPr>
            <w:tcW w:w="1900" w:type="dxa"/>
          </w:tcPr>
          <w:p w14:paraId="240799C6">
            <w:r>
              <w:rPr>
                <w:rFonts w:ascii="Arial" w:hAnsi="Arial" w:eastAsia="Arial" w:cs="Arial"/>
                <w:b w:val="0"/>
                <w:color w:val="1F4E9B"/>
                <w:sz w:val="18"/>
                <w:highlight w:val="yellow"/>
              </w:rPr>
              <w:t>0,0%</w:t>
            </w:r>
          </w:p>
        </w:tc>
        <w:tc>
          <w:tcPr>
            <w:tcW w:w="1800" w:type="dxa"/>
          </w:tcPr>
          <w:p w14:paraId="1B1D9CD6">
            <w:r>
              <w:rPr>
                <w:rFonts w:ascii="Arial" w:hAnsi="Arial" w:eastAsia="Arial" w:cs="Arial"/>
                <w:b w:val="0"/>
                <w:color w:val="1F4E9B"/>
                <w:sz w:val="18"/>
                <w:highlight w:val="yellow"/>
              </w:rPr>
              <w:t>19,0%</w:t>
            </w:r>
          </w:p>
        </w:tc>
        <w:tc>
          <w:tcPr>
            <w:tcW w:w="1760" w:type="dxa"/>
          </w:tcPr>
          <w:p w14:paraId="1B1D9CD6">
            <w:r>
              <w:rPr>
                <w:rFonts w:ascii="Arial" w:hAnsi="Arial" w:eastAsia="Arial" w:cs="Arial"/>
                <w:b w:val="0"/>
                <w:color w:val="1F4E9B"/>
                <w:sz w:val="18"/>
                <w:highlight w:val="yellow"/>
              </w:rPr>
              <w:t>6ª</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65CF03C2">
            <w:r>
              <w:rPr>
                <w:rFonts w:ascii="Arial" w:hAnsi="Arial" w:eastAsia="Arial" w:cs="Arial"/>
                <w:b w:val="0"/>
                <w:color w:val="1F4E9B"/>
                <w:sz w:val="18"/>
                <w:highlight w:val="yellow"/>
              </w:rPr>
              <w:t>EREF Coronel Othon (Recife)</w:t>
            </w:r>
          </w:p>
        </w:tc>
        <w:tc>
          <w:tcPr>
            <w:tcW w:w="1900" w:type="dxa"/>
          </w:tcPr>
          <w:p w14:paraId="240799C6">
            <w:r>
              <w:rPr>
                <w:rFonts w:ascii="Arial" w:hAnsi="Arial" w:eastAsia="Arial" w:cs="Arial"/>
                <w:b w:val="0"/>
                <w:color w:val="1F4E9B"/>
                <w:sz w:val="18"/>
                <w:highlight w:val="yellow"/>
              </w:rPr>
              <w:t>23,7%</w:t>
            </w:r>
          </w:p>
        </w:tc>
        <w:tc>
          <w:tcPr>
            <w:tcW w:w="1800" w:type="dxa"/>
          </w:tcPr>
          <w:p w14:paraId="1B1D9CD6">
            <w:r>
              <w:rPr>
                <w:rFonts w:ascii="Arial" w:hAnsi="Arial" w:eastAsia="Arial" w:cs="Arial"/>
                <w:b w:val="0"/>
                <w:color w:val="1F4E9B"/>
                <w:sz w:val="18"/>
                <w:highlight w:val="yellow"/>
              </w:rPr>
              <w:t>0,0%</w:t>
            </w:r>
          </w:p>
        </w:tc>
        <w:tc>
          <w:tcPr>
            <w:tcW w:w="1760" w:type="dxa"/>
          </w:tcPr>
          <w:p w14:paraId="1B1D9CD6">
            <w:r>
              <w:rPr>
                <w:rFonts w:ascii="Arial" w:hAnsi="Arial" w:eastAsia="Arial" w:cs="Arial"/>
                <w:b w:val="0"/>
                <w:color w:val="1F4E9B"/>
                <w:sz w:val="18"/>
                <w:highlight w:val="yellow"/>
              </w:rPr>
              <w:t>789ª (última)</w:t>
            </w:r>
          </w:p>
        </w:tc>
      </w:tr>
    </w:tbl>
    <w:p>
      <w:pPr>
        <w:pStyle w:val="3"/>
        <w:ind w:firstLine="0"/>
        <w:rPr>
          <w:color w:val="2E75B5"/>
        </w:rPr>
      </w:pPr>
      <w:r>
        <w:rPr>
          <w:rFonts w:ascii="Arial" w:hAnsi="Arial"/>
          <w:color w:val="1F4E9B"/>
          <w:sz w:val="22"/>
          <w:highlight w:val="yellow"/>
        </w:rPr>
        <w:t>Fonte: elaborado pelo autor.</w:t>
      </w:r>
    </w:p>
    <w:p>
      <w:pPr>
        <w:pStyle w:val="3"/>
        <w:ind w:firstLine="0"/>
        <w:rPr>
          <w:color w:val="2E75B5"/>
        </w:rPr>
      </w:pPr>
      <w:r>
        <w:rPr>
          <w:rFonts w:ascii="Arial" w:hAnsi="Arial"/>
          <w:color w:val="1F4E9B"/>
          <w:sz w:val="22"/>
          <w:highlight w:val="yellow"/>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pPr>
        <w:pStyle w:val="3"/>
        <w:ind w:firstLine="0"/>
        <w:rPr>
          <w:color w:val="2E75B5"/>
        </w:rPr>
      </w:pPr>
      <w:r>
        <w:rPr>
          <w:rFonts w:ascii="Arial" w:hAnsi="Arial"/>
          <w:color w:val="1F4E9B"/>
          <w:highlight w:val="yellow"/>
        </w:rPr>
        <w:t>O quadro exibe os três comportamentos que os números agregados resumem. O primeiro é o caso típico, que o modelo acerta com folga: dois terços da rede, 531 escolas, não registraram abandono em 2024, e para 92% delas a previsão ficou abaixo de 1% — a Santos Dumont e a Antônio Vieira de Barros são exemplos dos dois lados dessa margem. O segundo é a escola com histórico de abandono alto, onde estão os maiores acertos: na Sagrada Família o modelo previu 16,4% para um abandono que foi de 16,7%; na Ororuba errou o valor, previu 19,9% para 28,1%, mas a colocou na 3ª posição da lista — e, para priorizar, é a posição que importa. O terceiro comportamento são os dois padrões de erro, e ambos têm causa conhecida. Nas escolas indígenas e quilombolas sem abandono o modelo prevê risco alto: a José Luciano recebeu previsão de 19,0% e não perdeu aluno algum, o viés de −6,12 pontos percentuais tratado em Erros do Modelo e Equidade. E a escola que rompe com o próprio histórico fica invisível: a Coronel Othon não tinha registro de abandono, saltou para 23,7% em 2024, e o modelo a deixou na última posição da lista; na Maria Lúcia Alves, em Santa Cruz do Capibaribe, a maior perda da rede em número de alunos, cerca de 154 estudantes saíram onde a previsão era de 0,7%. O modelo lê o passado registrado de cada escola; a ruptura que não deixou sinal prévio nos dados ele não tem como antecipar. É por isso que a lista é apresentada como apoio à decisão, e não como substituto da visita à escola.</w:t>
      </w:r>
    </w:p>
    <w:p w14:paraId="2277BBB5">
      <w:pPr>
        <w:pStyle w:val="4"/>
        <w:numPr>
          <w:ilvl w:val="1"/>
          <w:numId w:val="1"/>
        </w:numPr>
      </w:pPr>
      <w:bookmarkStart w:id="54" w:name="_Toc11256"/>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6214"/>
      <w:r>
        <w:rPr>
          <w:rFonts w:ascii="Arial" w:hAnsi="Arial" w:eastAsia="Arial" w:cs="Arial"/>
          <w:b w:val="0"/>
        </w:rPr>
        <w:t>Explicação das Indicações</w:t>
      </w:r>
      <w:bookmarkEnd w:id="55"/>
    </w:p>
    <w:p w14:paraId="4564E80B">
      <w:pPr>
        <w:pStyle w:val="5"/>
        <w:numPr>
          <w:ilvl w:val="2"/>
          <w:numId w:val="1"/>
        </w:numPr>
      </w:pPr>
      <w:bookmarkStart w:id="56" w:name="_Toc1161"/>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7708"/>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2202"/>
      <w:r>
        <w:rPr>
          <w:rFonts w:ascii="Arial" w:hAnsi="Arial" w:eastAsia="Arial" w:cs="Arial"/>
          <w:b w:val="0"/>
        </w:rPr>
        <w:t>Explicação de Uma Escola</w:t>
      </w:r>
      <w:bookmarkEnd w:id="58"/>
    </w:p>
    <w:p w14:paraId="2C975AF9">
      <w:pPr>
        <w:pStyle w:val="3"/>
        <w:ind w:firstLine="0"/>
        <w:rPr>
          <w:rFonts w:ascii="Arial" w:hAnsi="Arial" w:eastAsia="Arial" w:cs="Arial"/>
          <w:b w:val="0"/>
        </w:rPr>
      </w:pPr>
      <w: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da defasagem idade-série, do histórico de abandono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162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15542"/>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156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4690"/>
      <w:r>
        <w:rPr>
          <w:rFonts w:ascii="Arial" w:hAnsi="Arial" w:eastAsia="Arial" w:cs="Arial"/>
          <w:b w:val="0"/>
        </w:rPr>
        <w:t>Conclusões e Trabalhos Futuros</w:t>
      </w:r>
      <w:bookmarkEnd w:id="62"/>
    </w:p>
    <w:p w14:paraId="2B49EC9B">
      <w:pPr>
        <w:pStyle w:val="4"/>
        <w:numPr>
          <w:ilvl w:val="1"/>
          <w:numId w:val="1"/>
        </w:numPr>
      </w:pPr>
      <w:bookmarkStart w:id="63" w:name="_Toc14639"/>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554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8513"/>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27451"/>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5BE19BB-A75C-4FA0-9F74-E071F58FEB92}"/>
  </w:font>
  <w:font w:name="Arial">
    <w:panose1 w:val="020B0604020202020204"/>
    <w:charset w:val="00"/>
    <w:family w:val="swiss"/>
    <w:pitch w:val="default"/>
    <w:sig w:usb0="E0002EFF" w:usb1="C000785B" w:usb2="00000009" w:usb3="00000000" w:csb0="400001FF" w:csb1="FFFF0000"/>
    <w:embedRegular r:id="rId2" w:fontKey="{4837BEA3-2BD1-4D18-9368-1F0DE435E4A8}"/>
  </w:font>
  <w:font w:name="Courier New">
    <w:panose1 w:val="02070309020205020404"/>
    <w:charset w:val="00"/>
    <w:family w:val="modern"/>
    <w:pitch w:val="default"/>
    <w:sig w:usb0="E0002EFF" w:usb1="C0007843" w:usb2="00000009" w:usb3="00000000" w:csb0="400001FF" w:csb1="FFFF0000"/>
    <w:embedRegular r:id="rId3" w:fontKey="{D516A5F1-42FD-4BE5-8726-09679E285A91}"/>
  </w:font>
  <w:font w:name="Symbol">
    <w:panose1 w:val="05050102010706020507"/>
    <w:charset w:val="02"/>
    <w:family w:val="roman"/>
    <w:pitch w:val="default"/>
    <w:sig w:usb0="00000000" w:usb1="00000000" w:usb2="00000000" w:usb3="00000000" w:csb0="80000000" w:csb1="00000000"/>
    <w:embedRegular r:id="rId4" w:fontKey="{427FEEAF-8D2A-43A1-96F1-33CE1EABCAE1}"/>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D9FBA525-F5FD-49CF-8671-BE7D2F0FF934}"/>
  </w:font>
  <w:font w:name="Georgia">
    <w:panose1 w:val="02040502050405020303"/>
    <w:charset w:val="00"/>
    <w:family w:val="roman"/>
    <w:pitch w:val="default"/>
    <w:sig w:usb0="00000287" w:usb1="00000000" w:usb2="00000000" w:usb3="00000000" w:csb0="2000009F" w:csb1="00000000"/>
    <w:embedRegular r:id="rId6" w:fontKey="{B3BD6C53-5AAC-4CFF-B47A-8EDD6B1E2559}"/>
  </w:font>
  <w:font w:name="Liberation Sans">
    <w:panose1 w:val="020B0604020202020204"/>
    <w:charset w:val="00"/>
    <w:family w:val="swiss"/>
    <w:pitch w:val="default"/>
    <w:sig w:usb0="E0000AFF" w:usb1="500078FF" w:usb2="00000021" w:usb3="00000000" w:csb0="600001BF" w:csb1="DFF70000"/>
    <w:embedRegular r:id="rId7" w:fontKey="{9B775DC2-19DA-429C-9108-5F924DE4A3A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44216D4"/>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6DDA1D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66</Pages>
  <Words>15284</Words>
  <Characters>78802</Characters>
  <Paragraphs>463</Paragraphs>
  <TotalTime>1</TotalTime>
  <ScaleCrop>false</ScaleCrop>
  <LinksUpToDate>false</LinksUpToDate>
  <CharactersWithSpaces>93274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2026-08-10T19:30:31Z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