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10;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KXhYtkAAAAJAQAADwAAAAAAAAABACAAAAAiAAAAZHJzL2Rvd25yZXYueG1sUEsBAhQA&#10;FAAAAAgAh07iQGUwgtFjAgAA0AQAAA4AAAAAAAAAAQAgAAAAKAEAAGRycy9lMm9Eb2MueG1sUEsF&#10;BgAAAAAGAAYAWQEAAP0FAAAAAA==&#10;">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r>
      <w:r>
        <w:instrText xml:space="preserve"> HYPERLINK "http://biblio2.pucsp.br/ficha/?_ga=2.154384056.1415767632.1628681585-1429258994.1628681585" </w:instrText>
      </w:r>
      <w:r>
        <w:fldChar w:fldCharType="separate"/>
      </w:r>
      <w:r>
        <w:rPr>
          <w:rStyle w:val="17"/>
          <w:rFonts w:cs="Arial"/>
          <w:bCs/>
          <w:szCs w:val="24"/>
        </w:rPr>
        <w:t>http://biblio2.pucsp.br/ficha/?_ga=2.154384056.1415767632.1628681585-1429258994.1628681585</w:t>
      </w:r>
      <w:r>
        <w:rPr>
          <w:rStyle w:val="17"/>
          <w:rFonts w:cs="Arial"/>
          <w:bCs/>
          <w:szCs w:val="24"/>
        </w:rPr>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2.392 observações e 30 features com 0% de missing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2,392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r>
        <w:fldChar w:fldCharType="begin"/>
      </w:r>
      <w:r>
        <w:instrText xml:space="preserve"> HYPERLINK \l "_Toc81404915" </w:instrText>
      </w:r>
      <w:r>
        <w:fldChar w:fldCharType="separate"/>
      </w:r>
      <w:r>
        <w:rPr>
          <w:rStyle w:val="17"/>
          <w:color w:val="auto"/>
        </w:rPr>
        <w:t>Figura 1 - Estrutura de trabalhos acadêmicos. (ABNT NBR 14724)</w:t>
      </w:r>
      <w:r>
        <w:tab/>
      </w:r>
      <w:r>
        <w:fldChar w:fldCharType="begin"/>
      </w:r>
      <w:r>
        <w:instrText xml:space="preserve"> PAGEREF _Toc81404915 \h </w:instrText>
      </w:r>
      <w:r>
        <w:fldChar w:fldCharType="separate"/>
      </w:r>
      <w:r>
        <w:rPr>
          <w:b/>
          <w:bCs/>
        </w:rPr>
        <w:t>Erro! Indicador não definido.</w:t>
      </w:r>
      <w:r>
        <w:fldChar w:fldCharType="end"/>
      </w:r>
      <w:r>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r>
      <w:r>
        <w:instrText xml:space="preserve"> TOC \h \z \c "Gráfico" </w:instrText>
      </w:r>
      <w:r>
        <w:fldChar w:fldCharType="separate"/>
      </w:r>
      <w:r>
        <w:fldChar w:fldCharType="begin"/>
      </w:r>
      <w:r>
        <w:instrText xml:space="preserve"> HYPERLINK \l "_Toc81400594" </w:instrText>
      </w:r>
      <w:r>
        <w:fldChar w:fldCharType="separate"/>
      </w:r>
      <w:r>
        <w:rPr>
          <w:rStyle w:val="17"/>
          <w:color w:val="auto"/>
        </w:rPr>
        <w:t>Gráfico 1 – Grupos etários</w:t>
      </w:r>
      <w:r>
        <w:tab/>
      </w:r>
      <w:r>
        <w:fldChar w:fldCharType="begin"/>
      </w:r>
      <w:r>
        <w:instrText xml:space="preserve"> PAGEREF _Toc81400594 \h </w:instrText>
      </w:r>
      <w:r>
        <w:fldChar w:fldCharType="separate"/>
      </w:r>
      <w:r>
        <w:rPr>
          <w:b/>
          <w:bCs/>
        </w:rPr>
        <w:t>Erro! Indicador não definido.</w:t>
      </w:r>
      <w:r>
        <w:fldChar w:fldCharType="end"/>
      </w:r>
      <w:r>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"Quadro" </w:instrText>
      </w:r>
      <w:r>
        <w:rPr>
          <w:rFonts w:cs="Arial"/>
          <w:b/>
          <w:szCs w:val="24"/>
        </w:rPr>
        <w:fldChar w:fldCharType="separate"/>
      </w:r>
      <w:r>
        <w:fldChar w:fldCharType="begin"/>
      </w:r>
      <w:r>
        <w:instrText xml:space="preserve"> HYPERLINK \l "_Toc80625082" </w:instrText>
      </w:r>
      <w:r>
        <w:fldChar w:fldCharType="separate"/>
      </w:r>
      <w:r>
        <w:rPr>
          <w:rStyle w:val="17"/>
          <w:color w:val="auto"/>
        </w:rPr>
        <w:t>Quadro 1 – Formato de apresentação</w:t>
      </w:r>
      <w:r>
        <w:tab/>
      </w:r>
      <w:r>
        <w:fldChar w:fldCharType="begin"/>
      </w:r>
      <w:r>
        <w:instrText xml:space="preserve"> PAGEREF _Toc80625082 \h </w:instrText>
      </w:r>
      <w:r>
        <w:fldChar w:fldCharType="separate"/>
      </w:r>
      <w:r>
        <w:rPr>
          <w:b/>
          <w:bCs/>
        </w:rPr>
        <w:t>Erro! Indicador não definido.</w:t>
      </w:r>
      <w:r>
        <w:fldChar w:fldCharType="end"/>
      </w:r>
      <w:r>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r>
        <w:fldChar w:fldCharType="begin"/>
      </w:r>
      <w:r>
        <w:instrText xml:space="preserve"> HYPERLINK \l "_Toc80625091" </w:instrText>
      </w:r>
      <w:r>
        <w:fldChar w:fldCharType="separate"/>
      </w:r>
      <w:r>
        <w:rPr>
          <w:rStyle w:val="17"/>
          <w:color w:val="auto"/>
        </w:rPr>
        <w:t>Tabela 1 - Modelo de tabela</w:t>
      </w:r>
      <w:r>
        <w:tab/>
      </w:r>
      <w:r>
        <w:fldChar w:fldCharType="begin"/>
      </w:r>
      <w:r>
        <w:instrText xml:space="preserve"> PAGEREF _Toc80625091 \h </w:instrText>
      </w:r>
      <w:r>
        <w:fldChar w:fldCharType="separate"/>
      </w:r>
      <w:r>
        <w:rPr>
          <w:b/>
          <w:bCs/>
        </w:rPr>
        <w:t>Erro! Indicador não definido.</w:t>
      </w:r>
      <w:r>
        <w:fldChar w:fldCharType="end"/>
      </w:r>
      <w:r>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r>
          <w:r>
            <w:rPr>
              <w:color w:val="auto"/>
            </w:rPr>
            <w:instrText xml:space="preserve"> TOC \o "1-8" \h \z \u </w:instrText>
          </w:r>
          <w:r>
            <w:rPr>
              <w:color w:val="auto"/>
            </w:rPr>
            <w:fldChar w:fldCharType="separate"/>
          </w:r>
          <w:r>
            <w:fldChar w:fldCharType="begin"/>
          </w:r>
          <w:r>
            <w:instrText xml:space="preserve"> HYPERLINK \l "_Toc112914764" </w:instrText>
          </w:r>
          <w:r>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r>
          <w:r>
            <w:fldChar w:fldCharType="begin"/>
          </w:r>
          <w:r>
            <w:instrText xml:space="preserve"> PAGEREF _Toc112914764 \h </w:instrText>
          </w:r>
          <w:r>
            <w:fldChar w:fldCharType="separate"/>
          </w:r>
          <w:r>
            <w:t>15</w:t>
          </w:r>
          <w:r>
            <w:fldChar w:fldCharType="end"/>
          </w:r>
          <w:r>
            <w:fldChar w:fldCharType="end"/>
          </w:r>
        </w:p>
        <w:p w14:paraId="2484E64C">
          <w:pPr>
            <w:pStyle w:val="18"/>
            <w:rPr>
              <w:rFonts w:asciiTheme="minorHAnsi" w:hAnsiTheme="minorHAnsi" w:eastAsiaTheme="minorEastAsia"/>
              <w:b w:val="0"/>
              <w:color w:val="auto"/>
              <w:sz w:val="22"/>
              <w:lang w:eastAsia="pt-BR"/>
            </w:rPr>
          </w:pPr>
          <w:r>
            <w:fldChar w:fldCharType="begin"/>
          </w:r>
          <w:r>
            <w:instrText xml:space="preserve"> HYPERLINK \l "_Toc112914765" </w:instrText>
          </w:r>
          <w:r>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r>
          <w:r>
            <w:fldChar w:fldCharType="begin"/>
          </w:r>
          <w:r>
            <w:instrText xml:space="preserve"> PAGEREF _Toc112914765 \h </w:instrText>
          </w:r>
          <w:r>
            <w:fldChar w:fldCharType="separate"/>
          </w:r>
          <w:r>
            <w:t>15</w:t>
          </w:r>
          <w:r>
            <w:fldChar w:fldCharType="end"/>
          </w:r>
          <w:r>
            <w:fldChar w:fldCharType="end"/>
          </w:r>
        </w:p>
        <w:p w14:paraId="1983AA8F">
          <w:pPr>
            <w:pStyle w:val="18"/>
            <w:rPr>
              <w:rFonts w:asciiTheme="minorHAnsi" w:hAnsiTheme="minorHAnsi" w:eastAsiaTheme="minorEastAsia"/>
              <w:b w:val="0"/>
              <w:color w:val="auto"/>
              <w:sz w:val="22"/>
              <w:lang w:eastAsia="pt-BR"/>
            </w:rPr>
          </w:pPr>
          <w:r>
            <w:fldChar w:fldCharType="begin"/>
          </w:r>
          <w:r>
            <w:instrText xml:space="preserve"> HYPERLINK \l "_Toc112914766" </w:instrText>
          </w:r>
          <w:r>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r>
          <w:r>
            <w:fldChar w:fldCharType="begin"/>
          </w:r>
          <w:r>
            <w:instrText xml:space="preserve"> PAGEREF _Toc112914766 \h </w:instrText>
          </w:r>
          <w:r>
            <w:fldChar w:fldCharType="separate"/>
          </w:r>
          <w:r>
            <w:t>15</w:t>
          </w:r>
          <w:r>
            <w:fldChar w:fldCharType="end"/>
          </w:r>
          <w:r>
            <w:fldChar w:fldCharType="end"/>
          </w:r>
        </w:p>
        <w:p w14:paraId="6B32E539">
          <w:pPr>
            <w:pStyle w:val="18"/>
            <w:rPr>
              <w:rFonts w:asciiTheme="minorHAnsi" w:hAnsiTheme="minorHAnsi" w:eastAsiaTheme="minorEastAsia"/>
              <w:b w:val="0"/>
              <w:color w:val="auto"/>
              <w:sz w:val="22"/>
              <w:lang w:eastAsia="pt-BR"/>
            </w:rPr>
          </w:pPr>
          <w:r>
            <w:fldChar w:fldCharType="begin"/>
          </w:r>
          <w:r>
            <w:instrText xml:space="preserve"> HYPERLINK \l "_Toc112914767" </w:instrText>
          </w:r>
          <w:r>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r>
          <w:r>
            <w:fldChar w:fldCharType="begin"/>
          </w:r>
          <w:r>
            <w:instrText xml:space="preserve"> PAGEREF _Toc112914767 \h </w:instrText>
          </w:r>
          <w:r>
            <w:fldChar w:fldCharType="separate"/>
          </w:r>
          <w:r>
            <w:t>15</w:t>
          </w:r>
          <w:r>
            <w:fldChar w:fldCharType="end"/>
          </w:r>
          <w:r>
            <w:fldChar w:fldCharType="end"/>
          </w:r>
        </w:p>
        <w:p w14:paraId="1A909B2B">
          <w:pPr>
            <w:pStyle w:val="18"/>
            <w:rPr>
              <w:rFonts w:asciiTheme="minorHAnsi" w:hAnsiTheme="minorHAnsi" w:eastAsiaTheme="minorEastAsia"/>
              <w:b w:val="0"/>
              <w:color w:val="auto"/>
              <w:sz w:val="22"/>
              <w:lang w:eastAsia="pt-BR"/>
            </w:rPr>
          </w:pPr>
          <w:r>
            <w:fldChar w:fldCharType="begin"/>
          </w:r>
          <w:r>
            <w:instrText xml:space="preserve"> HYPERLINK \l "_Toc112914768" </w:instrText>
          </w:r>
          <w:r>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r>
          <w:r>
            <w:fldChar w:fldCharType="begin"/>
          </w:r>
          <w:r>
            <w:instrText xml:space="preserve"> PAGEREF _Toc112914768 \h </w:instrText>
          </w:r>
          <w:r>
            <w:fldChar w:fldCharType="separate"/>
          </w:r>
          <w:r>
            <w:t>15</w:t>
          </w:r>
          <w:r>
            <w:fldChar w:fldCharType="end"/>
          </w:r>
          <w:r>
            <w:fldChar w:fldCharType="end"/>
          </w:r>
        </w:p>
        <w:p w14:paraId="389D83FB">
          <w:pPr>
            <w:pStyle w:val="32"/>
            <w:rPr>
              <w:rFonts w:asciiTheme="minorHAnsi" w:hAnsiTheme="minorHAnsi" w:eastAsiaTheme="minorEastAsia"/>
              <w:b w:val="0"/>
              <w:caps w:val="0"/>
              <w:color w:val="auto"/>
              <w:sz w:val="22"/>
              <w:lang w:eastAsia="pt-BR"/>
            </w:rPr>
          </w:pPr>
          <w:r>
            <w:fldChar w:fldCharType="begin"/>
          </w:r>
          <w:r>
            <w:instrText xml:space="preserve"> HYPERLINK \l "_Toc112914769" </w:instrText>
          </w:r>
          <w:r>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r>
          <w:r>
            <w:fldChar w:fldCharType="begin"/>
          </w:r>
          <w:r>
            <w:instrText xml:space="preserve"> PAGEREF _Toc112914769 \h </w:instrText>
          </w:r>
          <w:r>
            <w:fldChar w:fldCharType="separate"/>
          </w:r>
          <w:r>
            <w:t>16</w:t>
          </w:r>
          <w:r>
            <w:fldChar w:fldCharType="end"/>
          </w:r>
          <w:r>
            <w:fldChar w:fldCharType="end"/>
          </w:r>
        </w:p>
        <w:p w14:paraId="0DDD1957">
          <w:pPr>
            <w:pStyle w:val="18"/>
            <w:rPr>
              <w:rFonts w:asciiTheme="minorHAnsi" w:hAnsiTheme="minorHAnsi" w:eastAsiaTheme="minorEastAsia"/>
              <w:b w:val="0"/>
              <w:color w:val="auto"/>
              <w:sz w:val="22"/>
              <w:lang w:eastAsia="pt-BR"/>
            </w:rPr>
          </w:pPr>
          <w:r>
            <w:fldChar w:fldCharType="begin"/>
          </w:r>
          <w:r>
            <w:instrText xml:space="preserve"> HYPERLINK \l "_Toc112914770" </w:instrText>
          </w:r>
          <w:r>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r>
          <w:r>
            <w:fldChar w:fldCharType="begin"/>
          </w:r>
          <w:r>
            <w:instrText xml:space="preserve"> PAGEREF _Toc112914770 \h </w:instrText>
          </w:r>
          <w:r>
            <w:fldChar w:fldCharType="separate"/>
          </w:r>
          <w:r>
            <w:t>16</w:t>
          </w:r>
          <w:r>
            <w:fldChar w:fldCharType="end"/>
          </w:r>
          <w:r>
            <w:fldChar w:fldCharType="end"/>
          </w:r>
        </w:p>
        <w:p w14:paraId="7621DA52">
          <w:pPr>
            <w:pStyle w:val="18"/>
            <w:rPr>
              <w:rFonts w:asciiTheme="minorHAnsi" w:hAnsiTheme="minorHAnsi" w:eastAsiaTheme="minorEastAsia"/>
              <w:b w:val="0"/>
              <w:color w:val="auto"/>
              <w:sz w:val="22"/>
              <w:lang w:eastAsia="pt-BR"/>
            </w:rPr>
          </w:pPr>
          <w:r>
            <w:fldChar w:fldCharType="begin"/>
          </w:r>
          <w:r>
            <w:instrText xml:space="preserve"> HYPERLINK \l "_Toc112914771" </w:instrText>
          </w:r>
          <w:r>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r>
          <w:r>
            <w:fldChar w:fldCharType="begin"/>
          </w:r>
          <w:r>
            <w:instrText xml:space="preserve"> PAGEREF _Toc112914771 \h </w:instrText>
          </w:r>
          <w:r>
            <w:fldChar w:fldCharType="separate"/>
          </w:r>
          <w:r>
            <w:t>16</w:t>
          </w:r>
          <w:r>
            <w:fldChar w:fldCharType="end"/>
          </w:r>
          <w:r>
            <w:fldChar w:fldCharType="end"/>
          </w:r>
        </w:p>
        <w:p w14:paraId="0BC17314">
          <w:pPr>
            <w:pStyle w:val="32"/>
            <w:rPr>
              <w:rFonts w:asciiTheme="minorHAnsi" w:hAnsiTheme="minorHAnsi" w:eastAsiaTheme="minorEastAsia"/>
              <w:b w:val="0"/>
              <w:caps w:val="0"/>
              <w:color w:val="auto"/>
              <w:sz w:val="22"/>
              <w:lang w:eastAsia="pt-BR"/>
            </w:rPr>
          </w:pPr>
          <w:r>
            <w:fldChar w:fldCharType="begin"/>
          </w:r>
          <w:r>
            <w:instrText xml:space="preserve"> HYPERLINK \l "_Toc112914772" </w:instrText>
          </w:r>
          <w:r>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r>
          <w:r>
            <w:fldChar w:fldCharType="begin"/>
          </w:r>
          <w:r>
            <w:instrText xml:space="preserve"> PAGEREF _Toc112914772 \h </w:instrText>
          </w:r>
          <w:r>
            <w:fldChar w:fldCharType="separate"/>
          </w:r>
          <w:r>
            <w:t>17</w:t>
          </w:r>
          <w:r>
            <w:fldChar w:fldCharType="end"/>
          </w:r>
          <w:r>
            <w:fldChar w:fldCharType="end"/>
          </w:r>
        </w:p>
        <w:p w14:paraId="17688056">
          <w:pPr>
            <w:pStyle w:val="32"/>
            <w:rPr>
              <w:rFonts w:asciiTheme="minorHAnsi" w:hAnsiTheme="minorHAnsi" w:eastAsiaTheme="minorEastAsia"/>
              <w:b w:val="0"/>
              <w:caps w:val="0"/>
              <w:color w:val="auto"/>
              <w:sz w:val="22"/>
              <w:lang w:eastAsia="pt-BR"/>
            </w:rPr>
          </w:pPr>
          <w:r>
            <w:fldChar w:fldCharType="begin"/>
          </w:r>
          <w:r>
            <w:instrText xml:space="preserve"> HYPERLINK \l "_Toc112914773" </w:instrText>
          </w:r>
          <w:r>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r>
          <w:r>
            <w:fldChar w:fldCharType="begin"/>
          </w:r>
          <w:r>
            <w:instrText xml:space="preserve"> PAGEREF _Toc112914773 \h </w:instrText>
          </w:r>
          <w:r>
            <w:fldChar w:fldCharType="separate"/>
          </w:r>
          <w:r>
            <w:t>18</w:t>
          </w:r>
          <w:r>
            <w:fldChar w:fldCharType="end"/>
          </w:r>
          <w:r>
            <w:fldChar w:fldCharType="end"/>
          </w:r>
        </w:p>
        <w:p w14:paraId="1F103451">
          <w:pPr>
            <w:pStyle w:val="18"/>
            <w:rPr>
              <w:rFonts w:asciiTheme="minorHAnsi" w:hAnsiTheme="minorHAnsi" w:eastAsiaTheme="minorEastAsia"/>
              <w:b w:val="0"/>
              <w:color w:val="auto"/>
              <w:sz w:val="22"/>
              <w:lang w:eastAsia="pt-BR"/>
            </w:rPr>
          </w:pPr>
          <w:r>
            <w:fldChar w:fldCharType="begin"/>
          </w:r>
          <w:r>
            <w:instrText xml:space="preserve"> HYPERLINK \l "_Toc112914774" </w:instrText>
          </w:r>
          <w:r>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Não-Funcionais</w:t>
          </w:r>
          <w:r>
            <w:tab/>
          </w:r>
          <w:r>
            <w:fldChar w:fldCharType="begin"/>
          </w:r>
          <w:r>
            <w:instrText xml:space="preserve"> PAGEREF _Toc112914774 \h </w:instrText>
          </w:r>
          <w:r>
            <w:fldChar w:fldCharType="separate"/>
          </w:r>
          <w:r>
            <w:t>18</w:t>
          </w:r>
          <w:r>
            <w:fldChar w:fldCharType="end"/>
          </w:r>
          <w:r>
            <w:fldChar w:fldCharType="end"/>
          </w:r>
        </w:p>
        <w:p w14:paraId="4BB3CF6E">
          <w:pPr>
            <w:pStyle w:val="18"/>
            <w:rPr>
              <w:rFonts w:asciiTheme="minorHAnsi" w:hAnsiTheme="minorHAnsi" w:eastAsiaTheme="minorEastAsia"/>
              <w:b w:val="0"/>
              <w:color w:val="auto"/>
              <w:sz w:val="22"/>
              <w:lang w:eastAsia="pt-BR"/>
            </w:rPr>
          </w:pPr>
          <w:r>
            <w:fldChar w:fldCharType="begin"/>
          </w:r>
          <w:r>
            <w:instrText xml:space="preserve"> HYPERLINK \l "_Toc112914775" </w:instrText>
          </w:r>
          <w:r>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r>
          <w:r>
            <w:fldChar w:fldCharType="begin"/>
          </w:r>
          <w:r>
            <w:instrText xml:space="preserve"> PAGEREF _Toc112914775 \h </w:instrText>
          </w:r>
          <w:r>
            <w:fldChar w:fldCharType="separate"/>
          </w:r>
          <w:r>
            <w:t>18</w:t>
          </w:r>
          <w:r>
            <w:fldChar w:fldCharType="end"/>
          </w:r>
          <w:r>
            <w:fldChar w:fldCharType="end"/>
          </w:r>
        </w:p>
        <w:p w14:paraId="4C299E27">
          <w:pPr>
            <w:pStyle w:val="18"/>
            <w:rPr>
              <w:rFonts w:asciiTheme="minorHAnsi" w:hAnsiTheme="minorHAnsi" w:eastAsiaTheme="minorEastAsia"/>
              <w:b w:val="0"/>
              <w:color w:val="auto"/>
              <w:sz w:val="22"/>
              <w:lang w:eastAsia="pt-BR"/>
            </w:rPr>
          </w:pPr>
          <w:r>
            <w:fldChar w:fldCharType="begin"/>
          </w:r>
          <w:r>
            <w:instrText xml:space="preserve"> HYPERLINK \l "_Toc112914776" </w:instrText>
          </w:r>
          <w:r>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r>
          <w:r>
            <w:fldChar w:fldCharType="begin"/>
          </w:r>
          <w:r>
            <w:instrText xml:space="preserve"> PAGEREF _Toc112914776 \h </w:instrText>
          </w:r>
          <w:r>
            <w:fldChar w:fldCharType="separate"/>
          </w:r>
          <w:r>
            <w:t>18</w:t>
          </w:r>
          <w:r>
            <w:fldChar w:fldCharType="end"/>
          </w:r>
          <w:r>
            <w:fldChar w:fldCharType="end"/>
          </w:r>
        </w:p>
        <w:p w14:paraId="73A52D49">
          <w:pPr>
            <w:pStyle w:val="18"/>
            <w:rPr>
              <w:rFonts w:asciiTheme="minorHAnsi" w:hAnsiTheme="minorHAnsi" w:eastAsiaTheme="minorEastAsia"/>
              <w:b w:val="0"/>
              <w:color w:val="auto"/>
              <w:sz w:val="22"/>
              <w:lang w:eastAsia="pt-BR"/>
            </w:rPr>
          </w:pPr>
          <w:r>
            <w:fldChar w:fldCharType="begin"/>
          </w:r>
          <w:r>
            <w:instrText xml:space="preserve"> HYPERLINK \l "_Toc112914777" </w:instrText>
          </w:r>
          <w:r>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r>
          <w:r>
            <w:fldChar w:fldCharType="begin"/>
          </w:r>
          <w:r>
            <w:instrText xml:space="preserve"> PAGEREF _Toc112914777 \h </w:instrText>
          </w:r>
          <w:r>
            <w:fldChar w:fldCharType="separate"/>
          </w:r>
          <w:r>
            <w:t>18</w:t>
          </w:r>
          <w:r>
            <w:fldChar w:fldCharType="end"/>
          </w:r>
          <w:r>
            <w:fldChar w:fldCharType="end"/>
          </w:r>
        </w:p>
        <w:p w14:paraId="22C731AC">
          <w:pPr>
            <w:pStyle w:val="32"/>
            <w:rPr>
              <w:rFonts w:asciiTheme="minorHAnsi" w:hAnsiTheme="minorHAnsi" w:eastAsiaTheme="minorEastAsia"/>
              <w:b w:val="0"/>
              <w:caps w:val="0"/>
              <w:color w:val="auto"/>
              <w:sz w:val="22"/>
              <w:lang w:eastAsia="pt-BR"/>
            </w:rPr>
          </w:pPr>
          <w:r>
            <w:fldChar w:fldCharType="begin"/>
          </w:r>
          <w:r>
            <w:instrText xml:space="preserve"> HYPERLINK \l "_Toc112914778" </w:instrText>
          </w:r>
          <w:r>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r>
          <w:r>
            <w:fldChar w:fldCharType="begin"/>
          </w:r>
          <w:r>
            <w:instrText xml:space="preserve"> PAGEREF _Toc112914778 \h </w:instrText>
          </w:r>
          <w:r>
            <w:fldChar w:fldCharType="separate"/>
          </w:r>
          <w:r>
            <w:t>19</w:t>
          </w:r>
          <w:r>
            <w:fldChar w:fldCharType="end"/>
          </w:r>
          <w:r>
            <w:fldChar w:fldCharType="end"/>
          </w:r>
        </w:p>
        <w:p w14:paraId="4EC9598B">
          <w:pPr>
            <w:pStyle w:val="18"/>
            <w:rPr>
              <w:rFonts w:asciiTheme="minorHAnsi" w:hAnsiTheme="minorHAnsi" w:eastAsiaTheme="minorEastAsia"/>
              <w:b w:val="0"/>
              <w:color w:val="auto"/>
              <w:sz w:val="22"/>
              <w:lang w:eastAsia="pt-BR"/>
            </w:rPr>
          </w:pPr>
          <w:r>
            <w:fldChar w:fldCharType="begin"/>
          </w:r>
          <w:r>
            <w:instrText xml:space="preserve"> HYPERLINK \l "_Toc112914779" </w:instrText>
          </w:r>
          <w:r>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r>
          <w:r>
            <w:fldChar w:fldCharType="begin"/>
          </w:r>
          <w:r>
            <w:instrText xml:space="preserve"> PAGEREF _Toc112914779 \h </w:instrText>
          </w:r>
          <w:r>
            <w:fldChar w:fldCharType="separate"/>
          </w:r>
          <w:r>
            <w:t>19</w:t>
          </w:r>
          <w:r>
            <w:fldChar w:fldCharType="end"/>
          </w:r>
          <w:r>
            <w:fldChar w:fldCharType="end"/>
          </w:r>
        </w:p>
        <w:p w14:paraId="1D7CFCF8">
          <w:pPr>
            <w:pStyle w:val="18"/>
            <w:rPr>
              <w:rFonts w:asciiTheme="minorHAnsi" w:hAnsiTheme="minorHAnsi" w:eastAsiaTheme="minorEastAsia"/>
              <w:b w:val="0"/>
              <w:color w:val="auto"/>
              <w:sz w:val="22"/>
              <w:lang w:eastAsia="pt-BR"/>
            </w:rPr>
          </w:pPr>
          <w:r>
            <w:fldChar w:fldCharType="begin"/>
          </w:r>
          <w:r>
            <w:instrText xml:space="preserve"> HYPERLINK \l "_Toc112914780" </w:instrText>
          </w:r>
          <w:r>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r>
          <w:r>
            <w:fldChar w:fldCharType="begin"/>
          </w:r>
          <w:r>
            <w:instrText xml:space="preserve"> PAGEREF _Toc112914780 \h </w:instrText>
          </w:r>
          <w:r>
            <w:fldChar w:fldCharType="separate"/>
          </w:r>
          <w:r>
            <w:t>19</w:t>
          </w:r>
          <w:r>
            <w:fldChar w:fldCharType="end"/>
          </w:r>
          <w:r>
            <w:fldChar w:fldCharType="end"/>
          </w:r>
        </w:p>
        <w:p w14:paraId="5F0176E8">
          <w:pPr>
            <w:pStyle w:val="32"/>
            <w:rPr>
              <w:rFonts w:asciiTheme="minorHAnsi" w:hAnsiTheme="minorHAnsi" w:eastAsiaTheme="minorEastAsia"/>
              <w:b w:val="0"/>
              <w:caps w:val="0"/>
              <w:color w:val="auto"/>
              <w:sz w:val="22"/>
              <w:lang w:eastAsia="pt-BR"/>
            </w:rPr>
          </w:pPr>
          <w:r>
            <w:fldChar w:fldCharType="begin"/>
          </w:r>
          <w:r>
            <w:instrText xml:space="preserve"> HYPERLINK \l "_Toc112914781" </w:instrText>
          </w:r>
          <w:r>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r>
          <w:r>
            <w:fldChar w:fldCharType="begin"/>
          </w:r>
          <w:r>
            <w:instrText xml:space="preserve"> PAGEREF _Toc112914781 \h </w:instrText>
          </w:r>
          <w:r>
            <w:fldChar w:fldCharType="separate"/>
          </w:r>
          <w:r>
            <w:t>20</w:t>
          </w:r>
          <w:r>
            <w:fldChar w:fldCharType="end"/>
          </w:r>
          <w:r>
            <w:fldChar w:fldCharType="end"/>
          </w:r>
        </w:p>
        <w:p w14:paraId="563B80B1">
          <w:pPr>
            <w:pStyle w:val="32"/>
            <w:rPr>
              <w:rFonts w:asciiTheme="minorHAnsi" w:hAnsiTheme="minorHAnsi" w:eastAsiaTheme="minorEastAsia"/>
              <w:b w:val="0"/>
              <w:caps w:val="0"/>
              <w:color w:val="auto"/>
              <w:sz w:val="22"/>
              <w:lang w:eastAsia="pt-BR"/>
            </w:rPr>
          </w:pPr>
          <w:r>
            <w:fldChar w:fldCharType="begin"/>
          </w:r>
          <w:r>
            <w:instrText xml:space="preserve"> HYPERLINK \l "_Toc112914782" </w:instrText>
          </w:r>
          <w:r>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r>
          <w:r>
            <w:fldChar w:fldCharType="begin"/>
          </w:r>
          <w:r>
            <w:instrText xml:space="preserve"> PAGEREF _Toc112914782 \h </w:instrText>
          </w:r>
          <w:r>
            <w:fldChar w:fldCharType="separate"/>
          </w:r>
          <w:r>
            <w:t>21</w:t>
          </w:r>
          <w:r>
            <w:fldChar w:fldCharType="end"/>
          </w:r>
          <w:r>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"_Toc112914783" </w:instrText>
          </w:r>
          <w:r>
            <w:fldChar w:fldCharType="separate"/>
          </w:r>
          <w:r>
            <w:rPr>
              <w:rStyle w:val="17"/>
            </w:rPr>
            <w:t>Referências Bibliográficas</w:t>
          </w:r>
          <w:r>
            <w:tab/>
          </w:r>
          <w:r>
            <w:fldChar w:fldCharType="begin"/>
          </w:r>
          <w:r>
            <w:instrText xml:space="preserve"> PAGEREF _Toc112914783 \h </w:instrText>
          </w:r>
          <w:r>
            <w:fldChar w:fldCharType="separate"/>
          </w:r>
          <w:r>
            <w:t>22</w:t>
          </w:r>
          <w:r>
            <w:fldChar w:fldCharType="end"/>
          </w:r>
          <w:r>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"_Toc112914784" </w:instrText>
          </w:r>
          <w:r>
            <w:fldChar w:fldCharType="separate"/>
          </w:r>
          <w:r>
            <w:rPr>
              <w:rStyle w:val="17"/>
            </w:rPr>
            <w:t>Apêndice A – título</w:t>
          </w:r>
          <w:r>
            <w:tab/>
          </w:r>
          <w:r>
            <w:fldChar w:fldCharType="begin"/>
          </w:r>
          <w:r>
            <w:instrText xml:space="preserve"> PAGEREF _Toc112914784 \h </w:instrText>
          </w:r>
          <w:r>
            <w:fldChar w:fldCharType="separate"/>
          </w:r>
          <w:r>
            <w:t>23</w:t>
          </w:r>
          <w:r>
            <w:fldChar w:fldCharType="end"/>
          </w:r>
          <w:r>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"_Toc112914785" </w:instrText>
          </w:r>
          <w:r>
            <w:fldChar w:fldCharType="separate"/>
          </w:r>
          <w:r>
            <w:rPr>
              <w:rStyle w:val="17"/>
            </w:rPr>
            <w:t>Anexo a – título</w:t>
          </w:r>
          <w:r>
            <w:tab/>
          </w:r>
          <w:r>
            <w:fldChar w:fldCharType="begin"/>
          </w:r>
          <w:r>
            <w:instrText xml:space="preserve"> PAGEREF _Toc112914785 \h </w:instrText>
          </w:r>
          <w:r>
            <w:fldChar w:fldCharType="separate"/>
          </w:r>
          <w:r>
            <w:t>24</w:t>
          </w:r>
          <w:r>
            <w:fldChar w:fldCharType="end"/>
          </w:r>
          <w:r>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do modelo preditivo e da explicabilidade do modelo com SHAP. O Capítulo 7 — Conclusões — sintetiza as contribuições e aponta trabalhos futuros.</w:t>
      </w:r>
    </w:p>
    <w:p w14:paraId="6BCBF4EF">
      <w:pPr>
        <w:ind w:firstLine="0"/>
        <w:rPr>
          <w:color w:val="auto"/>
        </w:rPr>
      </w:pPr>
      <w:r>
        <w:t>Principais decisões metodológicas adotadas: (i) a unidade de análise é a escola — não o aluno —, pois os dados públicos do Censo estão disponíveis nesse nível e o volume (~800 obs./ano) é adequado para ML interpretável; (ii) a variável-alvo é a taxa de abandono do ano t+1, construída com shift temporal nas Taxas de Rendimento do INEP, criando uma lógica genuinamente preditiva; (iii) os indicadores INSE, IRD, TDI e AFD foram incorporados para capturar dimensões ausentes no Censo (nível socioeconômico, qualidade docente e distorção etária); (iv) o INSE foi tratado como variável estática (edição 2021), pois não há versão posterior disponível em nível de escola; (v) QT_TUR_MED e QT_DOC_MED foram excluídas por colinearidade com QT_MAT_MED (r&gt;0,85); (vi) TAXA_APROV_MED foi excluída por identidade aritmética com reprovação e abandono (aprov + reprov + abnd = 100%).</w:t>
      </w:r>
    </w:p>
    <w:p w14:paraId="1F2276D2">
      <w:pPr>
        <w:ind w:firstLine="0"/>
        <w:rPr>
          <w:color w:val="auto"/>
        </w:rPr>
      </w:pPr>
      <w:r>
        <w:t>Problemas encontrados durante o desenvolvimento: (i) inconsistência no código de mesorregião entre o Censo de 2022 (escala 1–5) e o de 2023 (código IBGE 2601–2605), corrigida com mapeamento explícito no ETL; (ii) a coluna QT_MAT_MED_NM apresentou 100% de missing em 2022, sendo descartada da análise; (iii) o INSE 2021 cobre 94,8% das escolas do painel, com os 5,2% restantes imputados por média de mesorregião; (iv) as Taxas de Rendimento são fornecidas em formato Excel com cabeçalho de 8 linhas e células '--' para escolas sem oferta da série, exigindo parser especializado no ETL; (v) os arquivos de IRD, TDI e AFD são distribuídos por dependência administrativa em arquivos separados, exigindo filtros e joins cuidadosos para isolar as escolas estaduais de Ensino Médio de Pernambuco.</w:t>
      </w:r>
    </w:p>
    <w:p w14:paraId="604E0ACB">
      <w:pPr>
        <w:ind w:firstLine="0"/>
        <w:rPr>
          <w:color w:val="auto"/>
        </w:rPr>
      </w:pPr>
      <w:r>
        <w:t>Principais resultados obtidos até o momento: (i) painel longitudinal estável com 806 escolas únicas, 2.392 linhas e 97,4% de cobertura nos três anos analisados; (ii) dataset final de modelagem com 1.586 observações, 30 features e 0% de missing após imputação por média de mesorregião×ano; (iii) infraestrutura significativamente inferior nas escolas rurais (índice médio 0,52 vs. 0,71 nas urbanas; p&lt;0,0001); (iv) crescimento do ensino integral de 56,7% em 2022 para 64,9% em 2024, com 50% das escolas operando em regime 100% integral em 2024; (v) correlações Spearman mais fortes com a taxa de abandono futura: lag de abandono (r≈+0,80), distorção idade-série (r≈+0,55) e nível socioeconômico (INSE, r≈−0,40); (vi) concentração de risco nos municípios da mesorregião do São Francisco Pernambucano, que acumula menores índices de IRD e INSE e maiores taxas de abandono e distorção idade-série. (vii) explicabilidade do modelo definitivo com SHAP, que confirmou o lag de abandono, a reprovação e a distorção idade-série como os principais determinantes do risco previsto, com direções coerentes com a teoria (abandono, reprovação e distorção elevam o risco; nível socioeconômico elevado o reduz); (viii) diagnóstico de equidade: o modelo definitivo mantém superpredição sistemática do abandono nas escolas de localização diferenciada (resíduo médio de −3,99 pontos percentuais na validação temporal), indício de fatores protetivos de vínculo comunitário não capturados pelas variáveis disponíveis.</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 xml:space="preserve">Este capítulo descreve o método de desenvolvimento adotado no projeto, as fases executadas </w:t>
      </w:r>
      <w:bookmarkStart w:id="34" w:name="_GoBack"/>
      <w:bookmarkEnd w:id="34"/>
      <w:r>
        <w:t>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r>
        <w:t>O CRISP-DM organiza projetos de mineração de dados em seis etapas: entendimento do negócio, entendimento dos dados, preparação dos dados, modelagem, avaliação e implantação. Essas etapas foram mapeadas para fases do projeto com critérios de saída explícitos, executadas de forma incremental: cada fase é concluída com um commit identificado no controle de versão e com um relatório técnico que documenta decisões, problemas encontrados e resultados obtidos. Esse arranjo permite retornar a fases anteriores quando novas evidências surgem — característica essencial em projetos de ciência de dados, nos quais a qualidade dos dados só é plenamente conhecida durante a exploração.</w:t>
      </w:r>
    </w:p>
    <w:p w14:paraId="2ECB9FCB">
      <w:r>
        <w:t>O desenvolvimento segue ainda uma separação explícita entre código de produção e código de análise: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51"/>
        <w:gridCol w:w="2268"/>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r>
              <w:t>Módulos train.py e evaluate.py; baselines Ridge e Random Forest e modelo principal XGBoost avaliados com GroupKFold por município e validação temporal; tuning do XGBoost por busca em grade; métricas registradas em CSV; modelos serializados (baseline_ridge_v1.joblib e xgboost_v1.joblib)</w:t>
            </w:r>
          </w:p>
        </w:tc>
        <w:tc>
          <w:tcPr>
            <w:tcW w:w="2268" w:type="dxa"/>
          </w:tcPr>
          <w:p>
            <w:r>
              <w:t>Concluída</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Planejada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do projeto em um documento de decisões mantido sob controle de versão. Definiu-se a escola — e não o aluno — como unidade de análise, uma vez que os dados públicos do INEP estão disponíveis nesse nível, o usuário-alvo (gestor da Secretaria Estadual de Educação) decide em nível de escola e o volume resultante (~800 escolas/ano) é adequado para aprendizado de máquina interpretável. O universo foi delimitado às escolas estaduais ativas com oferta de Ensino Médio regular em Pernambuco, e o problema foi formulado como regressão: predizer a taxa de abandono do Ensino Médio no ano t+1 a partir de indicadores institucionais e contextuais do ano t. Nessa fase também foram selecionadas as fontes de dados (microdados do Censo Escolar 2022–2024, Taxas de Rendimento, INSE, IRD, TDI e AFD) e a stack tecnológica (Python, pandas, scikit-learn, XGBoost, SHAP e Streamlit).</w:t>
      </w:r>
    </w:p>
    <w:p w14:paraId="45C20EE3">
      <w:pPr>
        <w:pStyle w:val="4"/>
      </w:pPr>
      <w:r>
        <w:t>ETL do Censo Escolar e Análise Exploratória</w:t>
      </w:r>
    </w:p>
    <w:p w14:paraId="3BD90FCA">
      <w:r>
        <w:t>A primeira fase de implementação construiu o pipeline de extração, transformação e carga dos microdados do Censo Escolar. O módulo load.py realiza a carga dos arquivos CSV de cada ano com busca heurística pelos nomes de arquivo (o INEP não mantém nomenclatura consistente entre edições); o módulo filter_pe_estadual_em.py aplica, em sequência auditável, os filtros de UF (SG_UF = 'PE'), dependência administrativa estadual (TP_DEPENDENCIA = 2), situação de funcionamento ativa e oferta de Ensino Médio; e o módulo build_school_panel.py empilha os três anos em um painel longitudinal escola×ano. O resultado é um painel com 2.392 linhas e 34 colunas, cobrindo 806 escolas únicas — 97,4% delas presentes nos três anos, o que caracteriza um painel estável.</w:t>
      </w:r>
    </w:p>
    <w:p w14:paraId="3AB2028B">
      <w:r>
        <w:t>Sobre esse painel foram executadas dez análises descritivas, com figuras geradas programaticamente, que caracterizaram o universo de estudo: 185 municípios atendidos; 86% das escolas em área urbana; mediana de aproximadamente 350 matrículas de Ensino Médio por escola; índice médio de infraestrutura de 0,68, com diferença significativa entre escolas rurais (0,52) e urbanas (0,71; p&lt;0,0001); e crescimento da oferta de tempo integral de 56,7% em 2022 para 64,9% em 2024. A fase também identificou problemas de qualidade de dados que orientaram decisões posteriores, como o descarte da coluna QT_MAT_MED_NM (100% de valores ausentes em 2022) e a inconsistência do código de mesorregião entre as edições 2022 e 2023 do Censo, corrigida com mapeamento explícito no ETL.</w:t>
      </w:r>
    </w:p>
    <w:p w14:paraId="2473D422">
      <w:pPr>
        <w:pStyle w:val="4"/>
      </w:pPr>
      <w:r>
        <w:t>Integração dos Indicadores Complementares</w:t>
      </w:r>
    </w:p>
    <w:p w14:paraId="69A8C537">
      <w:r>
        <w:t>A segunda fase incorporou ao painel cinco fontes complementares do INEP, cada uma com um módulo de ETL dedicado: Taxas de Rendimento Escolar (aprovação, reprovação e abandono, por série e total do Ensino Médio), Indicador de Nível Socioeconômico (INSE), Indicador de Regularidade Docente (IRD), Taxa de Distorção Idade-Série (TDI) e Adequação da Formação Docente (AFD). As Taxas de Rendimento exigiram um parser especializado, pois o INEP as distribui em planilhas Excel com cabeçalho de oito linhas e células '--' para escolas sem oferta da série, convertidas para valores ausentes. O ETL resultou em parquets intermediários padronizados por escola e ano, validados por testes automatizados.</w:t>
      </w:r>
    </w:p>
    <w:p w14:paraId="3674F741">
      <w:r>
        <w:t>As análises desta fase estabeleceram a viabilidade do problema preditivo: a taxa de abandono do ano anterior apresentou correlação de Spearman de aproximadamente +0,80 com a do ano seguinte, seguida pela distorção idade-série (r≈+0,55) e pelo nível socioeconômico (r≈−0,40). Identificou-se ainda a concentração de risco na mesorregião do São Francisco Pernambucano, que acumula os menores índices de IRD e INSE e as maiores taxas de abandono e distorção. Como o INSE não possui edição posterior a 2021 em nível de escola, decidiu-se tratá-lo como variável estática, com cobertura de 94,8% do painel e imputação por média de mesorregião para as escolas restantes.</w:t>
      </w:r>
    </w:p>
    <w:p w14:paraId="74990003">
      <w:pPr>
        <w:pStyle w:val="4"/>
      </w:pPr>
      <w:r>
        <w:t>Feature Engineering</w:t>
      </w:r>
    </w:p>
    <w:p w14:paraId="6F3F5538">
      <w:r>
        <w:t>A terceira fase construiu o dataset final de modelagem por meio do módulo build_features.py, que materializa a lógica temporal preditiva do projeto: para cada escola e cada ano t ∈ {2022, 2023}, as features são os atributos da escola no ano t e o target é a taxa de abandono do Ensino Médio observada no ano t+1. O ano de 2024 não entra como ano-feature por não haver dados de rendimento de 2025. As features combinam atributos do Censo (matrículas, infraestrutura, conectividade, tempo integral), os quatro indicadores complementares e lags das taxas de reprovação e abandono por série.</w:t>
      </w:r>
    </w:p>
    <w:p w14:paraId="60663B0E">
      <w:r>
        <w:t>Decisões de engenharia tomadas nesta fase incluem: exclusão de QT_TUR_MED e QT_DOC_MED por colinearidade com QT_MAT_MED (r&gt;0,85); exclusão de TAXA_APROV_MED por identidade aritmética com reprovação e abandono (as três taxas somam 100%); exclusão das taxas da 4ª série e do não seriado por alto percentual de valores ausentes; e imputação dos valores ausentes restantes por média de mesorregião×ano. O dataset final contém 1.586 observações e 30 features, sem valores ausentes após a imputação. Uma análise preliminar de importância de variáveis com XGBoost confirmou o lag de abandono, a distorção idade-série e o INSE como os preditores mais relevantes, em consonância com as correlações observadas na fase anterior.</w:t>
      </w:r>
    </w:p>
    <w:p>
      <w:pPr>
        <w:pStyle w:val="4"/>
      </w:pPr>
      <w:r>
        <w:t>Modelagem Baseline</w:t>
      </w:r>
    </w:p>
    <w:p>
      <w:r>
        <w:t>A quarta fase iniciou a etapa de modelagem com a construção dos modelos de referência previstos na metodologia, implementados nos módulos train.py e evaluate.py. O pipeline de pré-processamento, definido com o ColumnTransformer do scikit-learn, aplica imputação por mediana e padronização às variáveis numéricas e codificação one-hot à mesorregião, única variável categórica nominal. Três modelos foram avaliados: um DummyRegressor que prediz a média do treino, como piso trivial de referência; a regressão Ridge, como baseline linear; e o Random Forest, como baseline não-linear. Os hiperparâmetros foram selecionados por busca em grade com a própria validação cruzada agrupada (Ridge com alfa=100; Random Forest com 300 árvores, profundidade máxima 8 e mínimo de 5 observações por folha). Avaliaram-se ainda transformações do target (logaritmo e raiz quadrada), com efeito marginal sobre as métricas: a raiz quadrada beneficiou levemente o Ridge, e a ausência de transformação, o Random Forest.</w:t>
      </w:r>
    </w:p>
    <w:p>
      <w:r>
        <w:t>A avaliação seguiu dois protocolos complementares. Na validação cruzada GroupKFold, com cinco folds agrupados por município para evitar vazamento de informação entre escolas vizinhas, ambos os baselines superaram com folga o piso trivial: RMSE de 2,70 pontos percentuais (Random Forest) e 2,74 (Ridge) contra 3,32 do Dummy, correlação de Spearman de 0,44 e 0,39, respectivamente, e Precision@K (K=10%) de aproximadamente 0,50 contra 0,07. Já na validação temporal — treino com o par 2022→2023 e teste com o par 2023→2024, simulando o uso real do sistema — observou-se deslocamento de distribuição entre os ciclos: nenhum modelo superou o piso trivial em RMSE (R² negativo), pois o nível médio de abandono mudou de um ano para o outro; as métricas de ranqueamento, contudo, mantiveram-se muito superiores ao piso (Spearman de 0,37 e Precision@K de 0,42 contra 0,09). O resultado indica que os modelos preservam a capacidade de identificar quais escolas terão abandono elevado, ainda que errem a magnitude — comportamento suficiente para a pergunta de pesquisa, formulada como problema de priorização, mas que deverá ser tratado na fase de tuning.</w:t>
      </w:r>
    </w:p>
    <w:p>
      <w:r>
        <w:t>Uma análise preliminar de resíduos antecipou a pergunta secundária de pesquisa: escolas indígenas do Sertão de Itaparica apresentaram abandono real próximo de zero apesar de um perfil contextual associado a abandono elevado, enquanto escolas de referência da Região Metropolitana do Recife apresentaram abandono acima do esperado — casos que serão aprofundados na análise de resíduos com o modelo definitivo. O melhor baseline (Ridge com transformação raiz quadrada) foi serializado em models/baseline_ridge_v1.joblib, e todas as métricas foram registradas em arquivos CSV para comparação com o XGBoost. A fase está documentada no relatório técnico correspondente (relatorio_fase5_baselines.docx).</w:t>
      </w:r>
    </w:p>
    <w:p>
      <w:pPr>
        <w:pStyle w:val="4"/>
      </w:pPr>
      <w:r>
        <w:t>Tuning do XGBoost</w:t>
      </w:r>
    </w:p>
    <w:p>
      <w:pPr/>
      <w:r>
        <w:t>A quinta fase realizou o tuning do modelo principal. O XGBoost foi otimizado por busca em grade (GridSearchCV) sob a mesma validação cruzada agrupada por município empregada nos baselines, varrendo o número de árvores, a profundidade, a taxa de aprendizagem, o peso mínimo por folha e a regularização L2 — quarenta e oito combinações ao todo —, com o RMSE como critério de seleção. O pipeline de pré-processamento da fase anterior foi reaproveitado integralmente, garantindo comparabilidade direta com os baselines. A configuração selecionada — trezentas árvores rasas (profundidade dois), taxa de aprendizagem 0,02, peso mínimo por folha cinco e regularização L2 igual a cinco, com o target em raiz quadrada — privilegia árvores rasas e regularização forte, coerente com o tamanho reduzido da amostra de treino (797 observações), em que modelos complexos sobreajustam facilmente. O modelo definitivo foi serializado em models/xgboost_v1.joblib, e os resultados quantitativos são apresentados no capítulo de Testes e Análise dos Resultados.</w:t>
      </w:r>
    </w:p>
    <w:p>
      <w:pPr>
        <w:pStyle w:val="4"/>
      </w:pPr>
      <w:r>
        <w:t>Explicabilidade e Diagnóstico do Modelo</w:t>
      </w:r>
    </w:p>
    <w:p>
      <w:pPr/>
      <w:r>
        <w:t>A sexta fase de implementação dedicou-se à explicabilidade do modelo definitivo e ao diagnóstico das escolas fora do padrão — a pergunta secundária de pesquisa. Sobre o XGBoost serializado foi montado um explicador baseado em valores de Shapley (TreeExplainer da biblioteca SHAP), encapsulado no módulo explain.py, que decompõe cada predição na soma das contribuições de cada variável. Como o modelo final emprega transformação raiz quadrada no alvo, os valores SHAP são expressos em unidades de raiz da taxa de abandono — escala em que o sinal e a ordenação das contribuições permanecem válidos, por ser a raiz uma função monótona —, enquanto as predições e os resíduos são reportados na escala original, em pontos percentuais. A fase produziu a importância global das variáveis, a direção de seu efeito, explicações locais por escola e a reavaliação do viés de superpredição por grupo de localização sobre o modelo definitivo, com resultados apresentados no capítulo de Testes e Análise dos Resultados. Todo o procedimento é coberto por testes automatizados que verificam, entre outras propriedades, a aditividade dos valores SHAP em relação à predição do modelo.</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são cobertos por testes unitários com pytest (test_etl_filters.py, test_panel.py, test_taxas.py, test_build_target.py, test_models.py e test_explain.py), que validam os filtros do universo, a integridade do painel longitudinal, o parser das Taxas de Rendimento, a métrica Precision@K e o não-vazamento de municípios entre os folds da validação cruzada e a aditividade dos valores SHAP,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443D998C">
      <w:pPr>
        <w:pStyle w:val="3"/>
      </w:pPr>
      <w:r>
        <w:t>Fases Subsequentes</w:t>
      </w:r>
    </w:p>
    <w:p w14:paraId="1CF13436">
      <w:r>
        <w:t>Concluídas a modelagem e a explicabilidade do modelo, resta como fase subsequente a construção do dashboard interativo em Streamlit voltado aos gestores da Secretaria Estadual de Educação, que consumirá o modelo serializado para produzir o ranking de risco e as explicações por escola, seguida do empacotamento da aplicação em contêiner para implantação. Os encaminhamentos de modelagem identificados ao longo do projeto — em especial o tratamento do viés de superpredição nas escolas de localização diferenciada e a ampliação da janela temporal à medida que novas edições do Censo sejam publicadas — são retomados no capítulo de conclusões.</w:t>
      </w:r>
    </w:p>
    <w:p w14:paraId="39C2FCC5">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t>A arquitetura do sistema é descrita segundo o modelo de visões 4+1 de Kruchten, adaptado à natureza do software: trata-se de um pipeline de ciência de dados cujo núcleo são módulos de transformação de dados e de modelagem, e não um sistema orientado a objetos com hierarquias de classes. Por essa razão, a visão lógica é apresentada por meio de diagramas de pacotes e de componentes — que refletem fielmente a organização do código em camadas — em vez de um diagrama de classes. As visões são expressas em notação UML. O sistema organiza-se em quatro camadas de responsabilidade única — aquisição e preparação de dados (src.data), engenharia de atributos (src.features), modelagem e explicabilidade (src.models) e recomendação/visualização (src.recommend) —, sustentadas por uma camada transversal de configuração (config) e por convenções de persistência em disco (raw → interim → processed e modelos serializados). As subseções seguintes detalham os aspectos funcionais e não funcionais e as visões estrutural, comportamental e de implantação.</w:t>
      </w:r>
    </w:p>
    <w:p w14:paraId="066002F0">
      <w:pPr>
        <w:ind w:firstLine="0"/>
        <w:rPr>
          <w:color w:val="auto"/>
        </w:rPr>
      </w:pPr>
    </w:p>
    <w:p w14:paraId="3480600E">
      <w:pPr>
        <w:pStyle w:val="3"/>
      </w:pPr>
      <w:bookmarkStart w:id="13" w:name="_Toc112914774"/>
      <w:r>
        <w:t>Aspectos Funcionais e Não-Funcionais</w:t>
      </w:r>
      <w:bookmarkEnd w:id="13"/>
    </w:p>
    <w:p w14:paraId="701271A7">
      <w:pPr>
        <w:ind w:firstLine="0"/>
        <w:rPr>
          <w:color w:val="auto"/>
        </w:rPr>
      </w:pPr>
    </w:p>
    <w:p w14:paraId="671FE853">
      <w:pPr>
        <w:ind w:firstLine="0"/>
        <w:rPr>
          <w:color w:val="auto"/>
        </w:rPr>
      </w:pPr>
      <w:r>
        <w:t>Os requisitos funcionais do sistema decorrem diretamente das perguntas de pesquisa e do usuário-alvo, o gestor da Secretaria Estadual de Educação. A figura a seguir apresenta o diagrama de casos de uso. O caso de uso central é consultar o ranking de risco de abandono das escolas para o ano t+1 (RF1); a ele somam-se visualizar a explicação individual de cada escola por valores SHAP (RF2) e inspecionar o diagnóstico de resíduos, que sinaliza escolas cujo abandono observado diverge do previsto pelo seu perfil (RF3). Esses três casos atendem ao gestor. Um segundo ator, o analista ou pesquisador, responde pelos casos de uso de manutenção do sistema: executar o pipeline de dados, da extração à geração do conjunto de modelagem (RF4), e treinar ou atualizar o modelo preditivo (RF5). O INEP figura como ator de apoio, fornecedor dos microdados que alimentam o pipeline.</w:t>
      </w:r>
    </w:p>
    <w:p>
      <w:pPr>
        <w:pStyle w:val="28"/>
      </w:pPr>
      <w:r>
        <w:t>Figura – Diagrama de casos de uso</w:t>
      </w:r>
    </w:p>
    <w:p>
      <w:pPr>
        <w:jc w:val="center"/>
      </w:pPr>
      <w:r>
        <w:drawing>
          <wp:inline xmlns:a="http://schemas.openxmlformats.org/drawingml/2006/main" xmlns:pic="http://schemas.openxmlformats.org/drawingml/2006/picture">
            <wp:extent cx="5394960" cy="3391503"/>
            <wp:docPr id="12" name="Picture 12"/>
            <wp:cNvGraphicFramePr>
              <a:graphicFrameLocks noChangeAspect="1"/>
            </wp:cNvGraphicFramePr>
            <a:graphic>
              <a:graphicData uri="http://schemas.openxmlformats.org/drawingml/2006/picture">
                <pic:pic>
                  <pic:nvPicPr>
                    <pic:cNvPr id="0" name="arq1_casos_uso.png"/>
                    <pic:cNvPicPr/>
                  </pic:nvPicPr>
                  <pic:blipFill>
                    <a:blip r:embed="rId22"/>
                    <a:stretch>
                      <a:fillRect/>
                    </a:stretch>
                  </pic:blipFill>
                  <pic:spPr>
                    <a:xfrm>
                      <a:off x="0" y="0"/>
                      <a:ext cx="5394960" cy="3391503"/>
                    </a:xfrm>
                    <a:prstGeom prst="rect"/>
                  </pic:spPr>
                </pic:pic>
              </a:graphicData>
            </a:graphic>
          </wp:inline>
        </w:drawing>
      </w:r>
    </w:p>
    <w:p>
      <w:pPr>
        <w:pStyle w:val="28"/>
      </w:pPr>
      <w:r>
        <w:t>Fonte: elaborado pelo autor.</w:t>
      </w:r>
    </w:p>
    <w:p>
      <w:pPr/>
      <w:r>
        <w:t>Entre os requisitos não funcionais, destacam-se: (i) reprodutibilidade — qualquer resultado deve ser reconstruível a partir dos dados brutos imutáveis, com ambiente e dependências fixados; (ii) interpretabilidade — o modelo precisa justificar cada indicação de prioridade, requisito que orientou a escolha por um modelo baseado em árvores acompanhado de explicações SHAP, em vez de uma caixa-preta; (iii) ausência de vazamento de dados — a validação deve respeitar a estrutura temporal (features de t, alvo em t+1) e espacial (agrupamento por município), sob pena de métricas otimistas; (iv) testabilidade — cada módulo do pipeline é coberto por testes automatizados; e (v) portabilidade — a aplicação de visualização deve ser empacotável em contêiner para implantação sem dependência do ambiente de desenvolvimento. Esses requisitos permeiam as decisões arquiteturais discutidas a seguir.</w:t>
      </w:r>
    </w:p>
    <w:p w14:paraId="1659D500">
      <w:pPr>
        <w:ind w:firstLine="0"/>
        <w:rPr>
          <w:color w:val="auto"/>
        </w:rPr>
      </w:pPr>
    </w:p>
    <w:p w14:paraId="34D62FE2">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t>A visão estrutural é apresentada em dois níveis. No nível de código-fonte, a figura a seguir exibe o diagrama de pacotes. A dependência flui em sentido único, das camadas superiores para as inferiores, sem ciclos: src.features depende de src.data; src.models depende de src.features; e src.recommend — a aplicação de visualização, planejada — depende de src.models. O pacote src.data.config é transversal, importado pelas demais camadas para centralizar caminhos e anos de referência. Os pacotes notebooks e tests consomem as camadas de src — os primeiros como scripts de análise que orquestram o pipeline, os segundos como verificação automatizada —, mas nenhuma camada de produção depende deles. Essa orientação acíclica das dependências é o que garante que cada camada possa ser testada e reexecutada isoladamente.</w:t>
      </w:r>
    </w:p>
    <w:p>
      <w:pPr>
        <w:pStyle w:val="28"/>
      </w:pPr>
      <w:r>
        <w:t>Figura – Diagrama de pacotes (visão estrutural)</w:t>
      </w:r>
    </w:p>
    <w:p>
      <w:pPr>
        <w:jc w:val="center"/>
      </w:pPr>
      <w:r>
        <w:drawing>
          <wp:inline xmlns:a="http://schemas.openxmlformats.org/drawingml/2006/main" xmlns:pic="http://schemas.openxmlformats.org/drawingml/2006/picture">
            <wp:extent cx="4572000" cy="3412495"/>
            <wp:docPr id="13" name="Picture 13"/>
            <wp:cNvGraphicFramePr>
              <a:graphicFrameLocks noChangeAspect="1"/>
            </wp:cNvGraphicFramePr>
            <a:graphic>
              <a:graphicData uri="http://schemas.openxmlformats.org/drawingml/2006/picture">
                <pic:pic>
                  <pic:nvPicPr>
                    <pic:cNvPr id="0" name="arq2_pacotes.png"/>
                    <pic:cNvPicPr/>
                  </pic:nvPicPr>
                  <pic:blipFill>
                    <a:blip r:embed="rId23"/>
                    <a:stretch>
                      <a:fillRect/>
                    </a:stretch>
                  </pic:blipFill>
                  <pic:spPr>
                    <a:xfrm>
                      <a:off x="0" y="0"/>
                      <a:ext cx="4572000" cy="3412495"/>
                    </a:xfrm>
                    <a:prstGeom prst="rect"/>
                  </pic:spPr>
                </pic:pic>
              </a:graphicData>
            </a:graphic>
          </wp:inline>
        </w:drawing>
      </w:r>
    </w:p>
    <w:p>
      <w:pPr>
        <w:pStyle w:val="28"/>
      </w:pPr>
      <w:r>
        <w:t>Fonte: elaborado pelo autor.</w:t>
      </w:r>
    </w:p>
    <w:p>
      <w:pPr/>
      <w:r>
        <w:t>No nível de execução, a figura seguinte apresenta o diagrama de componentes e o fluxo de dados que os conecta. O componente de ETL (src.data) lê os microdados brutos do INEP e grava produtos intermediários padronizados em data/interim; o componente de engenharia de atributos (src.features) os consome e materializa o conjunto final em data/processed; o componente de modelagem (src.models, módulos train e evaluate) treina e avalia o modelo, serializando-o em models/; e os componentes de explicabilidade (módulo explain) e de dashboard (src.recommend) carregam o modelo serializado para, respectivamente, produzir as explicações SHAP e apresentar o ranking ao gestor. A comunicação entre componentes se dá sempre por artefatos persistidos em disco (Parquet e joblib), e não por chamadas diretas — um acoplamento fraco que permite reexecutar qualquer etapa a partir do artefato da etapa anterior.</w:t>
      </w:r>
    </w:p>
    <w:p>
      <w:pPr>
        <w:pStyle w:val="28"/>
      </w:pPr>
      <w:r>
        <w:t>Figura – Diagrama de componentes e fluxo de dados</w:t>
      </w:r>
    </w:p>
    <w:p>
      <w:pPr>
        <w:jc w:val="center"/>
      </w:pPr>
      <w:r>
        <w:drawing>
          <wp:inline xmlns:a="http://schemas.openxmlformats.org/drawingml/2006/main" xmlns:pic="http://schemas.openxmlformats.org/drawingml/2006/picture">
            <wp:extent cx="5669280" cy="3467450"/>
            <wp:docPr id="14" name="Picture 14"/>
            <wp:cNvGraphicFramePr>
              <a:graphicFrameLocks noChangeAspect="1"/>
            </wp:cNvGraphicFramePr>
            <a:graphic>
              <a:graphicData uri="http://schemas.openxmlformats.org/drawingml/2006/picture">
                <pic:pic>
                  <pic:nvPicPr>
                    <pic:cNvPr id="0" name="arq3_componentes.png"/>
                    <pic:cNvPicPr/>
                  </pic:nvPicPr>
                  <pic:blipFill>
                    <a:blip r:embed="rId24"/>
                    <a:stretch>
                      <a:fillRect/>
                    </a:stretch>
                  </pic:blipFill>
                  <pic:spPr>
                    <a:xfrm>
                      <a:off x="0" y="0"/>
                      <a:ext cx="5669280" cy="3467450"/>
                    </a:xfrm>
                    <a:prstGeom prst="rect"/>
                  </pic:spPr>
                </pic:pic>
              </a:graphicData>
            </a:graphic>
          </wp:inline>
        </w:drawing>
      </w:r>
    </w:p>
    <w:p>
      <w:pPr>
        <w:pStyle w:val="28"/>
      </w:pPr>
      <w:r>
        <w:t>Fonte: elaborado pelo autor.</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t>A visão comportamental descreve a ordem de execução do pipeline, da aquisição dos dados à disponibilização do ranking. A figura a seguir apresenta o diagrama de atividades. O fluxo é essencialmente sequencial, refletindo as dependências de dados entre as etapas: a carga dos microdados precede a filtragem do universo (escolas estaduais ativas de Ensino Médio em Pernambuco), que precede a montagem do painel longitudinal escola×ano; sobre o painel são integrados os indicadores complementares (Taxas de Rendimento, INSE, IRD, TDI e AFD) e, em seguida, construídas as features do ano t associadas ao alvo do ano t+1. A etapa de modelagem treina os baselines e realiza o tuning do XGBoost, avalia-o sob validação cruzada agrupada e validação temporal, e serializa o modelo definitivo; por fim, a etapa de explicabilidade decompõe as predições com SHAP e diagnostica os resíduos. A atividade final — servir o ranking e as explicações no dashboard — está planejada para a fase subsequente. Cada atividade corresponde a um módulo testável do pacote src, e sua conclusão produz um artefato verificável, o que permite retomar o fluxo a partir de qualquer ponto.</w:t>
      </w:r>
    </w:p>
    <w:p>
      <w:pPr>
        <w:pStyle w:val="28"/>
      </w:pPr>
      <w:r>
        <w:t>Figura – Diagrama de atividades do pipeline</w:t>
      </w:r>
    </w:p>
    <w:p>
      <w:pPr>
        <w:jc w:val="center"/>
      </w:pPr>
      <w:r>
        <w:drawing>
          <wp:inline xmlns:a="http://schemas.openxmlformats.org/drawingml/2006/main" xmlns:pic="http://schemas.openxmlformats.org/drawingml/2006/picture">
            <wp:extent cx="3657600" cy="6178449"/>
            <wp:docPr id="15" name="Picture 15"/>
            <wp:cNvGraphicFramePr>
              <a:graphicFrameLocks noChangeAspect="1"/>
            </wp:cNvGraphicFramePr>
            <a:graphic>
              <a:graphicData uri="http://schemas.openxmlformats.org/drawingml/2006/picture">
                <pic:pic>
                  <pic:nvPicPr>
                    <pic:cNvPr id="0" name="arq4_atividades.png"/>
                    <pic:cNvPicPr/>
                  </pic:nvPicPr>
                  <pic:blipFill>
                    <a:blip r:embed="rId25"/>
                    <a:stretch>
                      <a:fillRect/>
                    </a:stretch>
                  </pic:blipFill>
                  <pic:spPr>
                    <a:xfrm>
                      <a:off x="0" y="0"/>
                      <a:ext cx="3657600" cy="6178449"/>
                    </a:xfrm>
                    <a:prstGeom prst="rect"/>
                  </pic:spPr>
                </pic:pic>
              </a:graphicData>
            </a:graphic>
          </wp:inline>
        </w:drawing>
      </w:r>
    </w:p>
    <w:p>
      <w:pPr>
        <w:pStyle w:val="28"/>
      </w:pPr>
      <w:r>
        <w:t>Fonte: elaborado pelo autor.</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t>A figura a seguir apresenta o diagrama de implantação. No ambiente atual, todo o pipeline executa em uma única estação de desenvolvimento, sobre um ambiente Python isolado em virtualenv com dependências fixadas; os dados, nas três camadas raw, interim e processed, e os modelos serializados residem no sistema de arquivos local, em Parquet e joblib, respectivamente. A implantação prevista para a aplicação de visualização adota um contêiner Docker que encapsula a aplicação Streamlit (src.recommend) e o modelo serializado, eliminando a dependência do ambiente de desenvolvimento e atendendo ao requisito de portabilidade; o gestor acessa o dashboard pelo navegador, via HTTP. A separação entre o ambiente de treino — onde o modelo é produzido e versionado como artefato — e o ambiente de execução — que apenas carrega o artefato para inferência e visualização — é deliberada: permite atualizar o modelo sem alterar a aplicação e vice-versa.</w:t>
      </w:r>
    </w:p>
    <w:p>
      <w:pPr>
        <w:pStyle w:val="28"/>
      </w:pPr>
      <w:r>
        <w:t>Figura – Diagrama de implantação</w:t>
      </w:r>
    </w:p>
    <w:p>
      <w:pPr>
        <w:jc w:val="center"/>
      </w:pPr>
      <w:r>
        <w:drawing>
          <wp:inline xmlns:a="http://schemas.openxmlformats.org/drawingml/2006/main" xmlns:pic="http://schemas.openxmlformats.org/drawingml/2006/picture">
            <wp:extent cx="5577840" cy="3382402"/>
            <wp:docPr id="16" name="Picture 16"/>
            <wp:cNvGraphicFramePr>
              <a:graphicFrameLocks noChangeAspect="1"/>
            </wp:cNvGraphicFramePr>
            <a:graphic>
              <a:graphicData uri="http://schemas.openxmlformats.org/drawingml/2006/picture">
                <pic:pic>
                  <pic:nvPicPr>
                    <pic:cNvPr id="0" name="arq5_implantacao.png"/>
                    <pic:cNvPicPr/>
                  </pic:nvPicPr>
                  <pic:blipFill>
                    <a:blip r:embed="rId26"/>
                    <a:stretch>
                      <a:fillRect/>
                    </a:stretch>
                  </pic:blipFill>
                  <pic:spPr>
                    <a:xfrm>
                      <a:off x="0" y="0"/>
                      <a:ext cx="5577840" cy="3382402"/>
                    </a:xfrm>
                    <a:prstGeom prst="rect"/>
                  </pic:spPr>
                </pic:pic>
              </a:graphicData>
            </a:graphic>
          </wp:inline>
        </w:drawing>
      </w:r>
    </w:p>
    <w:p>
      <w:pPr>
        <w:pStyle w:val="28"/>
      </w:pPr>
      <w:r>
        <w:t>Fonte: elaborado pelo autor.</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r>
        <w:t>Este capítulo apresenta os testes realizados e os resultados obtidos até a conclusão do tuning do modelo principal. A primeira seção descreve os testes de software que asseguram a corretude do pipeline de dados e de modelagem; as seções seguintes apresentam a avaliação experimental dos modelos preditivos — dos baselines ao XGBoost definitivo —, com ênfase na capacidade de priorização de escolas em risco, o propósito central do sistema. A última seção apresenta a explicabilidade do modelo com SHAP e o diagnóstico de equidade sobre o modelo definitivo.</w:t>
      </w:r>
    </w:p>
    <w:p>
      <w:pPr>
        <w:pStyle w:val="3"/>
      </w:pPr>
      <w:r>
        <w:t>Testes de Software</w:t>
      </w:r>
    </w:p>
    <w:p>
      <w:r>
        <w:t>A corretude do pipeline é assegurada por uma suíte de 66 testes unitários automatizados com pytest, executada integralmente a cada alteração — todos aprovados na última execução. Em sistemas de aprendizado de máquina, erros de engenharia de dados frequentemente não lançam exceções: produzem modelos silenciosamente inválidos. Por essa razão, os testes concentram-se nos riscos que comprometeriam a validade científica dos resultados, resumidos no quadro a seguir.</w:t>
      </w:r>
    </w:p>
    <w:p>
      <w:pPr>
        <w:pStyle w:val="28"/>
      </w:pPr>
      <w:r>
        <w:t>Quadro – Módulos de teste e riscos cobertos</w:t>
      </w:r>
    </w:p>
    <w:tbl>
      <w:tblPr>
        <w:tblStyle w:val="33"/>
        <w:tblW w:type="auto" w:w="0"/>
        <w:tblLook w:firstColumn="1" w:firstRow="1" w:lastColumn="0" w:lastRow="0" w:noHBand="0" w:noVBand="1" w:val="04A0"/>
      </w:tblPr>
      <w:tblGrid>
        <w:gridCol w:w="4535"/>
        <w:gridCol w:w="4535"/>
      </w:tblGrid>
      <w:tr>
        <w:tc>
          <w:tcPr>
            <w:tcW w:type="dxa" w:w="2551"/>
          </w:tcPr>
          <w:p>
            <w:r>
              <w:rPr>
                <w:b/>
                <w:sz w:val="20"/>
              </w:rPr>
              <w:t>Módulo</w:t>
            </w:r>
          </w:p>
        </w:tc>
        <w:tc>
          <w:tcPr>
            <w:tcW w:type="dxa" w:w="6236"/>
          </w:tcPr>
          <w:p>
            <w:r>
              <w:rPr>
                <w:b/>
                <w:sz w:val="20"/>
              </w:rPr>
              <w:t>Risco coberto</w:t>
            </w:r>
          </w:p>
        </w:tc>
      </w:tr>
      <w:tr>
        <w:tc>
          <w:tcPr>
            <w:tcW w:type="dxa" w:w="2551"/>
          </w:tcPr>
          <w:p>
            <w:r>
              <w:rPr>
                <w:sz w:val="20"/>
              </w:rPr>
              <w:t>test_etl_filters.py</w:t>
            </w:r>
          </w:p>
        </w:tc>
        <w:tc>
          <w:tcPr>
            <w:tcW w:type="dxa" w:w="6236"/>
          </w:tcPr>
          <w:p>
            <w:r>
              <w:rPr>
                <w:sz w:val="20"/>
              </w:rPr>
              <w:t>Filtros do universo de estudo (PE, rede estadual, escolas ativas com Ensino Médio)</w:t>
            </w:r>
          </w:p>
        </w:tc>
      </w:tr>
      <w:tr>
        <w:tc>
          <w:tcPr>
            <w:tcW w:type="dxa" w:w="2551"/>
          </w:tcPr>
          <w:p>
            <w:r>
              <w:rPr>
                <w:sz w:val="20"/>
              </w:rPr>
              <w:t>test_panel.py</w:t>
            </w:r>
          </w:p>
        </w:tc>
        <w:tc>
          <w:tcPr>
            <w:tcW w:type="dxa" w:w="6236"/>
          </w:tcPr>
          <w:p>
            <w:r>
              <w:rPr>
                <w:sz w:val="20"/>
              </w:rPr>
              <w:t>Integridade do painel longitudinal escola×ano</w:t>
            </w:r>
          </w:p>
        </w:tc>
      </w:tr>
      <w:tr>
        <w:tc>
          <w:tcPr>
            <w:tcW w:type="dxa" w:w="2551"/>
          </w:tcPr>
          <w:p>
            <w:r>
              <w:rPr>
                <w:sz w:val="20"/>
              </w:rPr>
              <w:t>test_taxas.py</w:t>
            </w:r>
          </w:p>
        </w:tc>
        <w:tc>
          <w:tcPr>
            <w:tcW w:type="dxa" w:w="6236"/>
          </w:tcPr>
          <w:p>
            <w:r>
              <w:rPr>
                <w:sz w:val="20"/>
              </w:rPr>
              <w:t>Parser das Taxas de Rendimento do INEP (cabeçalhos não padronizados e células sentinela '--')</w:t>
            </w:r>
          </w:p>
        </w:tc>
      </w:tr>
      <w:tr>
        <w:tc>
          <w:tcPr>
            <w:tcW w:type="dxa" w:w="2551"/>
          </w:tcPr>
          <w:p>
            <w:r>
              <w:rPr>
                <w:sz w:val="20"/>
              </w:rPr>
              <w:t>test_build_target.py</w:t>
            </w:r>
          </w:p>
        </w:tc>
        <w:tc>
          <w:tcPr>
            <w:tcW w:type="dxa" w:w="6236"/>
          </w:tcPr>
          <w:p>
            <w:r>
              <w:rPr>
                <w:sz w:val="20"/>
              </w:rPr>
              <w:t>Join temporal do target: features do ano t casadas com o abandono de t+1 — um erro de deslocamento de um ano produziria um modelo sem valor preditivo, sem qualquer sintoma em tempo de execução</w:t>
            </w:r>
          </w:p>
        </w:tc>
      </w:tr>
      <w:tr>
        <w:tc>
          <w:tcPr>
            <w:tcW w:type="dxa" w:w="2551"/>
          </w:tcPr>
          <w:p>
            <w:r>
              <w:rPr>
                <w:sz w:val="20"/>
              </w:rPr>
              <w:t>test_models.py</w:t>
            </w:r>
          </w:p>
        </w:tc>
        <w:tc>
          <w:tcPr>
            <w:tcW w:type="dxa" w:w="6236"/>
          </w:tcPr>
          <w:p>
            <w:r>
              <w:rPr>
                <w:sz w:val="20"/>
              </w:rPr>
              <w:t>Métrica Precision@K; não-vazamento de municípios entre treino e teste na validação cruzada; partição temporal sem sobreposição; predições na escala original sob transformação do target</w:t>
            </w:r>
          </w:p>
        </w:tc>
      </w:tr>
    </w:tbl>
    <w:p>
      <w:pPr>
        <w:pStyle w:val="28"/>
      </w:pPr>
      <w:r>
        <w:t>Fonte: elaborado pelo autor.</w:t>
      </w:r>
    </w:p>
    <w:p>
      <w:pPr>
        <w:pStyle w:val="3"/>
      </w:pPr>
      <w:r>
        <w:t>Protocolo de Avaliação Experimental</w:t>
      </w:r>
    </w:p>
    <w:p>
      <w:r>
        <w:t>Os modelos foram avaliados sob dois protocolos complementares. O primeiro é a validação cruzada agrupada por município (GroupKFold com cinco folds), repetida em vinte partições aleatórias distintas (GroupShuffleSplit com 20% dos municípios em teste) para estimar o erro padrão e intervalos de confiança de 95% das métricas. O agrupamento por município impede que escolas vizinhas apareçam simultaneamente em treino e teste, mitigando o risco de autocorrelação espacial inflar as métricas. O segundo protocolo é a validação temporal, que simula o uso real do sistema: o modelo é treinado com o par 2022→2023 (797 observações) e testado no par 2023→2024 (789 observações), nunca vistas no treino.</w:t>
      </w:r>
    </w:p>
    <w:p>
      <w:r>
        <w:t>As métricas seguem a metodologia: RMSE, MAE e R² medem o erro de magnitude da taxa predita; a correlação de Spearman e a Precision@K (K = 10% das escolas) medem a qualidade do ordenamento — dimensão diretamente alinhada à pergunta de pesquisa, formulada como problema de priorização. Três modelos foram comparados: um DummyRegressor que prediz a média do treino (piso trivial), a regressão Ridge (alfa=100, target em raiz quadrada) e o Random Forest (300 árvores, profundidade máxima 8, mínimo de 5 observações por folha), com hiperparâmetros selecionados por busca em grade sob a mesma validação agrupada.</w:t>
      </w:r>
    </w:p>
    <w:p>
      <w:pPr>
        <w:pStyle w:val="3"/>
      </w:pPr>
      <w:r>
        <w:t>Desempenho dos Modelos Baseline</w:t>
      </w:r>
    </w:p>
    <w:p>
      <w:r>
        <w:t>O quadro a seguir apresenta as métricas centrais sob validação cruzada repetida (média e intervalo de confiança de 95% das vinte repetições), já incluindo o XGBoost definitivo. Os três modelos superam o piso trivial com folga em todas as métricas; o XGBoost obtém a maior correlação de Spearman, enquanto o Random Forest mantém o menor RMSE.</w:t>
      </w:r>
    </w:p>
    <w:p>
      <w:pPr>
        <w:pStyle w:val="28"/>
      </w:pPr>
      <w:r>
        <w:t>Quadro – Métricas em validação cruzada agrupada repetida (20 repetições, IC 95%)</w:t>
      </w:r>
    </w:p>
    <w:tbl>
      <w:tblPr>
        <w:tblStyle w:val="33"/>
        <w:tblW w:type="auto" w:w="0"/>
        <w:tblLook w:firstColumn="1" w:firstRow="1" w:lastColumn="0" w:lastRow="0" w:noHBand="0" w:noVBand="1" w:val="04A0"/>
      </w:tblPr>
      <w:tblGrid>
        <w:gridCol w:w="2268"/>
        <w:gridCol w:w="2268"/>
        <w:gridCol w:w="2268"/>
        <w:gridCol w:w="2268"/>
      </w:tblGrid>
      <w:tr>
        <w:tc>
          <w:tcPr>
            <w:tcW w:type="dxa" w:w="1984"/>
          </w:tcPr>
          <w:p>
            <w:r>
              <w:rPr>
                <w:b/>
                <w:sz w:val="20"/>
              </w:rPr>
              <w:t>Modelo</w:t>
            </w:r>
          </w:p>
        </w:tc>
        <w:tc>
          <w:tcPr>
            <w:tcW w:type="dxa" w:w="2268"/>
          </w:tcPr>
          <w:p>
            <w:r>
              <w:rPr>
                <w:b/>
                <w:sz w:val="20"/>
              </w:rPr>
              <w:t>RMSE (p.p.)</w:t>
            </w:r>
          </w:p>
        </w:tc>
        <w:tc>
          <w:tcPr>
            <w:tcW w:type="dxa" w:w="2268"/>
          </w:tcPr>
          <w:p>
            <w:r>
              <w:rPr>
                <w:b/>
                <w:sz w:val="20"/>
              </w:rPr>
              <w:t>Spearman</w:t>
            </w:r>
          </w:p>
        </w:tc>
        <w:tc>
          <w:tcPr>
            <w:tcW w:type="dxa" w:w="2268"/>
          </w:tcPr>
          <w:p>
            <w:r>
              <w:rPr>
                <w:b/>
                <w:sz w:val="20"/>
              </w:rPr>
              <w:t>Precision@K</w:t>
            </w:r>
          </w:p>
        </w:tc>
      </w:tr>
      <w:tr>
        <w:tc>
          <w:tcPr>
            <w:tcW w:type="dxa" w:w="1984"/>
          </w:tcPr>
          <w:p>
            <w:r>
              <w:rPr>
                <w:sz w:val="20"/>
              </w:rPr>
              <w:t>Dummy (média)</w:t>
            </w:r>
          </w:p>
        </w:tc>
        <w:tc>
          <w:tcPr>
            <w:tcW w:type="dxa" w:w="2268"/>
          </w:tcPr>
          <w:p>
            <w:r>
              <w:rPr>
                <w:sz w:val="20"/>
              </w:rPr>
              <w:t>3,154 [2,730; 3,577]</w:t>
            </w:r>
          </w:p>
        </w:tc>
        <w:tc>
          <w:tcPr>
            <w:tcW w:type="dxa" w:w="2268"/>
          </w:tcPr>
          <w:p>
            <w:r>
              <w:rPr>
                <w:sz w:val="20"/>
              </w:rPr>
              <w:t>—</w:t>
            </w:r>
          </w:p>
        </w:tc>
        <w:tc>
          <w:tcPr>
            <w:tcW w:type="dxa" w:w="2268"/>
          </w:tcPr>
          <w:p>
            <w:r>
              <w:rPr>
                <w:sz w:val="20"/>
              </w:rPr>
              <w:t>0,068 [0,040; 0,096]</w:t>
            </w:r>
          </w:p>
        </w:tc>
      </w:tr>
      <w:tr>
        <w:tc>
          <w:tcPr>
            <w:tcW w:type="dxa" w:w="1984"/>
          </w:tcPr>
          <w:p>
            <w:r>
              <w:rPr>
                <w:sz w:val="20"/>
              </w:rPr>
              <w:t>Ridge</w:t>
            </w:r>
          </w:p>
        </w:tc>
        <w:tc>
          <w:tcPr>
            <w:tcW w:type="dxa" w:w="2268"/>
          </w:tcPr>
          <w:p>
            <w:r>
              <w:rPr>
                <w:sz w:val="20"/>
              </w:rPr>
              <w:t>2,627 [2,348; 2,905]</w:t>
            </w:r>
          </w:p>
        </w:tc>
        <w:tc>
          <w:tcPr>
            <w:tcW w:type="dxa" w:w="2268"/>
          </w:tcPr>
          <w:p>
            <w:r>
              <w:rPr>
                <w:sz w:val="20"/>
              </w:rPr>
              <w:t>0,426 [0,391; 0,461]</w:t>
            </w:r>
          </w:p>
        </w:tc>
        <w:tc>
          <w:tcPr>
            <w:tcW w:type="dxa" w:w="2268"/>
          </w:tcPr>
          <w:p>
            <w:r>
              <w:rPr>
                <w:sz w:val="20"/>
              </w:rPr>
              <w:t>0,516 [0,477; 0,556]</w:t>
            </w:r>
          </w:p>
        </w:tc>
      </w:tr>
      <w:tr>
        <w:tc>
          <w:tcPr>
            <w:tcW w:type="dxa" w:w="1984"/>
          </w:tcPr>
          <w:p>
            <w:r>
              <w:rPr>
                <w:sz w:val="20"/>
              </w:rPr>
              <w:t>Random Forest</w:t>
            </w:r>
          </w:p>
        </w:tc>
        <w:tc>
          <w:tcPr>
            <w:tcW w:type="dxa" w:w="2268"/>
          </w:tcPr>
          <w:p>
            <w:r>
              <w:rPr>
                <w:sz w:val="20"/>
              </w:rPr>
              <w:t>2,546 [2,281; 2,812]</w:t>
            </w:r>
          </w:p>
        </w:tc>
        <w:tc>
          <w:tcPr>
            <w:tcW w:type="dxa" w:w="2268"/>
          </w:tcPr>
          <w:p>
            <w:r>
              <w:rPr>
                <w:sz w:val="20"/>
              </w:rPr>
              <w:t>0,431 [0,399; 0,463]</w:t>
            </w:r>
          </w:p>
        </w:tc>
        <w:tc>
          <w:tcPr>
            <w:tcW w:type="dxa" w:w="2268"/>
          </w:tcPr>
          <w:p>
            <w:r>
              <w:rPr>
                <w:sz w:val="20"/>
              </w:rPr>
              <w:t>0,500 [0,457; 0,544]</w:t>
            </w:r>
          </w:p>
        </w:tc>
      </w:tr>
      <w:tr>
        <w:tc>
          <w:tcPr>
            <w:tcW w:type="dxa" w:w="2268"/>
          </w:tcPr>
          <w:p>
            <w:r>
              <w:rPr>
                <w:sz w:val="20"/>
              </w:rPr>
              <w:t>XGBoost</w:t>
            </w:r>
          </w:p>
        </w:tc>
        <w:tc>
          <w:tcPr>
            <w:tcW w:type="dxa" w:w="2268"/>
          </w:tcPr>
          <w:p>
            <w:r>
              <w:rPr>
                <w:sz w:val="20"/>
              </w:rPr>
              <w:t>2,695 [2,397; 2,992]</w:t>
            </w:r>
          </w:p>
        </w:tc>
        <w:tc>
          <w:tcPr>
            <w:tcW w:type="dxa" w:w="2268"/>
          </w:tcPr>
          <w:p>
            <w:r>
              <w:rPr>
                <w:sz w:val="20"/>
              </w:rPr>
              <w:t>0,458 [0,428; 0,488]</w:t>
            </w:r>
          </w:p>
        </w:tc>
        <w:tc>
          <w:tcPr>
            <w:tcW w:type="dxa" w:w="2268"/>
          </w:tcPr>
          <w:p>
            <w:r>
              <w:rPr>
                <w:sz w:val="20"/>
              </w:rPr>
              <w:t>0,499 [0,463; 0,535]</w:t>
            </w:r>
          </w:p>
        </w:tc>
      </w:tr>
    </w:tbl>
    <w:p>
      <w:pPr>
        <w:pStyle w:val="28"/>
      </w:pPr>
      <w:r>
        <w:t>Fonte: elaborado pelo autor.</w:t>
      </w:r>
    </w:p>
    <w:p>
      <w:r>
        <w:t>A comparação pareada entre os dois baselines, calculada repetição a repetição, mostra que o Random Forest é significativamente melhor que o Ridge em RMSE (diferença de −0,080 com IC 95% de ±0,065, que exclui zero), mas que os dois estão estatisticamente empatados em qualidade de ranking (diferença de Spearman de +0,005 ± 0,023). As transformações do target (logaritmo e raiz quadrada) tiveram efeito marginal, com leve trade-off: comprimem a cauda e melhoram o ranking, mas pioram a calibração das escolas de abandono mais alto.</w:t>
      </w:r>
    </w:p>
    <w:p>
      <w:r>
        <w:t>Na validação temporal emergiu o achado mais relevante desta etapa: houve deslocamento de distribuição entre os ciclos — o abandono médio caiu de 2023 para 2024 — e, em consequência, nenhum modelo superou o piso trivial em RMSE (R² negativo), pois todos erram sistematicamente o nível da taxa. As métricas de ordenamento, contudo, mantiveram-se muito superiores ao piso: Spearman de 0,370 e Precision@K de 0,418, contra 0,089 do Dummy. O modelo continua identificando corretamente quais escolas terão abandono elevado, ainda que erre a magnitude. Para o propósito do sistema — priorizar intervenções — é a capacidade de ordenamento que importa; a limitação de magnitude, decorrente da janela curta de dados (dois pares de anos), será tratada na fase de tuning e está registrada como limitação do estudo.</w:t>
      </w:r>
    </w:p>
    <w:p>
      <w:pPr>
        <w:pStyle w:val="3"/>
      </w:pPr>
      <w:r>
        <w:t>Capacidade de Priorização de Escolas em Risco</w:t>
      </w:r>
    </w:p>
    <w:p>
      <w:r>
        <w:t>Do ponto de vista do usuário-alvo — o gestor da Secretaria Estadual de Educação — a pergunta operacional é: intervindo em K escolas indicadas pelo sistema, quantas das escolas realmente críticas são alcançadas? A análise de ranking flexível responde a essa pergunta variando K sem retreinar o modelo, propriedade que motivou a escolha por regressão. Definindo como críticas as escolas do decil superior de abandono em 2024, a priorização das top-50 escolas indicadas alcança de 28% a 30% das críticas — cinco vezes mais que uma seleção aleatória (6%); com as top-150, cerca de dois terços das escolas críticas são alcançados.</w:t>
      </w:r>
    </w:p>
    <w:p>
      <w:pPr>
        <w:pStyle w:val="28"/>
      </w:pPr>
      <w:r>
        <w:t>Figura – Precision@K e captura de escolas críticas por tamanho da lista de priorização (teste temporal 2023→2024)</w:t>
      </w:r>
    </w:p>
    <w:p>
      <w:pPr>
        <w:jc w:val="center"/>
      </w:pPr>
      <w:r>
        <w:drawing>
          <wp:inline xmlns:a="http://schemas.openxmlformats.org/drawingml/2006/main" xmlns:pic="http://schemas.openxmlformats.org/drawingml/2006/picture">
            <wp:extent cx="5400000" cy="2066184"/>
            <wp:docPr id="5" name="Picture 5"/>
            <wp:cNvGraphicFramePr>
              <a:graphicFrameLocks noChangeAspect="1"/>
            </wp:cNvGraphicFramePr>
            <a:graphic>
              <a:graphicData uri="http://schemas.openxmlformats.org/drawingml/2006/picture">
                <pic:pic>
                  <pic:nvPicPr>
                    <pic:cNvPr id="0" name="M5_precision_por_k.png"/>
                    <pic:cNvPicPr/>
                  </pic:nvPicPr>
                  <pic:blipFill>
                    <a:blip r:embed="rId15"/>
                    <a:stretch>
                      <a:fillRect/>
                    </a:stretch>
                  </pic:blipFill>
                  <pic:spPr>
                    <a:xfrm>
                      <a:off x="0" y="0"/>
                      <a:ext cx="5400000" cy="2066184"/>
                    </a:xfrm>
                    <a:prstGeom prst="rect"/>
                  </pic:spPr>
                </pic:pic>
              </a:graphicData>
            </a:graphic>
          </wp:inline>
        </w:drawing>
      </w:r>
    </w:p>
    <w:p>
      <w:pPr>
        <w:pStyle w:val="28"/>
      </w:pPr>
      <w:r>
        <w:t>Fonte: elaborado pelo autor.</w:t>
      </w:r>
    </w:p>
    <w:p>
      <w:r>
        <w:t>Para permitir comparação com a literatura — que majoritariamente trata evasão como classificação binária — realizou-se avaliação binarizada pós-hoc, usando as predições contínuas como scores de risco. Os baselines alcançaram ROC-AUC de 0,812 (Ridge) e 0,829 (Random Forest), valores na faixa tipicamente reportada em estudos de predição de evasão (AUC ≈ 0,80), e PR-AUC de 0,34 — 3,4 vezes a prevalência de 10%. Trata-se de referência externa de qualidade obtida antes mesmo do tuning do modelo principal.</w:t>
      </w:r>
    </w:p>
    <w:p>
      <w:pPr>
        <w:pStyle w:val="3"/>
      </w:pPr>
      <w:r>
        <w:t>Análise de Resíduos e Equidade do Modelo</w:t>
      </w:r>
    </w:p>
    <w:p>
      <w:r>
        <w:t>A análise de resíduos (real − predito) no teste temporal antecipa a pergunta secundária de pesquisa e revelou um achado com implicação direta de equidade: o modelo apresenta viés sistemático por grupo. Escolas urbanas têm abandono levemente subpredito (resíduo médio de +0,42 ponto percentual), escolas rurais têm abandono superpredito (−1,02 p.p.) e, de forma acentuada, escolas em localização diferenciada — terras indígenas e comunidades quilombolas — têm superpredição de −4,09 p.p. (n=41): seu perfil contextual (rural, nível socioeconômico baixo, distorção idade-série alta) está associado a abandono elevado, mas o abandono observado é próximo de zero.</w:t>
      </w:r>
    </w:p>
    <w:p>
      <w:pPr>
        <w:pStyle w:val="28"/>
      </w:pPr>
      <w:r>
        <w:t>Figura – Distribuição dos resíduos por mesorregião e por tipo de localização (Ridge, teste temporal)</w:t>
      </w:r>
    </w:p>
    <w:p>
      <w:pPr>
        <w:jc w:val="center"/>
      </w:pPr>
      <w:r>
        <w:drawing>
          <wp:inline xmlns:a="http://schemas.openxmlformats.org/drawingml/2006/main" xmlns:pic="http://schemas.openxmlformats.org/drawingml/2006/picture">
            <wp:extent cx="5400000" cy="2072191"/>
            <wp:docPr id="6" name="Picture 6"/>
            <wp:cNvGraphicFramePr>
              <a:graphicFrameLocks noChangeAspect="1"/>
            </wp:cNvGraphicFramePr>
            <a:graphic>
              <a:graphicData uri="http://schemas.openxmlformats.org/drawingml/2006/picture">
                <pic:pic>
                  <pic:nvPicPr>
                    <pic:cNvPr id="0" name="M8_residuos_grupos.png"/>
                    <pic:cNvPicPr/>
                  </pic:nvPicPr>
                  <pic:blipFill>
                    <a:blip r:embed="rId16"/>
                    <a:stretch>
                      <a:fillRect/>
                    </a:stretch>
                  </pic:blipFill>
                  <pic:spPr>
                    <a:xfrm>
                      <a:off x="0" y="0"/>
                      <a:ext cx="5400000" cy="2072191"/>
                    </a:xfrm>
                    <a:prstGeom prst="rect"/>
                  </pic:spPr>
                </pic:pic>
              </a:graphicData>
            </a:graphic>
          </wp:inline>
        </w:drawing>
      </w:r>
    </w:p>
    <w:p>
      <w:pPr>
        <w:pStyle w:val="28"/>
      </w:pPr>
      <w:r>
        <w:t>Fonte: elaborado pelo autor.</w:t>
      </w:r>
    </w:p>
    <w:p>
      <w:r>
        <w:t>A interpretação provável é a existência de fatores protetivos de vínculo comunitário não capturados pelas variáveis disponíveis, consistente com a limitação declarada na metodologia sobre vieses não controlados. A consequência prática é que, sem correção, um sistema de priorização alocaria atenção excessiva a escolas indígenas e quilombolas que não estão de fato em risco. As vinte escolas com maior resíduo em cada direção foram persistidas como artefato para inspeção qualitativa na fase de explicabilidade, e a reavaliação desse viés sobre o modelo definitivo é apresentada na seção de explicabilidade, ao final deste capítulo.</w:t>
      </w:r>
    </w:p>
    <w:p>
      <w:pPr>
        <w:pStyle w:val="3"/>
      </w:pPr>
      <w:r>
        <w:t>Tuning e Desempenho do Modelo XGBoost</w:t>
      </w:r>
    </w:p>
    <w:p>
      <w:pPr/>
      <w:r>
        <w:t>O modelo definitivo do sistema é um XGBoost, obtido por busca em grade sob a mesma validação cruzada agrupada por município descrita no protocolo, com a configuração e o procedimento detalhados no capítulo de método. Sob a validação cruzada repetida apresentada anteriormente, o XGBoost obteve a maior correlação de Spearman entre todos os modelos (0,458, ante 0,431 do Random Forest e 0,426 do Ridge) e erro absoluto médio equivalente ao do melhor baseline, mas não reduziu o RMSE em relação ao Random Forest (2,695 contra 2,546). O ganho do modelo principal concentra-se, portanto, nas dimensões diretamente ligadas à priorização — a qualidade do ordenamento —, e não na magnitude do erro, captada pelo RMSE: comportamento esperado para uma amostra pequena, em que o XGBoost regularizado aprende a ordenar as escolas melhor do que a calibrar o nível absoluto da taxa.</w:t>
      </w:r>
    </w:p>
    <w:p>
      <w:pPr/>
      <w:r>
        <w:t>Na validação temporal — o protocolo que simula o uso real do sistema —, o XGBoost foi o melhor entre todos os modelos: RMSE de 2,62 pontos percentuais, erro absoluto médio de 0,95, correlação de Spearman de 0,390 e ROC-AUC de 0,830 na leitura binarizada pós-hoc, atingindo a meta de ROC-AUC ≥ 0,83 estabelecida a partir dos baselines. O R² permaneceu negativo (−0,10), porém o menos negativo entre os modelos avaliados: o tuning atenuou, sem eliminar, o deslocamento de nível entre ciclos identificado na fase baseline — a previsão da magnitude da taxa continua limitada pela janela curta de dois pares de anos, limitação registrada entre as limitações do estudo.</w:t>
      </w:r>
    </w:p>
    <w:p>
      <w:pPr/>
      <w:r>
        <w:t>A importância das variáveis por ganho, apresentada na figura a seguir, confirma os achados das fases anteriores: os preditores dominantes são a localização diferenciada da escola, o lag da taxa de abandono e a adequação da formação docente, seguidos da distorção idade-série — em consonância com as correlações observadas na integração dos indicadores. Os resíduos do XGBoost no teste temporal mantêm média próxima de zero (0,22 ponto percentual) e desvio-padrão de 2,61, sem padrão acentuado de heterocedasticidade; a reavaliação do viés de superpredição por grupo — em especial nas escolas de localização diferenciada, que figuram como a variável de maior importância e cujo abandono observado é próximo de zero — será aprofundada na fase de explicabilidade com SHAP.</w:t>
      </w:r>
    </w:p>
    <w:p>
      <w:pPr>
        <w:pStyle w:val="28"/>
      </w:pPr>
      <w:r>
        <w:t>Figura – Importância das variáveis (ganho) e resíduos do XGBoost na validação temporal</w:t>
      </w:r>
    </w:p>
    <w:p>
      <w:pPr>
        <w:jc w:val="center"/>
      </w:pPr>
      <w:r>
        <w:drawing>
          <wp:inline xmlns:a="http://schemas.openxmlformats.org/drawingml/2006/main" xmlns:pic="http://schemas.openxmlformats.org/drawingml/2006/picture">
            <wp:extent cx="5580000" cy="1984060"/>
            <wp:docPr id="7" name="Picture 7"/>
            <wp:cNvGraphicFramePr>
              <a:graphicFrameLocks noChangeAspect="1"/>
            </wp:cNvGraphicFramePr>
            <a:graphic>
              <a:graphicData uri="http://schemas.openxmlformats.org/drawingml/2006/picture">
                <pic:pic>
                  <pic:nvPicPr>
                    <pic:cNvPr id="0" name="X5_importancia_residuos.png"/>
                    <pic:cNvPicPr/>
                  </pic:nvPicPr>
                  <pic:blipFill>
                    <a:blip r:embed="rId17"/>
                    <a:stretch>
                      <a:fillRect/>
                    </a:stretch>
                  </pic:blipFill>
                  <pic:spPr>
                    <a:xfrm>
                      <a:off x="0" y="0"/>
                      <a:ext cx="5580000" cy="1984060"/>
                    </a:xfrm>
                    <a:prstGeom prst="rect"/>
                  </pic:spPr>
                </pic:pic>
              </a:graphicData>
            </a:graphic>
          </wp:inline>
        </w:drawing>
      </w:r>
    </w:p>
    <w:p>
      <w:pPr>
        <w:pStyle w:val="28"/>
      </w:pPr>
      <w:r>
        <w:t>Fonte: elaborado pelo autor.</w:t>
      </w:r>
    </w:p>
    <w:p>
      <w:pPr>
        <w:pStyle w:val="3"/>
      </w:pPr>
      <w:r>
        <w:t>Explicabilidade e Diagnóstico do Modelo com SHAP</w:t>
      </w:r>
    </w:p>
    <w:p>
      <w:pPr/>
      <w:r>
        <w:t>Enquanto a importância por ganho da seção anterior mede quanto cada variável reduz o erro nos pontos de divisão das árvores, a explicabilidade por valores de Shapley (SHAP) mede a contribuição média de cada variável para a predição de cada escola, permitindo ler não apenas a magnitude, mas a direção do efeito. A figura a seguir resume essa decomposição para todo o conjunto: o lag da taxa de abandono (abnd_t, |SHAP| médio de 0,148 na escala de raiz) é, de longe, o principal determinante do risco previsto, seguido do abandono da 2ª série (0,098) e da 1ª série (0,050), do nível socioeconômico (INSE, 0,041), da reprovação (0,041) e da distorção idade-série (0,030).</w:t>
      </w:r>
    </w:p>
    <w:p>
      <w:pPr>
        <w:pStyle w:val="28"/>
      </w:pPr>
      <w:r>
        <w:t>Figura – Decomposição SHAP global das predições do XGBoost (beeswarm)</w:t>
      </w:r>
    </w:p>
    <w:p>
      <w:pPr>
        <w:jc w:val="center"/>
      </w:pPr>
      <w:r>
        <w:drawing>
          <wp:inline xmlns:a="http://schemas.openxmlformats.org/drawingml/2006/main" xmlns:pic="http://schemas.openxmlformats.org/drawingml/2006/picture">
            <wp:extent cx="4937760" cy="4692353"/>
            <wp:docPr id="8" name="Picture 8"/>
            <wp:cNvGraphicFramePr>
              <a:graphicFrameLocks noChangeAspect="1"/>
            </wp:cNvGraphicFramePr>
            <a:graphic>
              <a:graphicData uri="http://schemas.openxmlformats.org/drawingml/2006/picture">
                <pic:pic>
                  <pic:nvPicPr>
                    <pic:cNvPr id="0" name="S1_shap_beeswarm.png"/>
                    <pic:cNvPicPr/>
                  </pic:nvPicPr>
                  <pic:blipFill>
                    <a:blip r:embed="rId18"/>
                    <a:stretch>
                      <a:fillRect/>
                    </a:stretch>
                  </pic:blipFill>
                  <pic:spPr>
                    <a:xfrm>
                      <a:off x="0" y="0"/>
                      <a:ext cx="4937760" cy="4692353"/>
                    </a:xfrm>
                    <a:prstGeom prst="rect"/>
                  </pic:spPr>
                </pic:pic>
              </a:graphicData>
            </a:graphic>
          </wp:inline>
        </w:drawing>
      </w:r>
    </w:p>
    <w:p>
      <w:pPr>
        <w:pStyle w:val="28"/>
      </w:pPr>
      <w:r>
        <w:t>Fonte: elaborado pelo autor.</w:t>
      </w:r>
    </w:p>
    <w:p>
      <w:pPr/>
      <w:r>
        <w:t>As cores do gráfico de dispersão confirmam que as direções dos efeitos são coerentes com a literatura: valores altos das taxas de abandono e reprovação defasadas e da distorção idade-série empurram a predição para cima (maior risco), ao passo que valores altos do INSE a empurram para baixo — a correlação entre o valor do INSE e sua contribuição SHAP é de −0,74. A figura seguinte ordena as variáveis por |SHAP| médio e codifica essa direção por cor. Cabe registrar uma divergência metodológica relevante em relação à importância por ganho: a variável binária de localização diferenciada, apontada como a de maior ganho, não figura entre as mais influentes pela métrica SHAP. A razão é que essa variável marca um número reduzido de escolas e, quando usada em uma divisão, separa grupos muito homogêneos — o que infla o ganho por divisão —, mas, por afetar poucas observações, contribui pouco para a predição média do conjunto. As duas métricas são, portanto, complementares: o ganho destaca variáveis de alta pureza local, e o SHAP, as de maior contribuição média global.</w:t>
      </w:r>
    </w:p>
    <w:p>
      <w:pPr>
        <w:pStyle w:val="28"/>
      </w:pPr>
      <w:r>
        <w:t>Figura – Importância e direção das variáveis por |SHAP| médio</w:t>
      </w:r>
    </w:p>
    <w:p>
      <w:pPr>
        <w:jc w:val="center"/>
      </w:pPr>
      <w:r>
        <w:drawing>
          <wp:inline xmlns:a="http://schemas.openxmlformats.org/drawingml/2006/main" xmlns:pic="http://schemas.openxmlformats.org/drawingml/2006/picture">
            <wp:extent cx="5394960" cy="3552187"/>
            <wp:docPr id="9" name="Picture 9"/>
            <wp:cNvGraphicFramePr>
              <a:graphicFrameLocks noChangeAspect="1"/>
            </wp:cNvGraphicFramePr>
            <a:graphic>
              <a:graphicData uri="http://schemas.openxmlformats.org/drawingml/2006/picture">
                <pic:pic>
                  <pic:nvPicPr>
                    <pic:cNvPr id="0" name="S2_shap_direcao.png"/>
                    <pic:cNvPicPr/>
                  </pic:nvPicPr>
                  <pic:blipFill>
                    <a:blip r:embed="rId19"/>
                    <a:stretch>
                      <a:fillRect/>
                    </a:stretch>
                  </pic:blipFill>
                  <pic:spPr>
                    <a:xfrm>
                      <a:off x="0" y="0"/>
                      <a:ext cx="5394960" cy="3552187"/>
                    </a:xfrm>
                    <a:prstGeom prst="rect"/>
                  </pic:spPr>
                </pic:pic>
              </a:graphicData>
            </a:graphic>
          </wp:inline>
        </w:drawing>
      </w:r>
    </w:p>
    <w:p>
      <w:pPr>
        <w:pStyle w:val="28"/>
      </w:pPr>
      <w:r>
        <w:t>Fonte: elaborado pelo autor.</w:t>
      </w:r>
    </w:p>
    <w:p>
      <w:pPr/>
      <w:r>
        <w:t>A decomposição é também local: para qualquer escola, é possível mostrar como cada variável afastou sua predição do valor médio. A figura a seguir ilustra o caso da escola de maior risco previsto — uma escola estadual indígena no município de Jatobá, com 23,9% de abandono previsto e 39,1% observado em 2022. Partindo da predição média do conjunto (E[f(x)] = 0,49 na escala de raiz), as maiores contribuições positivas vêm do lag de abandono (+0,74), da distorção idade-série (+0,64) e do abandono da 2ª série (+0,41), que somadas constroem o escore elevado de risco. Esse tipo de explicação por escola é o insumo que o dashboard apresentará ao gestor para justificar cada indicação de prioridade.</w:t>
      </w:r>
    </w:p>
    <w:p>
      <w:pPr>
        <w:pStyle w:val="28"/>
      </w:pPr>
      <w:r>
        <w:t>Figura – Explicação local (waterfall) da escola de maior risco previsto</w:t>
      </w:r>
    </w:p>
    <w:p>
      <w:pPr>
        <w:jc w:val="center"/>
      </w:pPr>
      <w:r>
        <w:drawing>
          <wp:inline xmlns:a="http://schemas.openxmlformats.org/drawingml/2006/main" xmlns:pic="http://schemas.openxmlformats.org/drawingml/2006/picture">
            <wp:extent cx="5120640" cy="4734662"/>
            <wp:docPr id="10" name="Picture 10"/>
            <wp:cNvGraphicFramePr>
              <a:graphicFrameLocks noChangeAspect="1"/>
            </wp:cNvGraphicFramePr>
            <a:graphic>
              <a:graphicData uri="http://schemas.openxmlformats.org/drawingml/2006/picture">
                <pic:pic>
                  <pic:nvPicPr>
                    <pic:cNvPr id="0" name="S3_waterfall_alto_risco.png"/>
                    <pic:cNvPicPr/>
                  </pic:nvPicPr>
                  <pic:blipFill>
                    <a:blip r:embed="rId20"/>
                    <a:stretch>
                      <a:fillRect/>
                    </a:stretch>
                  </pic:blipFill>
                  <pic:spPr>
                    <a:xfrm>
                      <a:off x="0" y="0"/>
                      <a:ext cx="5120640" cy="4734662"/>
                    </a:xfrm>
                    <a:prstGeom prst="rect"/>
                  </pic:spPr>
                </pic:pic>
              </a:graphicData>
            </a:graphic>
          </wp:inline>
        </w:drawing>
      </w:r>
    </w:p>
    <w:p>
      <w:pPr>
        <w:pStyle w:val="28"/>
      </w:pPr>
      <w:r>
        <w:t>Fonte: elaborado pelo autor.</w:t>
      </w:r>
    </w:p>
    <w:p>
      <w:pPr/>
      <w:r>
        <w:t>Por fim, a análise de resíduos foi reavaliada sobre o modelo definitivo, cumprindo o encaminhamento registrado anteriormente. A figura a seguir apresenta o resíduo (real − previsto) do XGBoost por grupo de localização na validação temporal. O viés sistemático identificado nos baselines persiste após o tuning: as escolas urbanas e rurais têm resíduo médio próximo de zero (+0,42 e +0,71 ponto percentual, respectivamente), enquanto as escolas de localização diferenciada — terras indígenas e comunidades quilombolas — mantêm superpredição acentuada (resíduo médio de −3,99 pontos percentuais, n = 41), praticamente idêntica à observada com o Ridge (−4,09). O modelo prevê para essas escolas um abandono elevado, condizente com seu perfil contextual (rural, baixo INSE, alta distorção idade-série), mas o abandono observado é próximo de zero. O achado reforça a hipótese de fatores protetivos de vínculo comunitário não capturados pelas variáveis disponíveis e tem consequência prática direta: um ranking de priorização não corrigido alocaria atenção excessiva a essas escolas. Recomenda-se, por isso, exibir o resíduo ao gestor como sinal de cautela e tratar a correção desse viés como trabalho futuro.</w:t>
      </w:r>
    </w:p>
    <w:p>
      <w:pPr>
        <w:pStyle w:val="28"/>
      </w:pPr>
      <w:r>
        <w:t>Figura – Resíduo do XGBoost por grupo de localização (validação temporal)</w:t>
      </w:r>
    </w:p>
    <w:p>
      <w:pPr>
        <w:jc w:val="center"/>
      </w:pPr>
      <w:r>
        <w:drawing>
          <wp:inline xmlns:a="http://schemas.openxmlformats.org/drawingml/2006/main" xmlns:pic="http://schemas.openxmlformats.org/drawingml/2006/picture">
            <wp:extent cx="5577840" cy="2137114"/>
            <wp:docPr id="11" name="Picture 11"/>
            <wp:cNvGraphicFramePr>
              <a:graphicFrameLocks noChangeAspect="1"/>
            </wp:cNvGraphicFramePr>
            <a:graphic>
              <a:graphicData uri="http://schemas.openxmlformats.org/drawingml/2006/picture">
                <pic:pic>
                  <pic:nvPicPr>
                    <pic:cNvPr id="0" name="S5_equidade_grupos.png"/>
                    <pic:cNvPicPr/>
                  </pic:nvPicPr>
                  <pic:blipFill>
                    <a:blip r:embed="rId21"/>
                    <a:stretch>
                      <a:fillRect/>
                    </a:stretch>
                  </pic:blipFill>
                  <pic:spPr>
                    <a:xfrm>
                      <a:off x="0" y="0"/>
                      <a:ext cx="5577840" cy="2137114"/>
                    </a:xfrm>
                    <a:prstGeom prst="rect"/>
                  </pic:spPr>
                </pic:pic>
              </a:graphicData>
            </a:graphic>
          </wp:inline>
        </w:drawing>
      </w:r>
    </w:p>
    <w:p>
      <w:pPr>
        <w:pStyle w:val="28"/>
      </w:pPr>
      <w:r>
        <w:t>Fonte: elaborado pelo autor.</w:t>
      </w:r>
    </w:p>
    <w:p>
      <w:pPr>
        <w:pStyle w:val="3"/>
      </w:pPr>
      <w:r>
        <w:t>Síntese dos Resultados</w:t>
      </w:r>
    </w:p>
    <w:p>
      <w:r>
        <w:t>Os resultados obtidos até esta etapa sustentam parcialmente a pergunta principal de pesquisa: é possível, a partir de indicadores institucionais e contextuais do ano t, ordenar as escolas estaduais de Ensino Médio de Pernambuco por risco de abandono em t+1 com qualidade útil para priorização. O XGBoost, modelo definitivo, confirmou-se o melhor nas dimensões alinhadas a esse objetivo: a maior correlação de Spearman (0,458 em validação cruzada repetida e 0,390 na validação temporal), o menor erro absoluto médio e ROC-AUC de 0,830 na validação temporal, atingindo as metas de ROC-AUC ≥ 0,83 e de Spearman ≥ 0,43 fixadas a partir dos baselines. A meta de RMSE, em contrapartida, não foi superada: o XGBoost não reduziu o RMSE em relação ao Random Forest, e a magnitude da taxa não generaliza entre ciclos (R² negativo na validação temporal) com apenas dois pares de anos disponíveis — limitação que o tuning atenuou, mas não eliminou. A explicabilidade com SHAP confirmou o lag de abandono, a reprovação e a distorção idade-série como os principais determinantes do risco previsto, com direções coerentes com a teoria, e a reavaliação dos resíduos sobre o modelo definitivo confirmou a persistência do viés de superpredição nas escolas de localização diferenciada (−3,99 pontos percentuais na validação temporal). Permanece como encaminhamento para a fase seguinte a construção do dashboard de priorização, além da correção desse viés e da ampliação da janela temporal, discutidas nas conclusões.</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81325095"/>
      <w:bookmarkStart w:id="27" w:name="_Toc79652178"/>
      <w:bookmarkStart w:id="28" w:name="_Toc112914784"/>
      <w:bookmarkStart w:id="29" w:name="_Toc81325010"/>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79652179"/>
      <w:bookmarkStart w:id="31" w:name="_Toc81325011"/>
      <w:bookmarkStart w:id="32" w:name="_Toc112914785"/>
      <w:bookmarkStart w:id="33" w:name="_Toc81325096"/>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60" w:lineRule="auto"/>
      </w:pPr>
      <w:r>
        <w:separator/>
      </w:r>
    </w:p>
  </w:footnote>
  <w:footnote w:type="continuationSeparator" w:id="5">
    <w:p>
      <w:pPr>
        <w:spacing w:before="0" w:after="0" w:line="360" w:lineRule="auto"/>
      </w:pPr>
      <w:r>
        <w:continuationSeparator/>
      </w:r>
    </w:p>
  </w:footnote>
  <w:footnote w:id="0">
    <w:p w14:paraId="7DAB5119">
      <w:pPr>
        <w:pStyle w:val="31"/>
      </w:pPr>
      <w:r>
        <w:rPr>
          <w:rStyle w:val="16"/>
        </w:rPr>
        <w:footnoteRef/>
      </w:r>
      <w:r>
        <w:t xml:space="preserve"> </w:t>
      </w:r>
      <w:r>
        <w:fldChar w:fldCharType="begin"/>
      </w:r>
      <w:r>
        <w:instrText xml:space="preserve"> HYPERLINK "https://en.wikipedia.org/wiki/4%2B1_architectural_view_model" </w:instrText>
      </w:r>
      <w:r>
        <w:fldChar w:fldCharType="separate"/>
      </w:r>
      <w:r>
        <w:rPr>
          <w:rStyle w:val="17"/>
        </w:rPr>
        <w:t>https://en.wikipedia.org/wiki/4%2B1_architectural_view_model</w:t>
      </w:r>
      <w:r>
        <w:rPr>
          <w:rStyle w:val="17"/>
        </w:rPr>
        <w:fldChar w:fldCharType="end"/>
      </w:r>
      <w:r>
        <w:t xml:space="preserve"> </w:t>
      </w:r>
    </w:p>
  </w:footnote>
  <w:footnote w:id="1">
    <w:p w14:paraId="0F1A84A0">
      <w:pPr>
        <w:pStyle w:val="31"/>
      </w:pPr>
      <w:r>
        <w:rPr>
          <w:rStyle w:val="16"/>
        </w:rPr>
        <w:footnoteRef/>
      </w:r>
      <w:r>
        <w:t xml:space="preserve"> </w:t>
      </w:r>
      <w:r>
        <w:fldChar w:fldCharType="begin"/>
      </w:r>
      <w:r>
        <w:instrText xml:space="preserve"> HYPERLINK "https://en.wikipedia.org/wiki/Architecture_description_language" </w:instrText>
      </w:r>
      <w:r>
        <w:fldChar w:fldCharType="separate"/>
      </w:r>
      <w:r>
        <w:rPr>
          <w:rStyle w:val="17"/>
        </w:rPr>
        <w:t>https://en.wikipedia.org/wiki/Architecture_description_language</w:t>
      </w:r>
      <w:r>
        <w:rPr>
          <w:rStyle w:val="17"/>
        </w:rPr>
        <w:fldChar w:fldCharType="end"/>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uiPriority w:val="39"/>
    <w:pPr>
      <w:tabs>
        <w:tab w:val="left" w:pos="1276"/>
        <w:tab w:val="right" w:leader="dot" w:pos="9060"/>
      </w:tabs>
      <w:ind w:left="1134" w:hanging="1134"/>
    </w:pPr>
    <w:rPr>
      <w:b/>
    </w:rPr>
  </w:style>
  <w:style w:type="paragraph" w:styleId="19">
    <w:name w:val="toc 6"/>
    <w:basedOn w:val="1"/>
    <w:next w:val="1"/>
    <w:autoRedefine/>
    <w:unhideWhenUsed/>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uiPriority w:val="99"/>
    <w:pPr>
      <w:ind w:left="1247" w:hanging="1247"/>
      <w:jc w:val="left"/>
    </w:pPr>
    <w:rPr>
      <w:rFonts w:cstheme="minorHAnsi"/>
      <w:color w:val="auto"/>
      <w:szCs w:val="20"/>
    </w:rPr>
  </w:style>
  <w:style w:type="paragraph" w:styleId="23">
    <w:name w:val="Normal (Web)"/>
    <w:basedOn w:val="1"/>
    <w:semiHidden/>
    <w:unhideWhenUsed/>
    <w:uiPriority w:val="99"/>
    <w:rPr>
      <w:rFonts w:ascii="Times New Roman" w:hAnsi="Times New Roman" w:cs="Times New Roman"/>
      <w:szCs w:val="24"/>
    </w:rPr>
  </w:style>
  <w:style w:type="paragraph" w:styleId="24">
    <w:name w:val="toc 4"/>
    <w:basedOn w:val="1"/>
    <w:next w:val="1"/>
    <w:autoRedefine/>
    <w:unhideWhenUsed/>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C3D86-4755-4386-9EAA-D0A74BA7C06B}">
  <ds:schemaRefs/>
</ds:datastoreItem>
</file>

<file path=customXml/itemProps3.xml><?xml version="1.0" encoding="utf-8"?>
<ds:datastoreItem xmlns:ds="http://schemas.openxmlformats.org/officeDocument/2006/customXml" ds:itemID="{C9F93CEB-8B40-49C2-9559-ACBDB3940E03}">
  <ds:schemaRefs/>
</ds:datastoreItem>
</file>

<file path=customXml/itemProps4.xml><?xml version="1.0" encoding="utf-8"?>
<ds:datastoreItem xmlns:ds="http://schemas.openxmlformats.org/officeDocument/2006/customXml" ds:itemID="{FE9D23DB-2816-4719-8003-AA2718D8FA81}">
  <ds:schemaRefs/>
</ds:datastoreItem>
</file>

<file path=customXml/itemProps5.xml><?xml version="1.0" encoding="utf-8"?>
<ds:datastoreItem xmlns:ds="http://schemas.openxmlformats.org/officeDocument/2006/customXml" ds:itemID="{BD5B7501-A9AF-4DF5-95C4-E355D43DE9C0}">
  <ds:schemaRefs/>
</ds:datastoreItem>
</file>

<file path=docProps/app.xml><?xml version="1.0" encoding="utf-8"?>
<Properties xmlns="http://schemas.openxmlformats.org/officeDocument/2006/extended-properties" xmlns:vt="http://schemas.openxmlformats.org/officeDocument/2006/docPropsVTypes">
  <Template>Normal</Template>
  <Pages>34</Pages>
  <Words>850</Words>
  <Characters>6314</Characters>
  <Lines>75</Lines>
  <Paragraphs>21</Paragraphs>
  <TotalTime>107</TotalTime>
  <ScaleCrop>false</ScaleCrop>
  <LinksUpToDate>false</LinksUpToDate>
  <CharactersWithSpaces>7081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Suporte</cp:lastModifiedBy>
  <cp:lastPrinted>2022-09-01T12:12:00Z</cp:lastPrinted>
  <dcterms:modified xsi:type="dcterms:W3CDTF">2026-06-10T02:19:24Z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eyJoZGlkIjoiNzgyNTQwY2RlMDIwNzkxMTA1ZGEyZjUwMTQ2ODA2NjAifQ==</vt:lpwstr>
  </property>
  <property fmtid="{D5CDD505-2E9C-101B-9397-08002B2CF9AE}" pid="24" name="KSOProductBuildVer">
    <vt:lpwstr>1046-12.1.0.26880</vt:lpwstr>
  </property>
  <property fmtid="{D5CDD505-2E9C-101B-9397-08002B2CF9AE}" pid="25" name="ICV">
    <vt:lpwstr>60D2B67C7D6D4C088F719B42896B8AFA_12</vt:lpwstr>
  </property>
</Properties>
</file>