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6"/>
        </w:rPr>
        <w:t>Guia de Apresentação</w:t>
      </w:r>
    </w:p>
    <w:p>
      <w:pPr>
        <w:jc w:val="center"/>
      </w:pPr>
      <w:r>
        <w:rPr>
          <w:color w:val="595959"/>
          <w:sz w:val="30"/>
        </w:rPr>
        <w:t>Sistema de Priorização de Escolas em Risco de Evasão</w:t>
      </w:r>
    </w:p>
    <w:p>
      <w:pPr>
        <w:jc w:val="center"/>
      </w:pPr>
      <w:r>
        <w:rPr>
          <w:color w:val="595959"/>
          <w:sz w:val="22"/>
        </w:rPr>
        <w:t>Artur Oliveira Santiago · PUC-SP · 2026</w:t>
        <w:br/>
        <w:t>Acompanha o arquivo Apresentacao_TCC_Evasao.pptx (25 slides)</w:t>
      </w:r>
    </w:p>
    <w:p/>
    <w:p>
      <w:pPr>
        <w:pStyle w:val="Heading1"/>
      </w:pPr>
      <w:r>
        <w:rPr>
          <w:rFonts w:ascii="Calibri" w:hAnsi="Calibri"/>
          <w:color w:val="1F3864"/>
        </w:rPr>
        <w:t>Como usar este guia</w:t>
      </w:r>
    </w:p>
    <w:p>
      <w:pPr>
        <w:spacing w:before="0" w:after="120"/>
      </w:pPr>
      <w:r>
        <w:rPr>
          <w:b w:val="0"/>
          <w:i w:val="0"/>
          <w:sz w:val="22"/>
        </w:rPr>
        <w:t xml:space="preserve">Este guia é um roteiro, não um texto para ler em voz alta. Para cada slide há duas informações: </w:t>
      </w:r>
      <w:r>
        <w:rPr>
          <w:b/>
          <w:i w:val="0"/>
          <w:sz w:val="22"/>
        </w:rPr>
        <w:t>o que está na tela</w:t>
      </w:r>
      <w:r>
        <w:rPr>
          <w:b w:val="0"/>
          <w:i w:val="0"/>
          <w:sz w:val="22"/>
        </w:rPr>
        <w:t xml:space="preserve"> e </w:t>
      </w:r>
      <w:r>
        <w:rPr>
          <w:b/>
          <w:i w:val="0"/>
          <w:sz w:val="22"/>
        </w:rPr>
        <w:t>o que dizer</w:t>
      </w:r>
      <w:r>
        <w:rPr>
          <w:b w:val="0"/>
          <w:i w:val="0"/>
          <w:sz w:val="22"/>
        </w:rPr>
        <w:t>. A fala está escrita em frases curtas, no tom em que se fala — use-a para ensaiar e depois solte o texto.</w:t>
      </w:r>
    </w:p>
    <w:p>
      <w:pPr>
        <w:spacing w:before="0" w:after="120"/>
      </w:pPr>
      <w:r>
        <w:rPr>
          <w:b w:val="0"/>
          <w:i w:val="0"/>
          <w:sz w:val="22"/>
        </w:rPr>
        <w:t>Três recomendações que valem mais do que decorar o roteiro:</w:t>
      </w:r>
    </w:p>
    <w:p>
      <w:pPr>
        <w:pStyle w:val="ListBullet"/>
        <w:spacing w:after="60"/>
      </w:pPr>
      <w:r>
        <w:rPr>
          <w:b w:val="0"/>
          <w:sz w:val="22"/>
        </w:rPr>
      </w:r>
      <w:r>
        <w:rPr>
          <w:b/>
          <w:sz w:val="22"/>
        </w:rPr>
        <w:t>Uma ideia por slide.</w:t>
      </w:r>
      <w:r>
        <w:rPr>
          <w:b w:val="0"/>
          <w:sz w:val="22"/>
        </w:rPr>
        <w:t xml:space="preserve"> Se a banca lembrar de uma frase da sua defesa, que seja “o valor está em acertar a ordem, não a taxa”. Ela aparece no slide 2 e volta no 16.</w:t>
      </w:r>
    </w:p>
    <w:p>
      <w:pPr>
        <w:pStyle w:val="ListBullet"/>
        <w:spacing w:after="60"/>
      </w:pPr>
      <w:r>
        <w:rPr>
          <w:b w:val="0"/>
          <w:sz w:val="22"/>
        </w:rPr>
      </w:r>
      <w:r>
        <w:rPr>
          <w:b/>
          <w:sz w:val="22"/>
        </w:rPr>
        <w:t>Não leia os números do gráfico.</w:t>
      </w:r>
      <w:r>
        <w:rPr>
          <w:b w:val="0"/>
          <w:sz w:val="22"/>
        </w:rPr>
        <w:t xml:space="preserve"> Eles estão na tela. Diga o que o número significa para quem vai decidir.</w:t>
      </w:r>
    </w:p>
    <w:p>
      <w:pPr>
        <w:pStyle w:val="ListBullet"/>
        <w:spacing w:after="60"/>
      </w:pPr>
      <w:r>
        <w:rPr>
          <w:b w:val="0"/>
          <w:sz w:val="22"/>
        </w:rPr>
      </w:r>
      <w:r>
        <w:rPr>
          <w:b/>
          <w:sz w:val="22"/>
        </w:rPr>
        <w:t>Declare a limitação antes que perguntem.</w:t>
      </w:r>
      <w:r>
        <w:rPr>
          <w:b w:val="0"/>
          <w:sz w:val="22"/>
        </w:rPr>
        <w:t xml:space="preserve"> O slide 21 é o que mais gera confiança na banca, justamente por ser o que expõe o erro do sistema.</w:t>
      </w:r>
    </w:p>
    <w:p>
      <w:pPr>
        <w:pStyle w:val="Heading1"/>
      </w:pPr>
      <w:r>
        <w:rPr>
          <w:rFonts w:ascii="Calibri" w:hAnsi="Calibri"/>
          <w:color w:val="1F3864"/>
        </w:rPr>
        <w:t>Plano de tempo</w:t>
      </w:r>
    </w:p>
    <w:p>
      <w:pPr>
        <w:spacing w:before="0" w:after="120"/>
      </w:pPr>
      <w:r>
        <w:rPr>
          <w:b w:val="0"/>
          <w:i w:val="0"/>
          <w:sz w:val="22"/>
        </w:rPr>
        <w:t>Alvo: 20 minutos de fala + 3 minutos de demonstração. Se o tempo apertar, os cortes seguros estão marcados na última coluna.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Bloco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20"/>
              </w:rPr>
              <w:t>Slides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Minutos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</w:rPr>
              <w:t>Corte seguro se faltar tempo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Abertura e o problema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1 – 7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Slide 7 (perguntas) — só citar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 solução e a engenharia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8 – 13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Slide 12 (arquitetura) — 30 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Resultados e limites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14 – 21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Slide 18 (erro em alunos)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Entrega e conclusões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22 – 25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Nenhum — é o fecho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Demonstração do painel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Substituir por print na tela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</w:rPr>
        <w:t>Roteiro slide a slide</w:t>
      </w:r>
    </w:p>
    <w:p>
      <w:pPr>
        <w:pStyle w:val="Heading2"/>
      </w:pPr>
      <w:r>
        <w:rPr>
          <w:rFonts w:ascii="Calibri" w:hAnsi="Calibri"/>
          <w:color w:val="1F3864"/>
        </w:rPr>
        <w:t>Slide 1 — Capa</w:t>
      </w:r>
    </w:p>
    <w:p>
      <w:pPr>
        <w:spacing w:before="0" w:after="200"/>
      </w:pPr>
      <w:r>
        <w:rPr>
          <w:b w:val="0"/>
          <w:i w:val="0"/>
          <w:sz w:val="22"/>
        </w:rPr>
        <w:t>Bom dia. Meu nome é Artur Santiago e vou apresentar o sistema de priorização de escolas em risco de evasão que desenvolvi para a rede estadual de Pernambuco. São cerca de 20 minutos, com uma demonstração rápida no fim.</w:t>
      </w:r>
    </w:p>
    <w:p>
      <w:pPr>
        <w:pStyle w:val="Heading2"/>
      </w:pPr>
      <w:r>
        <w:rPr>
          <w:rFonts w:ascii="Calibri" w:hAnsi="Calibri"/>
          <w:color w:val="1F3864"/>
        </w:rPr>
        <w:t>Slide 2 — Roteiro</w:t>
      </w:r>
    </w:p>
    <w:p>
      <w:pPr>
        <w:spacing w:before="0" w:after="200"/>
      </w:pPr>
      <w:r>
        <w:rPr>
          <w:b w:val="0"/>
          <w:i w:val="0"/>
          <w:sz w:val="22"/>
        </w:rPr>
        <w:t>O roteiro é este. Peço atenção especial à última linha do slide: a tese central do trabalho é que o sistema não precisa acertar o valor exato da taxa de abandono. Ele precisa acertar quais escolas estão em pior situação. Isso vai voltar várias vezes.</w:t>
      </w:r>
    </w:p>
    <w:p>
      <w:pPr>
        <w:pStyle w:val="Heading2"/>
      </w:pPr>
      <w:r>
        <w:rPr>
          <w:rFonts w:ascii="Calibri" w:hAnsi="Calibri"/>
          <w:color w:val="1F3864"/>
        </w:rPr>
        <w:t>Slide 3 — Divisória — O problema</w:t>
      </w:r>
    </w:p>
    <w:p>
      <w:pPr>
        <w:spacing w:before="0" w:after="200"/>
      </w:pPr>
      <w:r>
        <w:rPr>
          <w:b w:val="0"/>
          <w:i w:val="0"/>
          <w:sz w:val="22"/>
        </w:rPr>
        <w:t>Vamos ao problema.</w:t>
      </w:r>
    </w:p>
    <w:p>
      <w:pPr>
        <w:pStyle w:val="Heading2"/>
      </w:pPr>
      <w:r>
        <w:rPr>
          <w:rFonts w:ascii="Calibri" w:hAnsi="Calibri"/>
          <w:color w:val="1F3864"/>
        </w:rPr>
        <w:t>Slide 4 — Contexto</w:t>
      </w:r>
    </w:p>
    <w:p>
      <w:pPr>
        <w:spacing w:before="0" w:after="200"/>
      </w:pPr>
      <w:r>
        <w:rPr>
          <w:b w:val="0"/>
          <w:i w:val="0"/>
          <w:sz w:val="22"/>
        </w:rPr>
        <w:t>Pernambuco tem cerca de 800 escolas estaduais de Ensino Médio, em 185 municípios. Em 2024, dois mil e quarenta e três alunos abandonaram a escola. O estado é referência nacional em tempo integral, e mesmo assim a rede continua muito desigual. O ponto de partida do trabalho é que hoje a Secretaria só enxerga o abandono depois que ele aconteceu — ela reage, não antecipa.</w:t>
      </w:r>
    </w:p>
    <w:p>
      <w:pPr>
        <w:pStyle w:val="Heading2"/>
      </w:pPr>
      <w:r>
        <w:rPr>
          <w:rFonts w:ascii="Calibri" w:hAnsi="Calibri"/>
          <w:color w:val="1F3864"/>
        </w:rPr>
        <w:t>Slide 5 — A média engana</w:t>
      </w:r>
    </w:p>
    <w:p>
      <w:pPr>
        <w:spacing w:before="0" w:after="60"/>
      </w:pPr>
      <w:r>
        <w:rPr>
          <w:b w:val="0"/>
          <w:i/>
          <w:color w:val="595959"/>
          <w:sz w:val="20"/>
        </w:rPr>
        <w:t>Na tela: E1_problema_critico.png</w:t>
      </w:r>
    </w:p>
    <w:p>
      <w:pPr>
        <w:spacing w:before="0" w:after="200"/>
      </w:pPr>
      <w:r>
        <w:rPr>
          <w:b w:val="0"/>
          <w:i w:val="0"/>
          <w:sz w:val="22"/>
        </w:rPr>
        <w:t>Este é o slide mais importante da apresentação. À esquerda, a taxa média da rede caindo: de 2,05% em 2022 para 0,96% em 2024. Olhando só isso, a conclusão seria que está tudo bem. À direita, o mesmo ano visto escola por escola: dois terços das escolas não tiveram nenhum abandono, e 10% delas — 79 escolas — concentram 76% de todos os alunos que saíram. O problema não está espalhado: está concentrado. É isso que justifica construir uma LISTA de prioridade, e não acompanhar uma média.</w:t>
      </w:r>
    </w:p>
    <w:p>
      <w:pPr>
        <w:pStyle w:val="Heading2"/>
      </w:pPr>
      <w:r>
        <w:rPr>
          <w:rFonts w:ascii="Calibri" w:hAnsi="Calibri"/>
          <w:color w:val="1F3864"/>
        </w:rPr>
        <w:t>Slide 6 — Escola, não aluno</w:t>
      </w:r>
    </w:p>
    <w:p>
      <w:pPr>
        <w:spacing w:before="0" w:after="200"/>
      </w:pPr>
      <w:r>
        <w:rPr>
          <w:b w:val="0"/>
          <w:i w:val="0"/>
          <w:sz w:val="22"/>
        </w:rPr>
        <w:t>Uma decisão define tudo o que vem depois: prever por escola, e não por aluno. No nível do aluno seriam necessários dados sigilosos e um esforço que a rede não comporta. No nível da escola, os dados são públicos, o volume é auditável — e, principalmente, é nesse nível que o gestor decide onde colocar equipe e programa.</w:t>
      </w:r>
    </w:p>
    <w:p>
      <w:pPr>
        <w:pStyle w:val="Heading2"/>
      </w:pPr>
      <w:r>
        <w:rPr>
          <w:rFonts w:ascii="Calibri" w:hAnsi="Calibri"/>
          <w:color w:val="1F3864"/>
        </w:rPr>
        <w:t>Slide 7 — Perguntas</w:t>
      </w:r>
    </w:p>
    <w:p>
      <w:pPr>
        <w:spacing w:before="0" w:after="200"/>
      </w:pPr>
      <w:r>
        <w:rPr>
          <w:b w:val="0"/>
          <w:i w:val="0"/>
          <w:sz w:val="22"/>
        </w:rPr>
        <w:t>Duas perguntas orientam o trabalho. A primeira é de previsão: dá para saber antecipadamente quais escolas vão ter abandono alto? A segunda é de diagnóstico: quais escolas fogem do próprio perfil — para pior, e merecem alerta, ou para melhor, e merecem ser estudadas? O Capítulo 7 responde as duas diretamente.</w:t>
      </w:r>
    </w:p>
    <w:p>
      <w:pPr>
        <w:pStyle w:val="Heading2"/>
      </w:pPr>
      <w:r>
        <w:rPr>
          <w:rFonts w:ascii="Calibri" w:hAnsi="Calibri"/>
          <w:color w:val="1F3864"/>
        </w:rPr>
        <w:t>Slide 8 — Divisória — A solução</w:t>
      </w:r>
    </w:p>
    <w:p>
      <w:pPr>
        <w:spacing w:before="0" w:after="200"/>
      </w:pPr>
      <w:r>
        <w:rPr>
          <w:b w:val="0"/>
          <w:i w:val="0"/>
          <w:sz w:val="22"/>
        </w:rPr>
        <w:t>Passo agora para como o sistema foi construído.</w:t>
      </w:r>
    </w:p>
    <w:p>
      <w:pPr>
        <w:pStyle w:val="Heading2"/>
      </w:pPr>
      <w:r>
        <w:rPr>
          <w:rFonts w:ascii="Calibri" w:hAnsi="Calibri"/>
          <w:color w:val="1F3864"/>
        </w:rPr>
        <w:t>Slide 9 — Dados</w:t>
      </w:r>
    </w:p>
    <w:p>
      <w:pPr>
        <w:spacing w:before="0" w:after="200"/>
      </w:pPr>
      <w:r>
        <w:rPr>
          <w:b w:val="0"/>
          <w:i w:val="0"/>
          <w:sz w:val="22"/>
        </w:rPr>
        <w:t>Todos os dados são públicos e vêm do INEP: o Censo Escolar de 2022 a 2024, as taxas de rendimento e quatro indicadores complementares. A régua que organiza tudo é o casamento no tempo: as características de um ano são associadas ao abandono do ano SEGUINTE. Por isso 2024 não entra como origem — precisaria do rendimento de 2025, que ainda não existe. De 2.392 registros chega-se a 1.586 observações de escola e ano.</w:t>
      </w:r>
    </w:p>
    <w:p>
      <w:pPr>
        <w:pStyle w:val="Heading2"/>
      </w:pPr>
      <w:r>
        <w:rPr>
          <w:rFonts w:ascii="Calibri" w:hAnsi="Calibri"/>
          <w:color w:val="1F3864"/>
        </w:rPr>
        <w:t>Slide 10 — O alvo</w:t>
      </w:r>
    </w:p>
    <w:p>
      <w:pPr>
        <w:spacing w:before="0" w:after="60"/>
      </w:pPr>
      <w:r>
        <w:rPr>
          <w:b w:val="0"/>
          <w:i/>
          <w:color w:val="595959"/>
          <w:sz w:val="20"/>
        </w:rPr>
        <w:t>Na tela: E2_alvo.png</w:t>
      </w:r>
    </w:p>
    <w:p>
      <w:pPr>
        <w:spacing w:before="0" w:after="200"/>
      </w:pPr>
      <w:r>
        <w:rPr>
          <w:b w:val="0"/>
          <w:i w:val="0"/>
          <w:sz w:val="22"/>
        </w:rPr>
        <w:t>O sistema prevê um único número: a taxa de abandono do Ensino Médio de cada escola no ano seguinte. Dois traços dessa variável condicionam todo o projeto. À esquerda, a concentração em zero: 68% das observações não têm abandono nenhum. À direita, a desigualdade entre grupos: as escolas indígenas e quilombolas têm média mais de dez vezes maior. Juntos, os dois painéis explicam por que a média diz pouco.</w:t>
      </w:r>
    </w:p>
    <w:p>
      <w:pPr>
        <w:pStyle w:val="Heading2"/>
      </w:pPr>
      <w:r>
        <w:rPr>
          <w:rFonts w:ascii="Calibri" w:hAnsi="Calibri"/>
          <w:color w:val="1F3864"/>
        </w:rPr>
        <w:t>Slide 11 — As informações</w:t>
      </w:r>
    </w:p>
    <w:p>
      <w:pPr>
        <w:spacing w:before="0" w:after="60"/>
      </w:pPr>
      <w:r>
        <w:rPr>
          <w:b w:val="0"/>
          <w:i/>
          <w:color w:val="595959"/>
          <w:sz w:val="20"/>
        </w:rPr>
        <w:t>Na tela: E7_relacao_todas.png</w:t>
      </w:r>
    </w:p>
    <w:p>
      <w:pPr>
        <w:spacing w:before="0" w:after="200"/>
      </w:pPr>
      <w:r>
        <w:rPr>
          <w:b w:val="0"/>
          <w:i w:val="0"/>
          <w:sz w:val="22"/>
        </w:rPr>
        <w:t>O Censo traz mais de 400 colunas por escola. O sistema usa 39. A redução é deliberada: com 1.586 observações, centenas de colunas fariam o sistema decorar a base em vez de aprender o padrão. O gráfico ordena todas as características numéricas pela força da relação com o abandono do ano seguinte — em vermelho as que aumentam o risco, em azul as que reduzem. No topo está o histórico recente da própria escola; depois a defasagem idade-série e o nível socioeconômico.</w:t>
      </w:r>
    </w:p>
    <w:p>
      <w:pPr>
        <w:pStyle w:val="Heading2"/>
      </w:pPr>
      <w:r>
        <w:rPr>
          <w:rFonts w:ascii="Calibri" w:hAnsi="Calibri"/>
          <w:color w:val="1F3864"/>
        </w:rPr>
        <w:t>Slide 12 — Arquitetura</w:t>
      </w:r>
    </w:p>
    <w:p>
      <w:pPr>
        <w:spacing w:before="0" w:after="60"/>
      </w:pPr>
      <w:r>
        <w:rPr>
          <w:b w:val="0"/>
          <w:i/>
          <w:color w:val="595959"/>
          <w:sz w:val="20"/>
        </w:rPr>
        <w:t>Na tela: arq3_componentes.png</w:t>
      </w:r>
    </w:p>
    <w:p>
      <w:pPr>
        <w:spacing w:before="0" w:after="200"/>
      </w:pPr>
      <w:r>
        <w:rPr>
          <w:b w:val="0"/>
          <w:i w:val="0"/>
          <w:sz w:val="22"/>
        </w:rPr>
        <w:t>Do ponto de vista de engenharia, o sistema é um encadeamento de componentes: leitura dos dados originais, preparação das características, treino e avaliação do modelo, explicação e painel. Dois pontos merecem destaque. Primeiro: os componentes se comunicam por arquivos em disco, nunca por chamada direta — acoplamento fraco, que permite reexecutar só o trecho afetado por uma correção. Segundo: as dependências têm sentido único e não formam ciclo, o que é o que torna cada camada testável isoladamente.</w:t>
      </w:r>
    </w:p>
    <w:p>
      <w:pPr>
        <w:pStyle w:val="Heading2"/>
      </w:pPr>
      <w:r>
        <w:rPr>
          <w:rFonts w:ascii="Calibri" w:hAnsi="Calibri"/>
          <w:color w:val="1F3864"/>
        </w:rPr>
        <w:t>Slide 13 — Testes</w:t>
      </w:r>
    </w:p>
    <w:p>
      <w:pPr>
        <w:spacing w:before="0" w:after="200"/>
      </w:pPr>
      <w:r>
        <w:rPr>
          <w:b w:val="0"/>
          <w:i w:val="0"/>
          <w:sz w:val="22"/>
        </w:rPr>
        <w:t>Este é o slide de engenharia de software. Num sistema que aprende com dados, um erro de preparação não derruba o programa — ele gera um modelo errado que continua respondendo normalmente. Se eu tivesse deslocado o casamento temporal em um ano, o sistema perderia todo o valor preditivo e nada apitaria. Por isso os 120 testes se concentram nos riscos que comprometem a VALIDADE do resultado, não apenas a execução.</w:t>
      </w:r>
    </w:p>
    <w:p>
      <w:pPr>
        <w:pStyle w:val="Heading2"/>
      </w:pPr>
      <w:r>
        <w:rPr>
          <w:rFonts w:ascii="Calibri" w:hAnsi="Calibri"/>
          <w:color w:val="1F3864"/>
        </w:rPr>
        <w:t>Slide 14 — Divisória — Resultados</w:t>
      </w:r>
    </w:p>
    <w:p>
      <w:pPr>
        <w:spacing w:before="0" w:after="200"/>
      </w:pPr>
      <w:r>
        <w:rPr>
          <w:b w:val="0"/>
          <w:i w:val="0"/>
          <w:sz w:val="22"/>
        </w:rPr>
        <w:t>Vamos aos resultados.</w:t>
      </w:r>
    </w:p>
    <w:p>
      <w:pPr>
        <w:pStyle w:val="Heading2"/>
      </w:pPr>
      <w:r>
        <w:rPr>
          <w:rFonts w:ascii="Calibri" w:hAnsi="Calibri"/>
          <w:color w:val="1F3864"/>
        </w:rPr>
        <w:t>Slide 15 — Como mediu</w:t>
      </w:r>
    </w:p>
    <w:p>
      <w:pPr>
        <w:spacing w:before="0" w:after="200"/>
      </w:pPr>
      <w:r>
        <w:rPr>
          <w:b w:val="0"/>
          <w:i w:val="0"/>
          <w:sz w:val="22"/>
        </w:rPr>
        <w:t>O desempenho foi medido de dois jeitos. O primeiro repete vinte vezes uma divisão que deixa 20% dos municípios fora do treino — isso impede que escolas vizinhas apareçam dos dois lados e inflem o resultado. O segundo é o teste exigente: treinar com 2022–2023 e prever 2023–2024, um ano que o sistema nunca viu. Três medidas: o erro do valor, o acerto da ordem e o acerto da lista prioritária. As duas últimas são as que importam aqui.</w:t>
      </w:r>
    </w:p>
    <w:p>
      <w:pPr>
        <w:pStyle w:val="Heading2"/>
      </w:pPr>
      <w:r>
        <w:rPr>
          <w:rFonts w:ascii="Calibri" w:hAnsi="Calibri"/>
          <w:color w:val="1F3864"/>
        </w:rPr>
        <w:t>Slide 16 — Resultados</w:t>
      </w:r>
    </w:p>
    <w:p>
      <w:pPr>
        <w:spacing w:before="0" w:after="60"/>
      </w:pPr>
      <w:r>
        <w:rPr>
          <w:b w:val="0"/>
          <w:i/>
          <w:color w:val="595959"/>
          <w:sz w:val="20"/>
        </w:rPr>
        <w:t>Na tela: M6_cv_repetida.png</w:t>
      </w:r>
    </w:p>
    <w:p>
      <w:pPr>
        <w:spacing w:before="0" w:after="200"/>
      </w:pPr>
      <w:r>
        <w:rPr>
          <w:b w:val="0"/>
          <w:i w:val="0"/>
          <w:sz w:val="22"/>
        </w:rPr>
        <w:t>Aqui está o achado central. O gráfico mostra a distribuição das três medidas ao longo das vinte repetições, comparando os modelos. Duas leituras. Primeira: no erro do VALOR da taxa o sistema melhora pouco, e no teste do ano nunca visto ele nem supera responder sempre a média da rede. Segunda: nas medidas de ORDEM ele fica muito acima do acaso, e isso se mantém no ano que ele nunca viu. A analogia que uso é o termômetro descalibrado: erra alguns graus, mas aponta corretamente quem está com mais febre. Para priorizar intervenção, é a ordem que importa.</w:t>
      </w:r>
    </w:p>
    <w:p>
      <w:pPr>
        <w:pStyle w:val="Heading2"/>
      </w:pPr>
      <w:r>
        <w:rPr>
          <w:rFonts w:ascii="Calibri" w:hAnsi="Calibri"/>
          <w:color w:val="1F3864"/>
        </w:rPr>
        <w:t>Slide 17 — Ganho prático</w:t>
      </w:r>
    </w:p>
    <w:p>
      <w:pPr>
        <w:spacing w:before="0" w:after="60"/>
      </w:pPr>
      <w:r>
        <w:rPr>
          <w:b w:val="0"/>
          <w:i/>
          <w:color w:val="595959"/>
          <w:sz w:val="20"/>
        </w:rPr>
        <w:t>Na tela: E4_desempenho.png</w:t>
      </w:r>
    </w:p>
    <w:p>
      <w:pPr>
        <w:spacing w:before="0" w:after="200"/>
      </w:pPr>
      <w:r>
        <w:rPr>
          <w:b w:val="0"/>
          <w:i w:val="0"/>
          <w:sz w:val="22"/>
        </w:rPr>
        <w:t>A pergunta operacional do gestor é direta: com recursos para atender um número limitado de escolas, quantas das realmente críticas eu alcanço? Considerando críticas as 10% de maior abandono em 2024, e usando o modelo treinado só com os anos anteriores: a lista das 50 primeiras alcança 28% das críticas, contra 6% da escolha ao acaso. Com 150 escolas chega a 57%, contra 19%. É o princípio da triagem de pronto-socorro: a fila ordenada por gravidade encontra muito mais casos graves do que o atendimento por ordem de chegada.</w:t>
      </w:r>
    </w:p>
    <w:p>
      <w:pPr>
        <w:pStyle w:val="Heading2"/>
      </w:pPr>
      <w:r>
        <w:rPr>
          <w:rFonts w:ascii="Calibri" w:hAnsi="Calibri"/>
          <w:color w:val="1F3864"/>
        </w:rPr>
        <w:t>Slide 18 — Erro em alunos</w:t>
      </w:r>
    </w:p>
    <w:p>
      <w:pPr>
        <w:spacing w:before="0" w:after="60"/>
      </w:pPr>
      <w:r>
        <w:rPr>
          <w:b w:val="0"/>
          <w:i/>
          <w:color w:val="595959"/>
          <w:sz w:val="20"/>
        </w:rPr>
        <w:t>Na tela: E10_residuos_transicoes_alunos.png</w:t>
      </w:r>
    </w:p>
    <w:p>
      <w:pPr>
        <w:spacing w:before="0" w:after="200"/>
      </w:pPr>
      <w:r>
        <w:rPr>
          <w:b w:val="0"/>
          <w:i w:val="0"/>
          <w:sz w:val="22"/>
        </w:rPr>
        <w:t>Taxa percentual é abstrata para quem gere a rede, então converti o erro em número de alunos: multipliquei a taxa pela matrícula de cada escola. Cada ponto é uma escola. Nas duas transições a maioria fica em torno de zero e o erro médio é de cerca de três alunos por escola. Os desvios grandes estão nas poucas escolas de grande porte. Esse slide costuma ser o que mais convence um gestor.</w:t>
      </w:r>
    </w:p>
    <w:p>
      <w:pPr>
        <w:pStyle w:val="Heading2"/>
      </w:pPr>
      <w:r>
        <w:rPr>
          <w:rFonts w:ascii="Calibri" w:hAnsi="Calibri"/>
          <w:color w:val="1F3864"/>
        </w:rPr>
        <w:t>Slide 19 — SHAP</w:t>
      </w:r>
    </w:p>
    <w:p>
      <w:pPr>
        <w:spacing w:before="0" w:after="60"/>
      </w:pPr>
      <w:r>
        <w:rPr>
          <w:b w:val="0"/>
          <w:i/>
          <w:color w:val="595959"/>
          <w:sz w:val="20"/>
        </w:rPr>
        <w:t>Na tela: P1_fatores_globais.png</w:t>
      </w:r>
    </w:p>
    <w:p>
      <w:pPr>
        <w:spacing w:before="0" w:after="200"/>
      </w:pPr>
      <w:r>
        <w:rPr>
          <w:b w:val="0"/>
          <w:i w:val="0"/>
          <w:sz w:val="22"/>
        </w:rPr>
        <w:t>Saber que uma escola está no topo da lista não basta: é preciso saber por quê. Cada previsão é decomposta na contribuição de cada característica. À esquerda, quais características mais pesam no conjunto — o histórico de abandono da própria escola domina, o que confirma um princípio conhecido: o melhor previsor do tempo de amanhã é o tempo de hoje. À direita, a direção de cada efeito. E ela é coerente com o que se espera: isso é um argumento de confiança, porque mostra que o sistema não está só acertando, está acertando pelas razões certas.</w:t>
      </w:r>
    </w:p>
    <w:p>
      <w:pPr>
        <w:pStyle w:val="Heading2"/>
      </w:pPr>
      <w:r>
        <w:rPr>
          <w:rFonts w:ascii="Calibri" w:hAnsi="Calibri"/>
          <w:color w:val="1F3864"/>
        </w:rPr>
        <w:t>Slide 20 — Caso individual</w:t>
      </w:r>
    </w:p>
    <w:p>
      <w:pPr>
        <w:spacing w:before="0" w:after="60"/>
      </w:pPr>
      <w:r>
        <w:rPr>
          <w:b w:val="0"/>
          <w:i/>
          <w:color w:val="595959"/>
          <w:sz w:val="20"/>
        </w:rPr>
        <w:t>Na tela: P2_escola_exemplo.png</w:t>
      </w:r>
    </w:p>
    <w:p>
      <w:pPr>
        <w:spacing w:before="0" w:after="200"/>
      </w:pPr>
      <w:r>
        <w:rPr>
          <w:b w:val="0"/>
          <w:i w:val="0"/>
          <w:sz w:val="22"/>
        </w:rPr>
        <w:t>A mesma decomposição vale caso a caso. É a diferença entre o mapa do clima de um país e a previsão do tempo de uma cidade. Nesta escola — a de maior risco previsto, uma estadual indígena em Jatobá — dá para ver exatamente o que empurrou a previsão para cima: o histórico de abandono, a defasagem idade-série e o abandono na segunda série. O gestor recebe esse laudo e pode concordar ou discordar com argumento.</w:t>
      </w:r>
    </w:p>
    <w:p>
      <w:pPr>
        <w:pStyle w:val="Heading2"/>
      </w:pPr>
      <w:r>
        <w:rPr>
          <w:rFonts w:ascii="Calibri" w:hAnsi="Calibri"/>
          <w:color w:val="1F3864"/>
        </w:rPr>
        <w:t>Slide 21 — Equidade</w:t>
      </w:r>
    </w:p>
    <w:p>
      <w:pPr>
        <w:spacing w:before="0" w:after="60"/>
      </w:pPr>
      <w:r>
        <w:rPr>
          <w:b w:val="0"/>
          <w:i/>
          <w:color w:val="595959"/>
          <w:sz w:val="20"/>
        </w:rPr>
        <w:t>Na tela: S5_equidade_grupos.png</w:t>
      </w:r>
    </w:p>
    <w:p>
      <w:pPr>
        <w:spacing w:before="0" w:after="200"/>
      </w:pPr>
      <w:r>
        <w:rPr>
          <w:b w:val="0"/>
          <w:i w:val="0"/>
          <w:sz w:val="22"/>
        </w:rPr>
        <w:t>Este slide é o que eu não poderia deixar de apresentar. A análise dos erros por grupo revelou um viés: o sistema prevê risco alto para escolas indígenas e quilombolas cujo abandono observado é próximo de zero — erro médio de seis pontos percentuais para mais, nas 41 escolas desse grupo. A explicação provável é que existem fatores de proteção ligados ao vínculo comunitário que os dados públicos não capturam. É como um seguro que cobra caro de um motorista pelo perfil, sem saber que ele dirige pouco e com cuidado. Reconhecer isso faz parte da entrega: a limitação está no painel e é o primeiro item dos trabalhos futuros.</w:t>
      </w:r>
    </w:p>
    <w:p>
      <w:pPr>
        <w:pStyle w:val="Heading2"/>
      </w:pPr>
      <w:r>
        <w:rPr>
          <w:rFonts w:ascii="Calibri" w:hAnsi="Calibri"/>
          <w:color w:val="1F3864"/>
        </w:rPr>
        <w:t>Slide 22 — Painel</w:t>
      </w:r>
    </w:p>
    <w:p>
      <w:pPr>
        <w:spacing w:before="0" w:after="200"/>
      </w:pPr>
      <w:r>
        <w:rPr>
          <w:b w:val="0"/>
          <w:i w:val="0"/>
          <w:sz w:val="22"/>
        </w:rPr>
        <w:t>A entrega final é um painel interativo com três abas: o ranking de risco, o detalhe de cada escola com a explicação, e o panorama com o diagnóstico de alerta e resiliência. Uma decisão de escopo importante: o painel prioriza e explica, mas NÃO recomenda ações. A razão é metodológica — o sistema identifica associações, não causas. Sugerir a intervenção específica exigiria evidência de causalidade que os dados não sustentam. [SE HOUVER DEMO: mostrar aqui, 3 minutos.]</w:t>
      </w:r>
    </w:p>
    <w:p>
      <w:pPr>
        <w:pStyle w:val="Heading2"/>
      </w:pPr>
      <w:r>
        <w:rPr>
          <w:rFonts w:ascii="Calibri" w:hAnsi="Calibri"/>
          <w:color w:val="1F3864"/>
        </w:rPr>
        <w:t>Slide 23 — Conclusões</w:t>
      </w:r>
    </w:p>
    <w:p>
      <w:pPr>
        <w:spacing w:before="0" w:after="200"/>
      </w:pPr>
      <w:r>
        <w:rPr>
          <w:b w:val="0"/>
          <w:i w:val="0"/>
          <w:sz w:val="22"/>
        </w:rPr>
        <w:t>Respondendo diretamente. P1: sim, com uma qualificação que é ela própria um resultado — o sistema diz QUAIS escolas, não QUANTO. P2: sim, e a ressalva é que parte do que a análise encontra descreve o limite do sistema, não a escola. E fecho com o ponto de engenharia: num sistema que aprende com dados, a arquitetura e os testes não são acessório — são a única defesa contra erros silenciosos.</w:t>
      </w:r>
    </w:p>
    <w:p>
      <w:pPr>
        <w:pStyle w:val="Heading2"/>
      </w:pPr>
      <w:r>
        <w:rPr>
          <w:rFonts w:ascii="Calibri" w:hAnsi="Calibri"/>
          <w:color w:val="1F3864"/>
        </w:rPr>
        <w:t>Slide 24 — Trabalhos futuros</w:t>
      </w:r>
    </w:p>
    <w:p>
      <w:pPr>
        <w:spacing w:before="0" w:after="200"/>
      </w:pPr>
      <w:r>
        <w:rPr>
          <w:b w:val="0"/>
          <w:i w:val="0"/>
          <w:sz w:val="22"/>
        </w:rPr>
        <w:t>Quatro frentes. A primeira é a correção do viés de equidade — é a mais urgente. A segunda, ampliar a janela de dados: a limitação de magnitude vem de termos apenas dois pares de anos. A terceira é a evolução do sistema, incluindo o empacotamento em contêiner. E a quarta é avaliar em uso, com gestores reais.</w:t>
      </w:r>
    </w:p>
    <w:p>
      <w:pPr>
        <w:pStyle w:val="Heading2"/>
      </w:pPr>
      <w:r>
        <w:rPr>
          <w:rFonts w:ascii="Calibri" w:hAnsi="Calibri"/>
          <w:color w:val="1F3864"/>
        </w:rPr>
        <w:t>Slide 25 — Fechamento</w:t>
      </w:r>
    </w:p>
    <w:p>
      <w:pPr>
        <w:spacing w:before="0" w:after="200"/>
      </w:pPr>
      <w:r>
        <w:rPr>
          <w:b w:val="0"/>
          <w:i w:val="0"/>
          <w:sz w:val="22"/>
        </w:rPr>
        <w:t>Encerro com a frase que resume o trabalho: o sistema não diz quanto cada escola vai perder; diz onde olhar primeiro, e por quê. Obrigado. Fico à disposição para as perguntas.</w:t>
      </w:r>
    </w:p>
    <w:p>
      <w:pPr>
        <w:pStyle w:val="Heading1"/>
      </w:pPr>
      <w:r>
        <w:rPr>
          <w:rFonts w:ascii="Calibri" w:hAnsi="Calibri"/>
          <w:color w:val="1F3864"/>
        </w:rPr>
        <w:t>Roteiro da demonstração do painel (3 minutos)</w:t>
      </w:r>
    </w:p>
    <w:p>
      <w:pPr>
        <w:spacing w:before="0" w:after="120"/>
      </w:pPr>
      <w:r>
        <w:rPr>
          <w:b w:val="0"/>
          <w:i w:val="0"/>
          <w:sz w:val="22"/>
        </w:rPr>
        <w:t xml:space="preserve">Suba o painel </w:t>
      </w:r>
      <w:r>
        <w:rPr>
          <w:b/>
          <w:i w:val="0"/>
          <w:sz w:val="22"/>
        </w:rPr>
        <w:t>antes</w:t>
      </w:r>
      <w:r>
        <w:rPr>
          <w:b w:val="0"/>
          <w:i w:val="0"/>
          <w:sz w:val="22"/>
        </w:rPr>
        <w:t xml:space="preserve"> de começar a apresentação, com o navegador já aberto na aba certa. Da raiz do projeto:</w:t>
      </w:r>
    </w:p>
    <w:p>
      <w:r>
        <w:rPr>
          <w:rFonts w:ascii="Consolas" w:hAnsi="Consolas"/>
          <w:sz w:val="22"/>
        </w:rPr>
        <w:t>streamlit run app/dashboard.py</w:t>
      </w:r>
    </w:p>
    <w:p>
      <w:pPr>
        <w:spacing w:before="0" w:after="120"/>
      </w:pPr>
      <w:r>
        <w:rPr>
          <w:b w:val="0"/>
          <w:i w:val="0"/>
          <w:sz w:val="22"/>
        </w:rPr>
        <w:t>Sequência sugerida — não improvise cliques: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O que fazer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20"/>
              </w:rPr>
              <w:t>O que dizer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Aba Ranking de risco, ano mais recente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“Esta é a lista que o gestor recebe: as escolas ordenadas por risco para o ano seguinte.”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Filtrar por uma mesorregião (ex.: São Francisco Pernambucano)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“Ele pode recortar por região ou município, sem que a marcação de prioridade mude — ela vale para a rede inteira.”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Aba Detalhe da escola, buscar “Ororuba”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“Aqui está o porquê: as barras mostram o que puxou o risco desta escola para cima e para baixo. É o laudo individual.”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Aba Panorama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“E aqui o diagnóstico: quem abandona mais do que o previsto merece alerta; quem abandona menos merece ser estudado.”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Apontar a ressalva no rodapé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“A ressalva está na própria tela: estas previsões são sobre dados que o modelo conhece. A estimativa honesta é a do teste do ano nunca visto.”</w:t>
            </w:r>
          </w:p>
        </w:tc>
      </w:tr>
    </w:tbl>
    <w:p/>
    <w:p>
      <w:pPr>
        <w:spacing w:before="0" w:after="120"/>
      </w:pPr>
      <w:r>
        <w:rPr>
          <w:b w:val="0"/>
          <w:i w:val="0"/>
          <w:sz w:val="22"/>
        </w:rPr>
      </w:r>
      <w:r>
        <w:rPr>
          <w:b/>
          <w:i w:val="0"/>
          <w:sz w:val="22"/>
        </w:rPr>
        <w:t>Plano B:</w:t>
      </w:r>
      <w:r>
        <w:rPr>
          <w:b w:val="0"/>
          <w:i w:val="0"/>
          <w:sz w:val="22"/>
        </w:rPr>
        <w:t xml:space="preserve"> se o painel não subir, tenha capturas de tela das três abas em uma pasta na área de trabalho. Nunca depure código na frente da banca — mostre a captura e siga.</w:t>
      </w:r>
    </w:p>
    <w:p>
      <w:pPr>
        <w:pStyle w:val="Heading1"/>
      </w:pPr>
      <w:r>
        <w:rPr>
          <w:rFonts w:ascii="Calibri" w:hAnsi="Calibri"/>
          <w:color w:val="1F3864"/>
        </w:rPr>
        <w:t>Perguntas prováveis da banca</w:t>
      </w:r>
    </w:p>
    <w:p>
      <w:pPr>
        <w:spacing w:before="0" w:after="120"/>
      </w:pPr>
      <w:r>
        <w:rPr>
          <w:b w:val="0"/>
          <w:i w:val="0"/>
          <w:sz w:val="22"/>
        </w:rPr>
        <w:t>As respostas abaixo são curtas de propósito. Responda em duas ou três frases e pare; se a banca quiser mais, ela pergunta.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1. Por que XGBoost, se ele empatou com o Random Forest?</w:t>
      </w:r>
    </w:p>
    <w:p>
      <w:pPr>
        <w:spacing w:before="0" w:after="160"/>
      </w:pPr>
      <w:r>
        <w:rPr>
          <w:b w:val="0"/>
          <w:i w:val="0"/>
          <w:sz w:val="22"/>
        </w:rPr>
        <w:t>Porque a escolha não é imposta pelos números, e eu digo isso no trabalho. Os três modelos se sobrepõem dentro da margem de incerteza. Mantive o XGBoost por duas razões: no teste do ano nunca visto ele lidera justamente as duas medidas de ordenação, que são as que importam para priorizar; e é sobre ele que as explicações foram construídas. O Random Forest leva vantagem no erro de magnitude e na separação binária — dimensões menos centrais para decidir onde intervir primeiro.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2. O sistema não supera o piso trivial no erro. Ele funciona ou não?</w:t>
      </w:r>
    </w:p>
    <w:p>
      <w:pPr>
        <w:spacing w:before="0" w:after="160"/>
      </w:pPr>
      <w:r>
        <w:rPr>
          <w:b w:val="0"/>
          <w:i w:val="0"/>
          <w:sz w:val="22"/>
        </w:rPr>
        <w:t>Funciona para o que foi projetado. Ele erra o valor da taxa, sim — entre um ciclo e outro o abandono médio da rede caiu e o modelo não acompanhou o nível. Mas as medidas de ordem se mantêm muito acima do acaso no ano que ele nunca viu. Como a decisão do gestor exige saber quais escolas priorizar, e não quanto cada uma vai perder, o sistema entrega o que a decisão precisa. A limitação de magnitude vem da janela curta: só dois pares de anos.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3. Por que prever por escola e não por aluno?</w:t>
      </w:r>
    </w:p>
    <w:p>
      <w:pPr>
        <w:spacing w:before="0" w:after="160"/>
      </w:pPr>
      <w:r>
        <w:rPr>
          <w:b w:val="0"/>
          <w:i w:val="0"/>
          <w:sz w:val="22"/>
        </w:rPr>
        <w:t>Por três razões. Os dados públicos existem no nível da escola; no nível do aluno seriam necessários dados sigilosos. O volume é gerenciável e auditável: 800 unidades por ano. E é no nível da escola que o gestor decide — ele aloca equipe, programa e visita para uma escola, não para um aluno.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4. O viés nas escolas indígenas e quilombolas não invalida o sistema?</w:t>
      </w:r>
    </w:p>
    <w:p>
      <w:pPr>
        <w:spacing w:before="0" w:after="160"/>
      </w:pPr>
      <w:r>
        <w:rPr>
          <w:b w:val="0"/>
          <w:i w:val="0"/>
          <w:sz w:val="22"/>
        </w:rPr>
        <w:t>Não invalida, mas restringe o uso e precisa ser declarado — foi o que fiz. O sistema superestima o risco nesse grupo em cerca de seis pontos percentuais, sobre 41 escolas. A hipótese é que existem fatores de proteção ligados ao vínculo comunitário que os dados públicos não capturam. Enquanto isso não for corrigido, a lista deve ser lida com essa ressalva, que está exposta no próprio painel. É o primeiro item dos trabalhos futuros.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5. Como você garante que não houve vazamento entre treino e teste?</w:t>
      </w:r>
    </w:p>
    <w:p>
      <w:pPr>
        <w:spacing w:before="0" w:after="160"/>
      </w:pPr>
      <w:r>
        <w:rPr>
          <w:b w:val="0"/>
          <w:i w:val="0"/>
          <w:sz w:val="22"/>
        </w:rPr>
        <w:t>De três formas, e todas são testadas automaticamente. Primeiro, a regra de casamento no tempo: características de um ano só se associam ao abandono do ano seguinte. Segundo, a validação agrupa por município — escolas do mesmo município nunca aparecem dos dois lados. Terceiro, o teste principal é temporal: treina no par 2022–2023 e prevê 2023–2024. Um teste da suíte falha se o deslocamento temporal for quebrado, que é exatamente o erro que não geraria nenhum sintoma em execução.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6. Onde está a engenharia de software neste trabalho, e não apenas a análise de dados?</w:t>
      </w:r>
    </w:p>
    <w:p>
      <w:pPr>
        <w:spacing w:before="0" w:after="160"/>
      </w:pPr>
      <w:r>
        <w:rPr>
          <w:b w:val="0"/>
          <w:i w:val="0"/>
          <w:sz w:val="22"/>
        </w:rPr>
        <w:t>Em três decisões. A arquitetura em camadas com dependências em sentido único e sem ciclos, o que torna cada camada testável e reexecutável isoladamente. Os componentes que se comunicam por arquivos em disco, nunca por chamada direta, o que permite retomar o fluxo de qualquer etapa. E a suíte de 120 testes desenhada para riscos de validade, não de execução — num sistema que aprende com dados, o erro não derruba o programa, ele produz em silêncio um modelo inválido.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7. Trinta e nove características não é pouco, diante de mais de 400 disponíveis?</w:t>
      </w:r>
    </w:p>
    <w:p>
      <w:pPr>
        <w:spacing w:before="0" w:after="160"/>
      </w:pPr>
      <w:r>
        <w:rPr>
          <w:b w:val="0"/>
          <w:i w:val="0"/>
          <w:sz w:val="22"/>
        </w:rPr>
        <w:t>É pouco de propósito. Com 1.586 observações, centenas de colunas fariam o modelo decorar a base em vez de aprender o padrão: acertaria o passado e erraria o ano seguinte. Os cortes seguiram três critérios explícitos — informação repetida, consequência aritmética do alvo e colunas ausentes na maior parte das escolas. E cada uma das 39 foi submetida a análise estatística individual: 30 das 38 numéricas têm relação comprovada com o abandono.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8. O SHAP mostra causas? Posso dizer que a defasagem idade-série causa abandono?</w:t>
      </w:r>
    </w:p>
    <w:p>
      <w:pPr>
        <w:spacing w:before="0" w:after="160"/>
      </w:pPr>
      <w:r>
        <w:rPr>
          <w:b w:val="0"/>
          <w:i w:val="0"/>
          <w:sz w:val="22"/>
        </w:rPr>
        <w:t>Não. O SHAP mostra o que o modelo usou para chegar àquela previsão — é uma explicação do modelo, não do mundo. Por isso o painel prioriza e explica, mas não recomenda ações: sugerir a intervenção específica exigiria evidência de causalidade que dados observacionais não sustentam. A decisão de como agir continua com o gestor.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9. Dá para usar o sistema em 2025 e nos anos seguintes?</w:t>
      </w:r>
    </w:p>
    <w:p>
      <w:pPr>
        <w:spacing w:before="0" w:after="160"/>
      </w:pPr>
      <w:r>
        <w:rPr>
          <w:b w:val="0"/>
          <w:i w:val="0"/>
          <w:sz w:val="22"/>
        </w:rPr>
        <w:t>Sim, e isso já está implementado. O modelo é uma função geral das características de um ano para o abandono do ano seguinte, então basta alimentar a edição nova do Censo e dos indicadores. Existe um modo de predição que monta o vetor de um ano sem exigir o alvo e devolve o ranking. Com os dados de 2024 já carregados, a lista de 2025 pode ser gerada hoje.</w:t>
      </w:r>
    </w:p>
    <w:p>
      <w:pPr>
        <w:pStyle w:val="Heading1"/>
      </w:pPr>
      <w:r>
        <w:rPr>
          <w:rFonts w:ascii="Calibri" w:hAnsi="Calibri"/>
          <w:color w:val="1F3864"/>
        </w:rPr>
        <w:t>Números para saber de cor</w:t>
      </w:r>
    </w:p>
    <w:p>
      <w:pPr>
        <w:spacing w:before="0" w:after="120"/>
      </w:pPr>
      <w:r>
        <w:rPr>
          <w:b w:val="0"/>
          <w:i w:val="0"/>
          <w:sz w:val="22"/>
        </w:rPr>
        <w:t>Se a banca perguntar um número e você hesitar, a impressão é pior do que errar. Estes são os que realmente caem: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Número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0"/>
              </w:rPr>
              <w:t>O que 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2,05% → 0,96%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taxa média de abandono da rede, de 2022 a 2024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2.043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alunos que abandonaram o Ensino Médio estadual em 2024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67% / 76%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escolas com abandono zero / evadidos concentrados em 10% das escolas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~800 · 185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escolas estaduais de EM em atividade · municípios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2.392 → 1.586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registros do painel → observações usadas na previsão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400+ → 39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colunas disponíveis no Censo → características usadas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30 de 38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características numéricas com relação comprovada com o abandono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120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testes automatizados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0,348 · 0,418 · 0,798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ordenação · lista prioritária · separação, no ano nunca visto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28% / 46% / 57%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críticas alcançadas com listas de 50, 100 e 150 escolas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6% / 13% / 19%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o mesmo, na escolha ao acaso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~3 alunos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erro médio por escola, traduzido em número de alunos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−6,12 p.p.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viés nas 41 escolas indígenas e quilombolas (superestimação)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</w:rPr>
        <w:t>Checklist</w:t>
      </w:r>
    </w:p>
    <w:p>
      <w:pPr>
        <w:spacing w:before="120" w:after="60"/>
      </w:pPr>
      <w:r>
        <w:rPr>
          <w:b w:val="0"/>
          <w:i w:val="0"/>
          <w:color w:val="1F3864"/>
          <w:sz w:val="22"/>
        </w:rPr>
      </w:r>
      <w:r>
        <w:rPr>
          <w:b/>
          <w:i w:val="0"/>
          <w:color w:val="1F3864"/>
          <w:sz w:val="22"/>
        </w:rPr>
        <w:t>Véspera</w:t>
      </w:r>
      <w:r>
        <w:rPr>
          <w:b w:val="0"/>
          <w:i w:val="0"/>
          <w:color w:val="1F3864"/>
          <w:sz w:val="22"/>
        </w:rPr>
      </w:r>
    </w:p>
    <w:p>
      <w:pPr>
        <w:pStyle w:val="ListBullet"/>
        <w:spacing w:after="60"/>
      </w:pPr>
      <w:r>
        <w:rPr>
          <w:b w:val="0"/>
          <w:sz w:val="22"/>
        </w:rPr>
        <w:t>Ensaiar em voz alta com cronômetro — duas vezes é o suficiente, e a segunda já sem olhar o guia</w:t>
      </w:r>
    </w:p>
    <w:p>
      <w:pPr>
        <w:pStyle w:val="ListBullet"/>
        <w:spacing w:after="60"/>
      </w:pPr>
      <w:r>
        <w:rPr>
          <w:b w:val="0"/>
          <w:sz w:val="22"/>
        </w:rPr>
        <w:t>Subir o painel e percorrer os cinco passos da demonstração</w:t>
      </w:r>
    </w:p>
    <w:p>
      <w:pPr>
        <w:pStyle w:val="ListBullet"/>
        <w:spacing w:after="60"/>
      </w:pPr>
      <w:r>
        <w:rPr>
          <w:b w:val="0"/>
          <w:sz w:val="22"/>
        </w:rPr>
        <w:t>Salvar capturas de tela das três abas do painel como plano B</w:t>
      </w:r>
    </w:p>
    <w:p>
      <w:pPr>
        <w:pStyle w:val="ListBullet"/>
        <w:spacing w:after="60"/>
      </w:pPr>
      <w:r>
        <w:rPr>
          <w:b w:val="0"/>
          <w:sz w:val="22"/>
        </w:rPr>
        <w:t>Exportar a apresentação também em PDF, caso o PowerPoint da sala falhe</w:t>
      </w:r>
    </w:p>
    <w:p>
      <w:pPr>
        <w:pStyle w:val="ListBullet"/>
        <w:spacing w:after="60"/>
      </w:pPr>
      <w:r>
        <w:rPr>
          <w:b w:val="0"/>
          <w:sz w:val="22"/>
        </w:rPr>
        <w:t>Conferir se o notebook liga no projetor e em qual resolução</w:t>
      </w:r>
    </w:p>
    <w:p>
      <w:pPr>
        <w:spacing w:before="160" w:after="60"/>
      </w:pPr>
      <w:r>
        <w:rPr>
          <w:b w:val="0"/>
          <w:i w:val="0"/>
          <w:color w:val="1F3864"/>
          <w:sz w:val="22"/>
        </w:rPr>
      </w:r>
      <w:r>
        <w:rPr>
          <w:b/>
          <w:i w:val="0"/>
          <w:color w:val="1F3864"/>
          <w:sz w:val="22"/>
        </w:rPr>
        <w:t>No dia</w:t>
      </w:r>
      <w:r>
        <w:rPr>
          <w:b w:val="0"/>
          <w:i w:val="0"/>
          <w:color w:val="1F3864"/>
          <w:sz w:val="22"/>
        </w:rPr>
      </w:r>
    </w:p>
    <w:p>
      <w:pPr>
        <w:pStyle w:val="ListBullet"/>
        <w:spacing w:after="60"/>
      </w:pPr>
      <w:r>
        <w:rPr>
          <w:b w:val="0"/>
          <w:sz w:val="22"/>
        </w:rPr>
        <w:t>Chegar com o painel já rodando e o navegador na aba do ranking</w:t>
      </w:r>
    </w:p>
    <w:p>
      <w:pPr>
        <w:pStyle w:val="ListBullet"/>
        <w:spacing w:after="60"/>
      </w:pPr>
      <w:r>
        <w:rPr>
          <w:b w:val="0"/>
          <w:sz w:val="22"/>
        </w:rPr>
        <w:t>Desligar notificações e deixar o celular em modo avião</w:t>
      </w:r>
    </w:p>
    <w:p>
      <w:pPr>
        <w:pStyle w:val="ListBullet"/>
        <w:spacing w:after="60"/>
      </w:pPr>
      <w:r>
        <w:rPr>
          <w:b w:val="0"/>
          <w:sz w:val="22"/>
        </w:rPr>
        <w:t>Levar o TCC impresso ou aberto em outra janela, para consultar um número se precisar</w:t>
      </w:r>
    </w:p>
    <w:p>
      <w:pPr>
        <w:pStyle w:val="ListBullet"/>
        <w:spacing w:after="60"/>
      </w:pPr>
      <w:r>
        <w:rPr>
          <w:b w:val="0"/>
          <w:sz w:val="22"/>
        </w:rPr>
        <w:t>Água por perto — 20 minutos de fala secam a garganta mais do que se imagina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