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9B"/>
          <w:sz w:val="40"/>
        </w:rPr>
        <w:t>Guia de Apresentação Técnica</w:t>
      </w:r>
    </w:p>
    <w:p>
      <w:pPr>
        <w:jc w:val="center"/>
      </w:pPr>
      <w:r>
        <w:rPr>
          <w:color w:val="555555"/>
          <w:sz w:val="24"/>
        </w:rPr>
        <w:t>Sistema de Priorização de Escolas em Risco de Evasão — o que cada arquivo faz</w:t>
      </w:r>
    </w:p>
    <w:p/>
    <w:p>
      <w:r>
        <w:rPr>
          <w:i w:val="0"/>
        </w:rPr>
        <w:t>Este guia percorre o código do projeto arquivo por arquivo, seguindo o fluxo dos dados: da leitura dos microdados públicos do INEP até o painel entregue ao gestor. É material de apoio para uma apresentação técnica — cada seção corresponde a uma camada da arquitetura, e cada tabela lista os arquivos daquela camada com sua função e o que consomem e produzem.</w:t>
      </w:r>
    </w:p>
    <w:p>
      <w:pPr>
        <w:pStyle w:val="Heading2"/>
      </w:pPr>
      <w:r>
        <w:rPr>
          <w:color w:val="1F4E9B"/>
        </w:rPr>
        <w:t>Visão geral do fluxo</w:t>
      </w:r>
    </w:p>
    <w:p>
      <w:r>
        <w:rPr>
          <w:i/>
        </w:rPr>
        <w:t>microdados brutos (INEP)  →  ETLs (src/data)  →  parquets intermediários (data/interim)  →  engenharia de características (src/features)  →  data/processed/features.parquet  →  treino (src/models/train)  →  models/*.joblib  →  avaliação e explicação (src/models/evaluate, explain)  →  serviço (src/recommend)  →  painel Streamlit (app).</w:t>
      </w:r>
    </w:p>
    <w:p>
      <w:r>
        <w:rPr>
          <w:i w:val="0"/>
        </w:rPr>
        <w:t>Em paralelo, os notebooks (notebooks/) orquestram análises, o ajuste do modelo e a geração das figuras da monografia; a pasta tests/ guarda a corretude de todas as etapas (114 testes). A configuração de caminhos é centralizada em src/data/config.py.</w:t>
      </w:r>
    </w:p>
    <w:p>
      <w:pPr>
        <w:pStyle w:val="Heading1"/>
      </w:pPr>
      <w:r>
        <w:rPr>
          <w:color w:val="1F4E9B"/>
        </w:rPr>
        <w:t>1. Configuração e utilidades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6803"/>
          </w:tcPr>
          <w:p>
            <w:r>
              <w:rPr>
                <w:b/>
              </w:rPr>
              <w:t>O que faz</w:t>
            </w:r>
          </w:p>
        </w:tc>
      </w:tr>
      <w:tr>
        <w:tc>
          <w:tcPr>
            <w:tcW w:type="dxa" w:w="2835"/>
          </w:tcPr>
          <w:p>
            <w:r/>
            <w:r/>
            <w:r>
              <w:rPr>
                <w:rFonts w:ascii="Consolas" w:hAnsi="Consolas"/>
                <w:sz w:val="18"/>
              </w:rPr>
              <w:t>src/data/config.py</w:t>
            </w:r>
            <w:r/>
          </w:p>
        </w:tc>
        <w:tc>
          <w:tcPr>
            <w:tcW w:type="dxa" w:w="6803"/>
          </w:tcPr>
          <w:p>
            <w:r/>
            <w:r>
              <w:t>Ponto único de configuração: define todos os caminhos do projeto (</w:t>
            </w:r>
            <w:r>
              <w:rPr>
                <w:rFonts w:ascii="Consolas" w:hAnsi="Consolas"/>
                <w:sz w:val="18"/>
              </w:rPr>
              <w:t>RAW_DIR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INTERIM_DIR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PROCESSED_DIR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MODELS_DIR</w:t>
            </w:r>
            <w:r>
              <w:t>) e os diretórios de cada fonte bruta (Censo, taxas, INSE, TDI, AFD, IRD, IED, ICG). Todos os módulos importam daqui, então mudar uma pasta é uma linha só.</w:t>
            </w:r>
          </w:p>
        </w:tc>
      </w:tr>
      <w:tr>
        <w:tc>
          <w:tcPr>
            <w:tcW w:type="dxa" w:w="2835"/>
          </w:tcPr>
          <w:p>
            <w:r/>
            <w:r/>
            <w:r>
              <w:rPr>
                <w:rFonts w:ascii="Consolas" w:hAnsi="Consolas"/>
                <w:sz w:val="18"/>
              </w:rPr>
              <w:t>notebooks/comum.py</w:t>
            </w:r>
            <w:r/>
          </w:p>
        </w:tc>
        <w:tc>
          <w:tcPr>
            <w:tcW w:type="dxa" w:w="6803"/>
          </w:tcPr>
          <w:p>
            <w:r/>
            <w:r>
              <w:t xml:space="preserve">Infraestrutura compartilhada pelos notebooks: força o backend gráfico, reconfigura o console para UTF-8, coloca a raiz no </w:t>
            </w:r>
            <w:r>
              <w:rPr>
                <w:rFonts w:ascii="Consolas" w:hAnsi="Consolas"/>
                <w:sz w:val="18"/>
              </w:rPr>
              <w:t>sys.path</w:t>
            </w:r>
            <w:r>
              <w:t xml:space="preserve">, e centraliza cores, rótulos de modelos/mesorregiões e o utilitário </w:t>
            </w:r>
            <w:r>
              <w:rPr>
                <w:rFonts w:ascii="Consolas" w:hAnsi="Consolas"/>
                <w:sz w:val="18"/>
              </w:rPr>
              <w:t>salvar_figura</w:t>
            </w:r>
            <w:r>
              <w:t>.</w:t>
            </w:r>
          </w:p>
        </w:tc>
      </w:tr>
    </w:tbl>
    <w:p/>
    <w:p>
      <w:pPr>
        <w:pStyle w:val="Heading1"/>
      </w:pPr>
      <w:r>
        <w:rPr>
          <w:color w:val="1F4E9B"/>
        </w:rPr>
        <w:t>2. Camada de dados — do dado bruto aos indicadores (src/data/)</w:t>
      </w:r>
    </w:p>
    <w:p>
      <w:r>
        <w:rPr>
          <w:i w:val="0"/>
        </w:rPr>
        <w:t>Cada arquivo abaixo é um ETL independente: lê uma planilha ou microdado do INEP, aplica o mesmo recorte (Pernambuco, rede estadual, com Ensino Médio) e grava um parquet limpo em data/interim/. São a base de tudo o que vem depois.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38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4649"/>
          </w:tcPr>
          <w:p>
            <w:r>
              <w:rPr>
                <w:b/>
              </w:rPr>
              <w:t>O que faz</w:t>
            </w:r>
          </w:p>
        </w:tc>
        <w:tc>
          <w:tcPr>
            <w:tcW w:type="dxa" w:w="2551"/>
          </w:tcPr>
          <w:p>
            <w:r>
              <w:rPr>
                <w:b/>
              </w:rPr>
              <w:t>Entrada → Saída</w:t>
            </w:r>
          </w:p>
        </w:tc>
      </w:tr>
      <w:tr>
        <w:tc>
          <w:tcPr>
            <w:tcW w:type="dxa" w:w="2438"/>
          </w:tcPr>
          <w:p>
            <w:r/>
            <w:r/>
            <w:r>
              <w:rPr>
                <w:rFonts w:ascii="Consolas" w:hAnsi="Consolas"/>
                <w:sz w:val="18"/>
              </w:rPr>
              <w:t>load.py</w:t>
            </w:r>
            <w:r/>
          </w:p>
        </w:tc>
        <w:tc>
          <w:tcPr>
            <w:tcW w:type="dxa" w:w="4649"/>
          </w:tcPr>
          <w:p>
            <w:r/>
            <w:r>
              <w:t>Carrega os microdados do Censo Escolar (tabela ESCOLA) por ano.</w:t>
            </w:r>
          </w:p>
        </w:tc>
        <w:tc>
          <w:tcPr>
            <w:tcW w:type="dxa" w:w="2551"/>
          </w:tcPr>
          <w:p>
            <w:r/>
            <w:r/>
            <w:r>
              <w:rPr>
                <w:rFonts w:ascii="Consolas" w:hAnsi="Consolas"/>
                <w:sz w:val="18"/>
              </w:rPr>
              <w:t>data/raw/censo</w:t>
            </w:r>
            <w:r>
              <w:t xml:space="preserve"> → DataFrame</w:t>
            </w:r>
          </w:p>
        </w:tc>
      </w:tr>
      <w:tr>
        <w:tc>
          <w:tcPr>
            <w:tcW w:type="dxa" w:w="2438"/>
          </w:tcPr>
          <w:p>
            <w:r/>
            <w:r/>
            <w:r>
              <w:rPr>
                <w:rFonts w:ascii="Consolas" w:hAnsi="Consolas"/>
                <w:sz w:val="18"/>
              </w:rPr>
              <w:t>filter_pe_estadual_em.py</w:t>
            </w:r>
            <w:r/>
          </w:p>
        </w:tc>
        <w:tc>
          <w:tcPr>
            <w:tcW w:type="dxa" w:w="4649"/>
          </w:tcPr>
          <w:p>
            <w:r/>
            <w:r>
              <w:t>Aplica o recorte do universo: PE, rede estadual, escola em atividade e com oferta de Ensino Médio.</w:t>
            </w:r>
          </w:p>
        </w:tc>
        <w:tc>
          <w:tcPr>
            <w:tcW w:type="dxa" w:w="2551"/>
          </w:tcPr>
          <w:p>
            <w:r/>
            <w:r>
              <w:t>DataFrame → DataFrame filtrado</w:t>
            </w:r>
          </w:p>
        </w:tc>
      </w:tr>
      <w:tr>
        <w:tc>
          <w:tcPr>
            <w:tcW w:type="dxa" w:w="2438"/>
          </w:tcPr>
          <w:p>
            <w:r/>
            <w:r/>
            <w:r>
              <w:rPr>
                <w:rFonts w:ascii="Consolas" w:hAnsi="Consolas"/>
                <w:sz w:val="18"/>
              </w:rPr>
              <w:t>build_school_panel.py</w:t>
            </w:r>
            <w:r/>
          </w:p>
        </w:tc>
        <w:tc>
          <w:tcPr>
            <w:tcW w:type="dxa" w:w="4649"/>
          </w:tcPr>
          <w:p>
            <w:r/>
            <w:r>
              <w:t>Monta o painel longitudinal escola × ano com as características de infraestrutura, matrícula e localização do Censo.</w:t>
            </w:r>
          </w:p>
        </w:tc>
        <w:tc>
          <w:tcPr>
            <w:tcW w:type="dxa" w:w="2551"/>
          </w:tcPr>
          <w:p>
            <w:r/>
            <w:r>
              <w:t xml:space="preserve">Censo → </w:t>
            </w:r>
            <w:r>
              <w:rPr>
                <w:rFonts w:ascii="Consolas" w:hAnsi="Consolas"/>
                <w:sz w:val="18"/>
              </w:rPr>
              <w:t>painel_escola_ano_pe_estadual_em.parquet</w:t>
            </w:r>
            <w:r/>
          </w:p>
        </w:tc>
      </w:tr>
      <w:tr>
        <w:tc>
          <w:tcPr>
            <w:tcW w:type="dxa" w:w="2438"/>
          </w:tcPr>
          <w:p>
            <w:r/>
            <w:r/>
            <w:r>
              <w:rPr>
                <w:rFonts w:ascii="Consolas" w:hAnsi="Consolas"/>
                <w:sz w:val="18"/>
              </w:rPr>
              <w:t>build_taxas_rendimento.py</w:t>
            </w:r>
            <w:r/>
          </w:p>
        </w:tc>
        <w:tc>
          <w:tcPr>
            <w:tcW w:type="dxa" w:w="4649"/>
          </w:tcPr>
          <w:p>
            <w:r/>
            <w:r>
              <w:t>ETL das Taxas de Rendimento (aprovação, reprovação e abandono do EM, por série).</w:t>
            </w:r>
          </w:p>
        </w:tc>
        <w:tc>
          <w:tcPr>
            <w:tcW w:type="dxa" w:w="2551"/>
          </w:tcPr>
          <w:p>
            <w:r/>
            <w:r>
              <w:t xml:space="preserve">xlsx INEP → </w:t>
            </w:r>
            <w:r>
              <w:rPr>
                <w:rFonts w:ascii="Consolas" w:hAnsi="Consolas"/>
                <w:sz w:val="18"/>
              </w:rPr>
              <w:t>taxas_rendimento_pe_estadual_em.parquet</w:t>
            </w:r>
            <w:r/>
          </w:p>
        </w:tc>
      </w:tr>
      <w:tr>
        <w:tc>
          <w:tcPr>
            <w:tcW w:type="dxa" w:w="2438"/>
          </w:tcPr>
          <w:p>
            <w:r/>
            <w:r/>
            <w:r>
              <w:rPr>
                <w:rFonts w:ascii="Consolas" w:hAnsi="Consolas"/>
                <w:sz w:val="18"/>
              </w:rPr>
              <w:t>build_tdi.py</w:t>
            </w:r>
            <w:r/>
          </w:p>
        </w:tc>
        <w:tc>
          <w:tcPr>
            <w:tcW w:type="dxa" w:w="4649"/>
          </w:tcPr>
          <w:p>
            <w:r/>
            <w:r>
              <w:t>ETL da Taxa de Distorção Idade-Série.</w:t>
            </w:r>
          </w:p>
        </w:tc>
        <w:tc>
          <w:tcPr>
            <w:tcW w:type="dxa" w:w="2551"/>
          </w:tcPr>
          <w:p>
            <w:r/>
            <w:r>
              <w:t xml:space="preserve">xlsx INEP → </w:t>
            </w:r>
            <w:r>
              <w:rPr>
                <w:rFonts w:ascii="Consolas" w:hAnsi="Consolas"/>
                <w:sz w:val="18"/>
              </w:rPr>
              <w:t>tdi_pe_estadual.parquet</w:t>
            </w:r>
            <w:r/>
          </w:p>
        </w:tc>
      </w:tr>
      <w:tr>
        <w:tc>
          <w:tcPr>
            <w:tcW w:type="dxa" w:w="2438"/>
          </w:tcPr>
          <w:p>
            <w:r/>
            <w:r/>
            <w:r>
              <w:rPr>
                <w:rFonts w:ascii="Consolas" w:hAnsi="Consolas"/>
                <w:sz w:val="18"/>
              </w:rPr>
              <w:t>build_afd.py</w:t>
            </w:r>
            <w:r/>
          </w:p>
        </w:tc>
        <w:tc>
          <w:tcPr>
            <w:tcW w:type="dxa" w:w="4649"/>
          </w:tcPr>
          <w:p>
            <w:r/>
            <w:r>
              <w:t>ETL da Adequação da Formação Docente (grupos 1–5).</w:t>
            </w:r>
          </w:p>
        </w:tc>
        <w:tc>
          <w:tcPr>
            <w:tcW w:type="dxa" w:w="2551"/>
          </w:tcPr>
          <w:p>
            <w:r/>
            <w:r>
              <w:t xml:space="preserve">xlsx INEP → </w:t>
            </w:r>
            <w:r>
              <w:rPr>
                <w:rFonts w:ascii="Consolas" w:hAnsi="Consolas"/>
                <w:sz w:val="18"/>
              </w:rPr>
              <w:t>afd_pe_estadual.parquet</w:t>
            </w:r>
            <w:r/>
          </w:p>
        </w:tc>
      </w:tr>
      <w:tr>
        <w:tc>
          <w:tcPr>
            <w:tcW w:type="dxa" w:w="2438"/>
          </w:tcPr>
          <w:p>
            <w:r/>
            <w:r/>
            <w:r>
              <w:rPr>
                <w:rFonts w:ascii="Consolas" w:hAnsi="Consolas"/>
                <w:sz w:val="18"/>
              </w:rPr>
              <w:t>build_ird.py</w:t>
            </w:r>
            <w:r/>
          </w:p>
        </w:tc>
        <w:tc>
          <w:tcPr>
            <w:tcW w:type="dxa" w:w="4649"/>
          </w:tcPr>
          <w:p>
            <w:r/>
            <w:r>
              <w:t>ETL do Indicador de Regularidade do Docente.</w:t>
            </w:r>
          </w:p>
        </w:tc>
        <w:tc>
          <w:tcPr>
            <w:tcW w:type="dxa" w:w="2551"/>
          </w:tcPr>
          <w:p>
            <w:r/>
            <w:r>
              <w:t xml:space="preserve">xlsx INEP → </w:t>
            </w:r>
            <w:r>
              <w:rPr>
                <w:rFonts w:ascii="Consolas" w:hAnsi="Consolas"/>
                <w:sz w:val="18"/>
              </w:rPr>
              <w:t>ird_pe_estadual.parquet</w:t>
            </w:r>
            <w:r/>
          </w:p>
        </w:tc>
      </w:tr>
      <w:tr>
        <w:tc>
          <w:tcPr>
            <w:tcW w:type="dxa" w:w="2438"/>
          </w:tcPr>
          <w:p>
            <w:r/>
            <w:r/>
            <w:r>
              <w:rPr>
                <w:rFonts w:ascii="Consolas" w:hAnsi="Consolas"/>
                <w:sz w:val="18"/>
              </w:rPr>
              <w:t>build_inse.py</w:t>
            </w:r>
            <w:r/>
          </w:p>
        </w:tc>
        <w:tc>
          <w:tcPr>
            <w:tcW w:type="dxa" w:w="4649"/>
          </w:tcPr>
          <w:p>
            <w:r/>
            <w:r>
              <w:t>ETL do Nível Socioeconômico (edição 2021, tratado como estático).</w:t>
            </w:r>
          </w:p>
        </w:tc>
        <w:tc>
          <w:tcPr>
            <w:tcW w:type="dxa" w:w="2551"/>
          </w:tcPr>
          <w:p>
            <w:r/>
            <w:r>
              <w:t xml:space="preserve">xlsx INEP → </w:t>
            </w:r>
            <w:r>
              <w:rPr>
                <w:rFonts w:ascii="Consolas" w:hAnsi="Consolas"/>
                <w:sz w:val="18"/>
              </w:rPr>
              <w:t>inse_pe_estadual.parquet</w:t>
            </w:r>
            <w:r/>
          </w:p>
        </w:tc>
      </w:tr>
      <w:tr>
        <w:tc>
          <w:tcPr>
            <w:tcW w:type="dxa" w:w="2438"/>
          </w:tcPr>
          <w:p>
            <w:r/>
            <w:r/>
            <w:r>
              <w:rPr>
                <w:rFonts w:ascii="Consolas" w:hAnsi="Consolas"/>
                <w:sz w:val="18"/>
              </w:rPr>
              <w:t>build_esforco_docente.py</w:t>
            </w:r>
            <w:r/>
          </w:p>
        </w:tc>
        <w:tc>
          <w:tcPr>
            <w:tcW w:type="dxa" w:w="4649"/>
          </w:tcPr>
          <w:p>
            <w:r/>
            <w:r>
              <w:t>ETL do Indicador de Esforço Docente (IED).</w:t>
            </w:r>
          </w:p>
        </w:tc>
        <w:tc>
          <w:tcPr>
            <w:tcW w:type="dxa" w:w="2551"/>
          </w:tcPr>
          <w:p>
            <w:r/>
            <w:r>
              <w:t xml:space="preserve">xlsx INEP → </w:t>
            </w:r>
            <w:r>
              <w:rPr>
                <w:rFonts w:ascii="Consolas" w:hAnsi="Consolas"/>
                <w:sz w:val="18"/>
              </w:rPr>
              <w:t>ied_pe_estadual.parquet</w:t>
            </w:r>
            <w:r/>
          </w:p>
        </w:tc>
      </w:tr>
      <w:tr>
        <w:tc>
          <w:tcPr>
            <w:tcW w:type="dxa" w:w="2438"/>
          </w:tcPr>
          <w:p>
            <w:r/>
            <w:r/>
            <w:r>
              <w:rPr>
                <w:rFonts w:ascii="Consolas" w:hAnsi="Consolas"/>
                <w:sz w:val="18"/>
              </w:rPr>
              <w:t>build_complexidade_gestao.py</w:t>
            </w:r>
            <w:r/>
          </w:p>
        </w:tc>
        <w:tc>
          <w:tcPr>
            <w:tcW w:type="dxa" w:w="4649"/>
          </w:tcPr>
          <w:p>
            <w:r/>
            <w:r>
              <w:t>ETL da Complexidade de Gestão da Escola (ICG).</w:t>
            </w:r>
          </w:p>
        </w:tc>
        <w:tc>
          <w:tcPr>
            <w:tcW w:type="dxa" w:w="2551"/>
          </w:tcPr>
          <w:p>
            <w:r/>
            <w:r>
              <w:t xml:space="preserve">xlsx INEP → </w:t>
            </w:r>
            <w:r>
              <w:rPr>
                <w:rFonts w:ascii="Consolas" w:hAnsi="Consolas"/>
                <w:sz w:val="18"/>
              </w:rPr>
              <w:t>icg_pe_estadual.parquet</w:t>
            </w:r>
            <w:r/>
          </w:p>
        </w:tc>
      </w:tr>
      <w:tr>
        <w:tc>
          <w:tcPr>
            <w:tcW w:type="dxa" w:w="2438"/>
          </w:tcPr>
          <w:p>
            <w:r/>
            <w:r/>
            <w:r>
              <w:rPr>
                <w:rFonts w:ascii="Consolas" w:hAnsi="Consolas"/>
                <w:sz w:val="18"/>
              </w:rPr>
              <w:t>build_target.py</w:t>
            </w:r>
            <w:r/>
          </w:p>
        </w:tc>
        <w:tc>
          <w:tcPr>
            <w:tcW w:type="dxa" w:w="4649"/>
          </w:tcPr>
          <w:p>
            <w:r/>
            <w:r>
              <w:t xml:space="preserve">Constrói o alvo </w:t>
            </w:r>
            <w:r>
              <w:rPr>
                <w:rFonts w:ascii="Consolas" w:hAnsi="Consolas"/>
                <w:sz w:val="18"/>
              </w:rPr>
              <w:t>taxa_abandono_t1</w:t>
            </w:r>
            <w:r>
              <w:t>: o abandono do EM no ano seguinte, que é o que o sistema aprende a prever.</w:t>
            </w:r>
          </w:p>
        </w:tc>
        <w:tc>
          <w:tcPr>
            <w:tcW w:type="dxa" w:w="2551"/>
          </w:tcPr>
          <w:p>
            <w:r/>
            <w:r>
              <w:t>taxas → alvo por escola/ano</w:t>
            </w:r>
          </w:p>
        </w:tc>
      </w:tr>
    </w:tbl>
    <w:p/>
    <w:p>
      <w:pPr>
        <w:pStyle w:val="Heading1"/>
      </w:pPr>
      <w:r>
        <w:rPr>
          <w:color w:val="1F4E9B"/>
        </w:rPr>
        <w:t>3. Engenharia de características (src/features/)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38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4649"/>
          </w:tcPr>
          <w:p>
            <w:r>
              <w:rPr>
                <w:b/>
              </w:rPr>
              <w:t>O que faz</w:t>
            </w:r>
          </w:p>
        </w:tc>
        <w:tc>
          <w:tcPr>
            <w:tcW w:type="dxa" w:w="2551"/>
          </w:tcPr>
          <w:p>
            <w:r>
              <w:rPr>
                <w:b/>
              </w:rPr>
              <w:t>Entrada → Saída</w:t>
            </w:r>
          </w:p>
        </w:tc>
      </w:tr>
      <w:tr>
        <w:tc>
          <w:tcPr>
            <w:tcW w:type="dxa" w:w="2438"/>
          </w:tcPr>
          <w:p>
            <w:r/>
            <w:r/>
            <w:r>
              <w:rPr>
                <w:rFonts w:ascii="Consolas" w:hAnsi="Consolas"/>
                <w:sz w:val="18"/>
              </w:rPr>
              <w:t>build_features.py</w:t>
            </w:r>
            <w:r/>
          </w:p>
        </w:tc>
        <w:tc>
          <w:tcPr>
            <w:tcW w:type="dxa" w:w="4649"/>
          </w:tcPr>
          <w:p>
            <w:r/>
            <w:r>
              <w:t xml:space="preserve">Junta o painel do Censo com todos os indicadores e os lags das taxas, casa no tempo as características do ano t com o abandono do ano t+1, imputa as ausências (média da mesorregião × ano) e produz o conjunto final de modelagem — 1.586 observações e 39 características, sem lacunas. Define também </w:t>
            </w:r>
            <w:r>
              <w:rPr>
                <w:rFonts w:ascii="Consolas" w:hAnsi="Consolas"/>
                <w:sz w:val="18"/>
              </w:rPr>
              <w:t>ID_COLS</w:t>
            </w:r>
            <w:r>
              <w:t xml:space="preserve"> (colunas de identificação que não entram no modelo).</w:t>
            </w:r>
          </w:p>
        </w:tc>
        <w:tc>
          <w:tcPr>
            <w:tcW w:type="dxa" w:w="2551"/>
          </w:tcPr>
          <w:p>
            <w:r/>
            <w:r>
              <w:t xml:space="preserve">8 parquets interim → </w:t>
            </w:r>
            <w:r>
              <w:rPr>
                <w:rFonts w:ascii="Consolas" w:hAnsi="Consolas"/>
                <w:sz w:val="18"/>
              </w:rPr>
              <w:t>data/processed/features.parquet</w:t>
            </w:r>
            <w:r/>
          </w:p>
        </w:tc>
      </w:tr>
    </w:tbl>
    <w:p/>
    <w:p>
      <w:pPr>
        <w:pStyle w:val="Heading1"/>
      </w:pPr>
      <w:r>
        <w:rPr>
          <w:color w:val="1F4E9B"/>
        </w:rPr>
        <w:t>4. Modelagem (src/models/)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41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7597"/>
          </w:tcPr>
          <w:p>
            <w:r>
              <w:rPr>
                <w:b/>
              </w:rPr>
              <w:t>O que faz</w:t>
            </w:r>
          </w:p>
        </w:tc>
      </w:tr>
      <w:tr>
        <w:tc>
          <w:tcPr>
            <w:tcW w:type="dxa" w:w="2041"/>
          </w:tcPr>
          <w:p>
            <w:r/>
            <w:r/>
            <w:r>
              <w:rPr>
                <w:rFonts w:ascii="Consolas" w:hAnsi="Consolas"/>
                <w:sz w:val="18"/>
              </w:rPr>
              <w:t>train.py</w:t>
            </w:r>
            <w:r/>
          </w:p>
        </w:tc>
        <w:tc>
          <w:tcPr>
            <w:tcW w:type="dxa" w:w="7597"/>
          </w:tcPr>
          <w:p>
            <w:r/>
            <w:r>
              <w:t xml:space="preserve">Coração da modelagem. Define o pré-processador comum (imputação, padronização e one-hot da mesorregião), os pipelines dos três modelos (Ridge, Random Forest e XGBoost), as transformações de alvo, o split temporal e a busca de hiperparâmetros por </w:t>
            </w:r>
            <w:r>
              <w:rPr>
                <w:rFonts w:ascii="Consolas" w:hAnsi="Consolas"/>
                <w:sz w:val="18"/>
              </w:rPr>
              <w:t>GridSearchCV</w:t>
            </w:r>
            <w:r>
              <w:t xml:space="preserve"> com </w:t>
            </w:r>
            <w:r>
              <w:rPr>
                <w:rFonts w:ascii="Consolas" w:hAnsi="Consolas"/>
                <w:sz w:val="18"/>
              </w:rPr>
              <w:t>GroupKFold</w:t>
            </w:r>
            <w:r>
              <w:t xml:space="preserve"> por município. Também salva e carrega os modelos treinados (</w:t>
            </w:r>
            <w:r>
              <w:rPr>
                <w:rFonts w:ascii="Consolas" w:hAnsi="Consolas"/>
                <w:sz w:val="18"/>
              </w:rPr>
              <w:t>models/*.joblib</w:t>
            </w:r>
            <w:r>
              <w:t>).</w:t>
            </w:r>
          </w:p>
        </w:tc>
      </w:tr>
      <w:tr>
        <w:tc>
          <w:tcPr>
            <w:tcW w:type="dxa" w:w="2041"/>
          </w:tcPr>
          <w:p>
            <w:r/>
            <w:r/>
            <w:r>
              <w:rPr>
                <w:rFonts w:ascii="Consolas" w:hAnsi="Consolas"/>
                <w:sz w:val="18"/>
              </w:rPr>
              <w:t>evaluate.py</w:t>
            </w:r>
            <w:r/>
          </w:p>
        </w:tc>
        <w:tc>
          <w:tcPr>
            <w:tcW w:type="dxa" w:w="7597"/>
          </w:tcPr>
          <w:p>
            <w:r/>
            <w:r>
              <w:t>Métricas de avaliação (RMSE, MAE, R², correlação de Spearman e Precision@K) e o laço de validação cruzada agrupada por município, que evita vazamento entre escolas vizinhas.</w:t>
            </w:r>
          </w:p>
        </w:tc>
      </w:tr>
      <w:tr>
        <w:tc>
          <w:tcPr>
            <w:tcW w:type="dxa" w:w="2041"/>
          </w:tcPr>
          <w:p>
            <w:r/>
            <w:r/>
            <w:r>
              <w:rPr>
                <w:rFonts w:ascii="Consolas" w:hAnsi="Consolas"/>
                <w:sz w:val="18"/>
              </w:rPr>
              <w:t>explain.py</w:t>
            </w:r>
            <w:r/>
          </w:p>
        </w:tc>
        <w:tc>
          <w:tcPr>
            <w:tcW w:type="dxa" w:w="7597"/>
          </w:tcPr>
          <w:p>
            <w:r/>
            <w:r>
              <w:t xml:space="preserve">Explicabilidade do modelo final: desembrulha o XGBoost, monta o </w:t>
            </w:r>
            <w:r>
              <w:rPr>
                <w:rFonts w:ascii="Consolas" w:hAnsi="Consolas"/>
                <w:sz w:val="18"/>
              </w:rPr>
              <w:t>TreeExplainer</w:t>
            </w:r>
            <w:r>
              <w:t xml:space="preserve"> do SHAP, calcula a contribuição de cada característica (global e por escola), a direção de cada uma e a análise de resíduos por grupo (equidade e validação temporal).</w:t>
            </w:r>
          </w:p>
        </w:tc>
      </w:tr>
    </w:tbl>
    <w:p/>
    <w:p>
      <w:pPr>
        <w:pStyle w:val="Heading1"/>
      </w:pPr>
      <w:r>
        <w:rPr>
          <w:color w:val="1F4E9B"/>
        </w:rPr>
        <w:t>5. Serviço e painel (src/recommend/ + app/)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7030"/>
          </w:tcPr>
          <w:p>
            <w:r>
              <w:rPr>
                <w:b/>
              </w:rPr>
              <w:t>O que faz</w:t>
            </w:r>
          </w:p>
        </w:tc>
      </w:tr>
      <w:tr>
        <w:tc>
          <w:tcPr>
            <w:tcW w:type="dxa" w:w="2608"/>
          </w:tcPr>
          <w:p>
            <w:r/>
            <w:r/>
            <w:r>
              <w:rPr>
                <w:rFonts w:ascii="Consolas" w:hAnsi="Consolas"/>
                <w:sz w:val="18"/>
              </w:rPr>
              <w:t>src/recommend/labels.py</w:t>
            </w:r>
            <w:r/>
          </w:p>
        </w:tc>
        <w:tc>
          <w:tcPr>
            <w:tcW w:type="dxa" w:w="7030"/>
          </w:tcPr>
          <w:p>
            <w:r/>
            <w:r>
              <w:t>Traduz o vocabulário técnico para o do gestor: mapeia as 39 características para nomes legíveis em português e resolve os códigos de mesorregião do IBGE.</w:t>
            </w:r>
          </w:p>
        </w:tc>
      </w:tr>
      <w:tr>
        <w:tc>
          <w:tcPr>
            <w:tcW w:type="dxa" w:w="2608"/>
          </w:tcPr>
          <w:p>
            <w:r/>
            <w:r/>
            <w:r>
              <w:rPr>
                <w:rFonts w:ascii="Consolas" w:hAnsi="Consolas"/>
                <w:sz w:val="18"/>
              </w:rPr>
              <w:t>src/recommend/service.py</w:t>
            </w:r>
            <w:r/>
          </w:p>
        </w:tc>
        <w:tc>
          <w:tcPr>
            <w:tcW w:type="dxa" w:w="7030"/>
          </w:tcPr>
          <w:p>
            <w:r/>
            <w:r>
              <w:t>Camada de serviço (</w:t>
            </w:r>
            <w:r>
              <w:rPr>
                <w:rFonts w:ascii="Consolas" w:hAnsi="Consolas"/>
                <w:sz w:val="18"/>
              </w:rPr>
              <w:t>ServicoPriorizacao</w:t>
            </w:r>
            <w:r>
              <w:t xml:space="preserve">) que separa a regra de negócio da interface: carrega o modelo e o </w:t>
            </w:r>
            <w:r>
              <w:rPr>
                <w:rFonts w:ascii="Consolas" w:hAnsi="Consolas"/>
                <w:sz w:val="18"/>
              </w:rPr>
              <w:t>features.parquet</w:t>
            </w:r>
            <w:r>
              <w:t>, produz o ranking de risco, a explicação por escola (via SHAP) e os resumos por grupo. O SHAP de todas as escolas é calculado uma vez na construção.</w:t>
            </w:r>
          </w:p>
        </w:tc>
      </w:tr>
      <w:tr>
        <w:tc>
          <w:tcPr>
            <w:tcW w:type="dxa" w:w="2608"/>
          </w:tcPr>
          <w:p>
            <w:r/>
            <w:r/>
            <w:r>
              <w:rPr>
                <w:rFonts w:ascii="Consolas" w:hAnsi="Consolas"/>
                <w:sz w:val="18"/>
              </w:rPr>
              <w:t>app/dashboard.py</w:t>
            </w:r>
            <w:r/>
          </w:p>
        </w:tc>
        <w:tc>
          <w:tcPr>
            <w:tcW w:type="dxa" w:w="7030"/>
          </w:tcPr>
          <w:p>
            <w:r/>
            <w:r>
              <w:t xml:space="preserve">Painel Streamlit entregue ao gestor (Cenário A: prioriza e explica, sem prescrever ações). Três abas — Ranking de risco, Detalhe da escola e Panorama —, com filtros, gráficos e download em CSV. Roda com </w:t>
            </w:r>
            <w:r>
              <w:rPr>
                <w:rFonts w:ascii="Consolas" w:hAnsi="Consolas"/>
                <w:sz w:val="18"/>
              </w:rPr>
              <w:t>streamlit run app/dashboard.py</w:t>
            </w:r>
            <w:r>
              <w:t>.</w:t>
            </w:r>
          </w:p>
        </w:tc>
      </w:tr>
    </w:tbl>
    <w:p/>
    <w:p>
      <w:pPr>
        <w:pStyle w:val="Heading1"/>
      </w:pPr>
      <w:r>
        <w:rPr>
          <w:color w:val="1F4E9B"/>
        </w:rPr>
        <w:t>6. Notebooks — análises, ajuste e figuras (notebooks/)</w:t>
      </w:r>
    </w:p>
    <w:p>
      <w:r>
        <w:rPr>
          <w:i w:val="0"/>
        </w:rPr>
        <w:t>Os notebooks são scripts reprodutíveis (não cadernos Jupyter): cada um roda de ponta a ponta e grava suas saídas em reports/. Importam o comum.py e as camadas src/. Ordem que importa: rodar o 05 e o 08 antes do 07 (o 07 carrega o modelo do disco).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7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463"/>
          </w:tcPr>
          <w:p>
            <w:r>
              <w:rPr>
                <w:b/>
              </w:rPr>
              <w:t>O que faz</w:t>
            </w:r>
          </w:p>
        </w:tc>
      </w:tr>
      <w:tr>
        <w:tc>
          <w:tcPr>
            <w:tcW w:type="dxa" w:w="3175"/>
          </w:tcPr>
          <w:p>
            <w:r/>
            <w:r/>
            <w:r>
              <w:rPr>
                <w:rFonts w:ascii="Consolas" w:hAnsi="Consolas"/>
                <w:sz w:val="18"/>
              </w:rPr>
              <w:t>01_exploracao_inicial.py</w:t>
            </w:r>
            <w:r/>
          </w:p>
        </w:tc>
        <w:tc>
          <w:tcPr>
            <w:tcW w:type="dxa" w:w="6463"/>
          </w:tcPr>
          <w:p>
            <w:r/>
            <w:r>
              <w:t>Primeira exploração do painel de escolas.</w:t>
            </w:r>
          </w:p>
        </w:tc>
      </w:tr>
      <w:tr>
        <w:tc>
          <w:tcPr>
            <w:tcW w:type="dxa" w:w="3175"/>
          </w:tcPr>
          <w:p>
            <w:r/>
            <w:r/>
            <w:r>
              <w:rPr>
                <w:rFonts w:ascii="Consolas" w:hAnsi="Consolas"/>
                <w:sz w:val="18"/>
              </w:rPr>
              <w:t>02_analises_descritivas.py</w:t>
            </w:r>
            <w:r/>
          </w:p>
        </w:tc>
        <w:tc>
          <w:tcPr>
            <w:tcW w:type="dxa" w:w="6463"/>
          </w:tcPr>
          <w:p>
            <w:r/>
            <w:r>
              <w:t>Análises descritivas do universo (infraestrutura, porte, localização) — sem alvo ainda.</w:t>
            </w:r>
          </w:p>
        </w:tc>
      </w:tr>
      <w:tr>
        <w:tc>
          <w:tcPr>
            <w:tcW w:type="dxa" w:w="3175"/>
          </w:tcPr>
          <w:p>
            <w:r/>
            <w:r/>
            <w:r>
              <w:rPr>
                <w:rFonts w:ascii="Consolas" w:hAnsi="Consolas"/>
                <w:sz w:val="18"/>
              </w:rPr>
              <w:t>03_analises_taxas_rendimento.py</w:t>
            </w:r>
            <w:r/>
          </w:p>
        </w:tc>
        <w:tc>
          <w:tcPr>
            <w:tcW w:type="dxa" w:w="6463"/>
          </w:tcPr>
          <w:p>
            <w:r/>
            <w:r>
              <w:t>Descritivas das taxas de rendimento (aprovação/reprovação/abandono).</w:t>
            </w:r>
          </w:p>
        </w:tc>
      </w:tr>
      <w:tr>
        <w:tc>
          <w:tcPr>
            <w:tcW w:type="dxa" w:w="3175"/>
          </w:tcPr>
          <w:p>
            <w:r/>
            <w:r/>
            <w:r>
              <w:rPr>
                <w:rFonts w:ascii="Consolas" w:hAnsi="Consolas"/>
                <w:sz w:val="18"/>
              </w:rPr>
              <w:t>04_analises_indicadores.py</w:t>
            </w:r>
            <w:r/>
          </w:p>
        </w:tc>
        <w:tc>
          <w:tcPr>
            <w:tcW w:type="dxa" w:w="6463"/>
          </w:tcPr>
          <w:p>
            <w:r/>
            <w:r>
              <w:t>Descritivas dos indicadores complementares (INSE, TDI, AFD, IRD, IED, ICG).</w:t>
            </w:r>
          </w:p>
        </w:tc>
      </w:tr>
      <w:tr>
        <w:tc>
          <w:tcPr>
            <w:tcW w:type="dxa" w:w="3175"/>
          </w:tcPr>
          <w:p>
            <w:r/>
            <w:r/>
            <w:r>
              <w:rPr>
                <w:rFonts w:ascii="Consolas" w:hAnsi="Consolas"/>
                <w:sz w:val="18"/>
              </w:rPr>
              <w:t>05_feature_engineering.py</w:t>
            </w:r>
            <w:r/>
          </w:p>
        </w:tc>
        <w:tc>
          <w:tcPr>
            <w:tcW w:type="dxa" w:w="6463"/>
          </w:tcPr>
          <w:p>
            <w:r/>
            <w:r>
              <w:t>Análise do conjunto final de modelagem (correlações com o alvo, cobertura).</w:t>
            </w:r>
          </w:p>
        </w:tc>
      </w:tr>
      <w:tr>
        <w:tc>
          <w:tcPr>
            <w:tcW w:type="dxa" w:w="3175"/>
          </w:tcPr>
          <w:p>
            <w:r/>
            <w:r/>
            <w:r>
              <w:rPr>
                <w:rFonts w:ascii="Consolas" w:hAnsi="Consolas"/>
                <w:sz w:val="18"/>
              </w:rPr>
              <w:t>06_baseline_modelos.py</w:t>
            </w:r>
            <w:r/>
          </w:p>
        </w:tc>
        <w:tc>
          <w:tcPr>
            <w:tcW w:type="dxa" w:w="6463"/>
          </w:tcPr>
          <w:p>
            <w:r/>
            <w:r>
              <w:t>Modelos de referência (Ridge e Random Forest) e transformações de alvo.</w:t>
            </w:r>
          </w:p>
        </w:tc>
      </w:tr>
      <w:tr>
        <w:tc>
          <w:tcPr>
            <w:tcW w:type="dxa" w:w="3175"/>
          </w:tcPr>
          <w:p>
            <w:r/>
            <w:r/>
            <w:r>
              <w:rPr>
                <w:rFonts w:ascii="Consolas" w:hAnsi="Consolas"/>
                <w:sz w:val="18"/>
              </w:rPr>
              <w:t>07_avaliacao_complementar.py</w:t>
            </w:r>
            <w:r/>
          </w:p>
        </w:tc>
        <w:tc>
          <w:tcPr>
            <w:tcW w:type="dxa" w:w="6463"/>
          </w:tcPr>
          <w:p>
            <w:r/>
            <w:r>
              <w:t>Avaliação do modelo adotado: validação repetida, ranking por K, ROC-AUC e resíduos (Quadros 9 e 10).</w:t>
            </w:r>
          </w:p>
        </w:tc>
      </w:tr>
      <w:tr>
        <w:tc>
          <w:tcPr>
            <w:tcW w:type="dxa" w:w="3175"/>
          </w:tcPr>
          <w:p>
            <w:r/>
            <w:r/>
            <w:r>
              <w:rPr>
                <w:rFonts w:ascii="Consolas" w:hAnsi="Consolas"/>
                <w:sz w:val="18"/>
              </w:rPr>
              <w:t>08_tuning_xgboost.py</w:t>
            </w:r>
            <w:r/>
          </w:p>
        </w:tc>
        <w:tc>
          <w:tcPr>
            <w:tcW w:type="dxa" w:w="6463"/>
          </w:tcPr>
          <w:p>
            <w:r/>
            <w:r>
              <w:t>Busca de hiperparâmetros do XGBoost e treino do modelo final (</w:t>
            </w:r>
            <w:r>
              <w:rPr>
                <w:rFonts w:ascii="Consolas" w:hAnsi="Consolas"/>
                <w:sz w:val="18"/>
              </w:rPr>
              <w:t>xgboost_v1.joblib</w:t>
            </w:r>
            <w:r>
              <w:t>).</w:t>
            </w:r>
          </w:p>
        </w:tc>
      </w:tr>
      <w:tr>
        <w:tc>
          <w:tcPr>
            <w:tcW w:type="dxa" w:w="3175"/>
          </w:tcPr>
          <w:p>
            <w:r/>
            <w:r/>
            <w:r>
              <w:rPr>
                <w:rFonts w:ascii="Consolas" w:hAnsi="Consolas"/>
                <w:sz w:val="18"/>
              </w:rPr>
              <w:t>09_shap_diagnostico.py</w:t>
            </w:r>
            <w:r/>
          </w:p>
        </w:tc>
        <w:tc>
          <w:tcPr>
            <w:tcW w:type="dxa" w:w="6463"/>
          </w:tcPr>
          <w:p>
            <w:r/>
            <w:r>
              <w:t>Explicações por SHAP e diagnóstico de resíduos (figuras S1–S5).</w:t>
            </w:r>
          </w:p>
        </w:tc>
      </w:tr>
      <w:tr>
        <w:tc>
          <w:tcPr>
            <w:tcW w:type="dxa" w:w="3175"/>
          </w:tcPr>
          <w:p>
            <w:r/>
            <w:r/>
            <w:r>
              <w:rPr>
                <w:rFonts w:ascii="Consolas" w:hAnsi="Consolas"/>
                <w:sz w:val="18"/>
              </w:rPr>
              <w:t>10_diagramas_arquitetura.py</w:t>
            </w:r>
            <w:r/>
          </w:p>
        </w:tc>
        <w:tc>
          <w:tcPr>
            <w:tcW w:type="dxa" w:w="6463"/>
          </w:tcPr>
          <w:p>
            <w:r/>
            <w:r>
              <w:t>Gera os diagramas de arquitetura (modelo 4+1) do Capítulo 4.</w:t>
            </w:r>
          </w:p>
        </w:tc>
      </w:tr>
      <w:tr>
        <w:tc>
          <w:tcPr>
            <w:tcW w:type="dxa" w:w="3175"/>
          </w:tcPr>
          <w:p>
            <w:r/>
            <w:r/>
            <w:r>
              <w:rPr>
                <w:rFonts w:ascii="Consolas" w:hAnsi="Consolas"/>
                <w:sz w:val="18"/>
              </w:rPr>
              <w:t>11_avaliacao_ied_icg.py</w:t>
            </w:r>
            <w:r/>
          </w:p>
        </w:tc>
        <w:tc>
          <w:tcPr>
            <w:tcW w:type="dxa" w:w="6463"/>
          </w:tcPr>
          <w:p>
            <w:r/>
            <w:r>
              <w:t>Ablação que avaliou IED e ICG como features — e mostrou que não agregavam.</w:t>
            </w:r>
          </w:p>
        </w:tc>
      </w:tr>
      <w:tr>
        <w:tc>
          <w:tcPr>
            <w:tcW w:type="dxa" w:w="3175"/>
          </w:tcPr>
          <w:p>
            <w:r/>
            <w:r/>
            <w:r>
              <w:rPr>
                <w:rFonts w:ascii="Consolas" w:hAnsi="Consolas"/>
                <w:sz w:val="18"/>
              </w:rPr>
              <w:t>12_figuras_monografia.py</w:t>
            </w:r>
            <w:r/>
          </w:p>
        </w:tc>
        <w:tc>
          <w:tcPr>
            <w:tcW w:type="dxa" w:w="6463"/>
          </w:tcPr>
          <w:p>
            <w:r/>
            <w:r>
              <w:t>Figuras em linguagem de gestor (concentração do abandono, alvo, características, desempenho).</w:t>
            </w:r>
          </w:p>
        </w:tc>
      </w:tr>
      <w:tr>
        <w:tc>
          <w:tcPr>
            <w:tcW w:type="dxa" w:w="3175"/>
          </w:tcPr>
          <w:p>
            <w:r/>
            <w:r/>
            <w:r>
              <w:rPr>
                <w:rFonts w:ascii="Consolas" w:hAnsi="Consolas"/>
                <w:sz w:val="18"/>
              </w:rPr>
              <w:t>13_estatisticas_features.py</w:t>
            </w:r>
            <w:r/>
          </w:p>
        </w:tc>
        <w:tc>
          <w:tcPr>
            <w:tcW w:type="dxa" w:w="6463"/>
          </w:tcPr>
          <w:p>
            <w:r/>
            <w:r>
              <w:t>Análise estatística das 39 características (descritivas + testes).</w:t>
            </w:r>
          </w:p>
        </w:tc>
      </w:tr>
      <w:tr>
        <w:tc>
          <w:tcPr>
            <w:tcW w:type="dxa" w:w="3175"/>
          </w:tcPr>
          <w:p>
            <w:r/>
            <w:r/>
            <w:r>
              <w:rPr>
                <w:rFonts w:ascii="Consolas" w:hAnsi="Consolas"/>
                <w:sz w:val="18"/>
              </w:rPr>
              <w:t>14_ss13_cenarios_temporais.py</w:t>
            </w:r>
            <w:r/>
          </w:p>
        </w:tc>
        <w:tc>
          <w:tcPr>
            <w:tcW w:type="dxa" w:w="6463"/>
          </w:tcPr>
          <w:p>
            <w:r/>
            <w:r>
              <w:t>SS13: o modelo adotado nos dois cenários anuais (Quadro 11) e o resíduo em nº de alunos (Figura 14).</w:t>
            </w:r>
          </w:p>
        </w:tc>
      </w:tr>
      <w:tr>
        <w:tc>
          <w:tcPr>
            <w:tcW w:type="dxa" w:w="3175"/>
          </w:tcPr>
          <w:p>
            <w:r/>
            <w:r/>
            <w:r>
              <w:rPr>
                <w:rFonts w:ascii="Consolas" w:hAnsi="Consolas"/>
                <w:sz w:val="18"/>
              </w:rPr>
              <w:t>comum.py</w:t>
            </w:r>
            <w:r/>
          </w:p>
        </w:tc>
        <w:tc>
          <w:tcPr>
            <w:tcW w:type="dxa" w:w="6463"/>
          </w:tcPr>
          <w:p>
            <w:r/>
            <w:r>
              <w:t>Infraestrutura compartilhada (ver seção 1).</w:t>
            </w:r>
          </w:p>
        </w:tc>
      </w:tr>
    </w:tbl>
    <w:p/>
    <w:p>
      <w:pPr>
        <w:pStyle w:val="Heading1"/>
      </w:pPr>
      <w:r>
        <w:rPr>
          <w:color w:val="1F4E9B"/>
        </w:rPr>
        <w:t>7. Testes (tests/) — 114 casos</w:t>
      </w:r>
    </w:p>
    <w:p>
      <w:r>
        <w:rPr>
          <w:i w:val="0"/>
        </w:rPr>
        <w:t>Em um sistema que aprende com dados, os erros de preparação não interrompem a execução: produzem em silêncio um modelo inválido. Por isso os testes se concentram nos riscos que comprometeriam a validade dos resultados (vazamento, casamento temporal, integridade das bases).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>
              <w:rPr>
                <w:b/>
              </w:rPr>
              <w:t>Arquivo de teste</w:t>
            </w:r>
          </w:p>
        </w:tc>
        <w:tc>
          <w:tcPr>
            <w:tcW w:type="dxa" w:w="6236"/>
          </w:tcPr>
          <w:p>
            <w:r>
              <w:rPr>
                <w:b/>
              </w:rPr>
              <w:t>O que cobre</w:t>
            </w:r>
          </w:p>
        </w:tc>
      </w:tr>
      <w:tr>
        <w:tc>
          <w:tcPr>
            <w:tcW w:type="dxa" w:w="3402"/>
          </w:tcPr>
          <w:p>
            <w:r/>
            <w:r/>
            <w:r>
              <w:rPr>
                <w:rFonts w:ascii="Consolas" w:hAnsi="Consolas"/>
                <w:sz w:val="18"/>
              </w:rPr>
              <w:t>conftest.py</w:t>
            </w:r>
            <w:r/>
          </w:p>
        </w:tc>
        <w:tc>
          <w:tcPr>
            <w:tcW w:type="dxa" w:w="6236"/>
          </w:tcPr>
          <w:p>
            <w:r/>
            <w:r>
              <w:t>Fixtures compartilhadas pelos testes.</w:t>
            </w:r>
          </w:p>
        </w:tc>
      </w:tr>
      <w:tr>
        <w:tc>
          <w:tcPr>
            <w:tcW w:type="dxa" w:w="3402"/>
          </w:tcPr>
          <w:p>
            <w:r/>
            <w:r/>
            <w:r>
              <w:rPr>
                <w:rFonts w:ascii="Consolas" w:hAnsi="Consolas"/>
                <w:sz w:val="18"/>
              </w:rPr>
              <w:t>test_etl_filters.py</w:t>
            </w:r>
            <w:r/>
          </w:p>
        </w:tc>
        <w:tc>
          <w:tcPr>
            <w:tcW w:type="dxa" w:w="6236"/>
          </w:tcPr>
          <w:p>
            <w:r/>
            <w:r>
              <w:t>O recorte do universo (PE / estadual / com EM).</w:t>
            </w:r>
          </w:p>
        </w:tc>
      </w:tr>
      <w:tr>
        <w:tc>
          <w:tcPr>
            <w:tcW w:type="dxa" w:w="3402"/>
          </w:tcPr>
          <w:p>
            <w:r/>
            <w:r/>
            <w:r>
              <w:rPr>
                <w:rFonts w:ascii="Consolas" w:hAnsi="Consolas"/>
                <w:sz w:val="18"/>
              </w:rPr>
              <w:t>test_panel.py</w:t>
            </w:r>
            <w:r/>
          </w:p>
        </w:tc>
        <w:tc>
          <w:tcPr>
            <w:tcW w:type="dxa" w:w="6236"/>
          </w:tcPr>
          <w:p>
            <w:r/>
            <w:r>
              <w:t>A validação do painel escola × ano.</w:t>
            </w:r>
          </w:p>
        </w:tc>
      </w:tr>
      <w:tr>
        <w:tc>
          <w:tcPr>
            <w:tcW w:type="dxa" w:w="3402"/>
          </w:tcPr>
          <w:p>
            <w:r/>
            <w:r/>
            <w:r>
              <w:rPr>
                <w:rFonts w:ascii="Consolas" w:hAnsi="Consolas"/>
                <w:sz w:val="18"/>
              </w:rPr>
              <w:t>test_taxas.py</w:t>
            </w:r>
            <w:r/>
          </w:p>
        </w:tc>
        <w:tc>
          <w:tcPr>
            <w:tcW w:type="dxa" w:w="6236"/>
          </w:tcPr>
          <w:p>
            <w:r/>
            <w:r>
              <w:t>O ETL das taxas de rendimento.</w:t>
            </w:r>
          </w:p>
        </w:tc>
      </w:tr>
      <w:tr>
        <w:tc>
          <w:tcPr>
            <w:tcW w:type="dxa" w:w="3402"/>
          </w:tcPr>
          <w:p>
            <w:r/>
            <w:r/>
            <w:r>
              <w:rPr>
                <w:rFonts w:ascii="Consolas" w:hAnsi="Consolas"/>
                <w:sz w:val="18"/>
              </w:rPr>
              <w:t>test_build_target.py</w:t>
            </w:r>
            <w:r/>
          </w:p>
        </w:tc>
        <w:tc>
          <w:tcPr>
            <w:tcW w:type="dxa" w:w="6236"/>
          </w:tcPr>
          <w:p>
            <w:r/>
            <w:r>
              <w:t>A construção do alvo (abandono do ano seguinte).</w:t>
            </w:r>
          </w:p>
        </w:tc>
      </w:tr>
      <w:tr>
        <w:tc>
          <w:tcPr>
            <w:tcW w:type="dxa" w:w="3402"/>
          </w:tcPr>
          <w:p>
            <w:r/>
            <w:r/>
            <w:r>
              <w:rPr>
                <w:rFonts w:ascii="Consolas" w:hAnsi="Consolas"/>
                <w:sz w:val="18"/>
              </w:rPr>
              <w:t>test_nao_seriado.py</w:t>
            </w:r>
            <w:r/>
          </w:p>
        </w:tc>
        <w:tc>
          <w:tcPr>
            <w:tcW w:type="dxa" w:w="6236"/>
          </w:tcPr>
          <w:p>
            <w:r/>
            <w:r>
              <w:t>A flag de oferta de EM fora das séries regulares (SS8).</w:t>
            </w:r>
          </w:p>
        </w:tc>
      </w:tr>
      <w:tr>
        <w:tc>
          <w:tcPr>
            <w:tcW w:type="dxa" w:w="3402"/>
          </w:tcPr>
          <w:p>
            <w:r/>
            <w:r/>
            <w:r>
              <w:rPr>
                <w:rFonts w:ascii="Consolas" w:hAnsi="Consolas"/>
                <w:sz w:val="18"/>
              </w:rPr>
              <w:t>test_rastreabilidade_amostra.py</w:t>
            </w:r>
            <w:r/>
          </w:p>
        </w:tc>
        <w:tc>
          <w:tcPr>
            <w:tcW w:type="dxa" w:w="6236"/>
          </w:tcPr>
          <w:p>
            <w:r/>
            <w:r>
              <w:t>O rastro do painel histórico ao conjunto de modelagem (SS1).</w:t>
            </w:r>
          </w:p>
        </w:tc>
      </w:tr>
      <w:tr>
        <w:tc>
          <w:tcPr>
            <w:tcW w:type="dxa" w:w="3402"/>
          </w:tcPr>
          <w:p>
            <w:r/>
            <w:r/>
            <w:r>
              <w:rPr>
                <w:rFonts w:ascii="Consolas" w:hAnsi="Consolas"/>
                <w:sz w:val="18"/>
              </w:rPr>
              <w:t>test_indicadores_gestao.py</w:t>
            </w:r>
            <w:r/>
          </w:p>
        </w:tc>
        <w:tc>
          <w:tcPr>
            <w:tcW w:type="dxa" w:w="6236"/>
          </w:tcPr>
          <w:p>
            <w:r/>
            <w:r>
              <w:t>Os ETLs de IED e ICG.</w:t>
            </w:r>
          </w:p>
        </w:tc>
      </w:tr>
      <w:tr>
        <w:tc>
          <w:tcPr>
            <w:tcW w:type="dxa" w:w="3402"/>
          </w:tcPr>
          <w:p>
            <w:r/>
            <w:r/>
            <w:r>
              <w:rPr>
                <w:rFonts w:ascii="Consolas" w:hAnsi="Consolas"/>
                <w:sz w:val="18"/>
              </w:rPr>
              <w:t>test_models.py</w:t>
            </w:r>
            <w:r/>
          </w:p>
        </w:tc>
        <w:tc>
          <w:tcPr>
            <w:tcW w:type="dxa" w:w="6236"/>
          </w:tcPr>
          <w:p>
            <w:r/>
            <w:r>
              <w:t>As métricas e os pipelines de treino.</w:t>
            </w:r>
          </w:p>
        </w:tc>
      </w:tr>
      <w:tr>
        <w:tc>
          <w:tcPr>
            <w:tcW w:type="dxa" w:w="3402"/>
          </w:tcPr>
          <w:p>
            <w:r/>
            <w:r/>
            <w:r>
              <w:rPr>
                <w:rFonts w:ascii="Consolas" w:hAnsi="Consolas"/>
                <w:sz w:val="18"/>
              </w:rPr>
              <w:t>test_explain.py</w:t>
            </w:r>
            <w:r/>
          </w:p>
        </w:tc>
        <w:tc>
          <w:tcPr>
            <w:tcW w:type="dxa" w:w="6236"/>
          </w:tcPr>
          <w:p>
            <w:r/>
            <w:r>
              <w:t>A aditividade do SHAP e a análise de resíduos.</w:t>
            </w:r>
          </w:p>
        </w:tc>
      </w:tr>
      <w:tr>
        <w:tc>
          <w:tcPr>
            <w:tcW w:type="dxa" w:w="3402"/>
          </w:tcPr>
          <w:p>
            <w:r/>
            <w:r/>
            <w:r>
              <w:rPr>
                <w:rFonts w:ascii="Consolas" w:hAnsi="Consolas"/>
                <w:sz w:val="18"/>
              </w:rPr>
              <w:t>test_recommend.py</w:t>
            </w:r>
            <w:r/>
          </w:p>
        </w:tc>
        <w:tc>
          <w:tcPr>
            <w:tcW w:type="dxa" w:w="6236"/>
          </w:tcPr>
          <w:p>
            <w:r/>
            <w:r>
              <w:t>A camada de serviço do painel (ranking, explicação, filtros).</w:t>
            </w:r>
          </w:p>
        </w:tc>
      </w:tr>
      <w:tr>
        <w:tc>
          <w:tcPr>
            <w:tcW w:type="dxa" w:w="3402"/>
          </w:tcPr>
          <w:p>
            <w:r/>
            <w:r/>
            <w:r>
              <w:rPr>
                <w:rFonts w:ascii="Consolas" w:hAnsi="Consolas"/>
                <w:sz w:val="18"/>
              </w:rPr>
              <w:t>test_estatisticas_binarias.py</w:t>
            </w:r>
            <w:r/>
          </w:p>
        </w:tc>
        <w:tc>
          <w:tcPr>
            <w:tcW w:type="dxa" w:w="6236"/>
          </w:tcPr>
          <w:p>
            <w:r/>
            <w:r>
              <w:t>A descrição dos atributos de sim/não.</w:t>
            </w:r>
          </w:p>
        </w:tc>
      </w:tr>
    </w:tbl>
    <w:p/>
    <w:p>
      <w:pPr>
        <w:pStyle w:val="Heading1"/>
      </w:pPr>
      <w:r>
        <w:rPr>
          <w:color w:val="1F4E9B"/>
        </w:rPr>
        <w:t>8. Artefatos gerados (não versionados)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>
              <w:rPr>
                <w:b/>
              </w:rPr>
              <w:t>Artefato</w:t>
            </w:r>
          </w:p>
        </w:tc>
        <w:tc>
          <w:tcPr>
            <w:tcW w:type="dxa" w:w="6236"/>
          </w:tcPr>
          <w:p>
            <w:r>
              <w:rPr>
                <w:b/>
              </w:rPr>
              <w:t>O que é</w:t>
            </w:r>
          </w:p>
        </w:tc>
      </w:tr>
      <w:tr>
        <w:tc>
          <w:tcPr>
            <w:tcW w:type="dxa" w:w="3402"/>
          </w:tcPr>
          <w:p>
            <w:r/>
            <w:r/>
            <w:r>
              <w:rPr>
                <w:rFonts w:ascii="Consolas" w:hAnsi="Consolas"/>
                <w:sz w:val="18"/>
              </w:rPr>
              <w:t>data/raw/</w:t>
            </w:r>
            <w:r/>
          </w:p>
        </w:tc>
        <w:tc>
          <w:tcPr>
            <w:tcW w:type="dxa" w:w="6236"/>
          </w:tcPr>
          <w:p>
            <w:r/>
            <w:r>
              <w:t>Microdados e planilhas originais do INEP (entrada).</w:t>
            </w:r>
          </w:p>
        </w:tc>
      </w:tr>
      <w:tr>
        <w:tc>
          <w:tcPr>
            <w:tcW w:type="dxa" w:w="3402"/>
          </w:tcPr>
          <w:p>
            <w:r/>
            <w:r/>
            <w:r>
              <w:rPr>
                <w:rFonts w:ascii="Consolas" w:hAnsi="Consolas"/>
                <w:sz w:val="18"/>
              </w:rPr>
              <w:t>data/interim/*.parquet</w:t>
            </w:r>
            <w:r/>
          </w:p>
        </w:tc>
        <w:tc>
          <w:tcPr>
            <w:tcW w:type="dxa" w:w="6236"/>
          </w:tcPr>
          <w:p>
            <w:r/>
            <w:r>
              <w:t>8 parquets limpos, um por fonte (painel, taxas, TDI, AFD, IRD, INSE, IED, ICG).</w:t>
            </w:r>
          </w:p>
        </w:tc>
      </w:tr>
      <w:tr>
        <w:tc>
          <w:tcPr>
            <w:tcW w:type="dxa" w:w="3402"/>
          </w:tcPr>
          <w:p>
            <w:r/>
            <w:r/>
            <w:r>
              <w:rPr>
                <w:rFonts w:ascii="Consolas" w:hAnsi="Consolas"/>
                <w:sz w:val="18"/>
              </w:rPr>
              <w:t>data/processed/features.parquet</w:t>
            </w:r>
            <w:r/>
          </w:p>
        </w:tc>
        <w:tc>
          <w:tcPr>
            <w:tcW w:type="dxa" w:w="6236"/>
          </w:tcPr>
          <w:p>
            <w:r/>
            <w:r>
              <w:t>Conjunto final de modelagem (1.586 × 39 características + alvo).</w:t>
            </w:r>
          </w:p>
        </w:tc>
      </w:tr>
      <w:tr>
        <w:tc>
          <w:tcPr>
            <w:tcW w:type="dxa" w:w="3402"/>
          </w:tcPr>
          <w:p>
            <w:r/>
            <w:r/>
            <w:r>
              <w:rPr>
                <w:rFonts w:ascii="Consolas" w:hAnsi="Consolas"/>
                <w:sz w:val="18"/>
              </w:rPr>
              <w:t>models/*.joblib</w:t>
            </w:r>
            <w:r/>
          </w:p>
        </w:tc>
        <w:tc>
          <w:tcPr>
            <w:tcW w:type="dxa" w:w="6236"/>
          </w:tcPr>
          <w:p>
            <w:r/>
            <w:r>
              <w:t xml:space="preserve">Modelos treinados: </w:t>
            </w:r>
            <w:r>
              <w:rPr>
                <w:rFonts w:ascii="Consolas" w:hAnsi="Consolas"/>
                <w:sz w:val="18"/>
              </w:rPr>
              <w:t>baseline_ridge_v1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baseline_random_forest_v1</w:t>
            </w:r>
            <w:r>
              <w:t xml:space="preserve"> e </w:t>
            </w:r>
            <w:r>
              <w:rPr>
                <w:rFonts w:ascii="Consolas" w:hAnsi="Consolas"/>
                <w:sz w:val="18"/>
              </w:rPr>
              <w:t>xgboost_v1</w:t>
            </w:r>
            <w:r>
              <w:t xml:space="preserve"> (o adotado).</w:t>
            </w:r>
          </w:p>
        </w:tc>
      </w:tr>
      <w:tr>
        <w:tc>
          <w:tcPr>
            <w:tcW w:type="dxa" w:w="3402"/>
          </w:tcPr>
          <w:p>
            <w:r/>
            <w:r/>
            <w:r>
              <w:rPr>
                <w:rFonts w:ascii="Consolas" w:hAnsi="Consolas"/>
                <w:sz w:val="18"/>
              </w:rPr>
              <w:t>reports/figuras/</w:t>
            </w:r>
            <w:r/>
          </w:p>
        </w:tc>
        <w:tc>
          <w:tcPr>
            <w:tcW w:type="dxa" w:w="6236"/>
          </w:tcPr>
          <w:p>
            <w:r/>
            <w:r>
              <w:t>Todas as figuras (E1–E10, M5–M8, S1–S5, C, arq1–arq5…).</w:t>
            </w:r>
          </w:p>
        </w:tc>
      </w:tr>
      <w:tr>
        <w:tc>
          <w:tcPr>
            <w:tcW w:type="dxa" w:w="3402"/>
          </w:tcPr>
          <w:p>
            <w:r/>
            <w:r/>
            <w:r>
              <w:rPr>
                <w:rFonts w:ascii="Consolas" w:hAnsi="Consolas"/>
                <w:sz w:val="18"/>
              </w:rPr>
              <w:t>reports/*.csv</w:t>
            </w:r>
            <w:r/>
          </w:p>
        </w:tc>
        <w:tc>
          <w:tcPr>
            <w:tcW w:type="dxa" w:w="6236"/>
          </w:tcPr>
          <w:p>
            <w:r/>
            <w:r>
              <w:t>Métricas e tabelas reprodutíveis (baselines, CV repetida, XGBoost, SS13, resíduos, estatísticas).</w:t>
            </w:r>
          </w:p>
        </w:tc>
      </w:tr>
    </w:tbl>
    <w:p/>
    <w:p>
      <w:pPr>
        <w:pStyle w:val="Heading1"/>
      </w:pPr>
      <w:r>
        <w:rPr>
          <w:color w:val="1F4E9B"/>
        </w:rPr>
        <w:t>9. Ambiente e reprodutibilidade</w:t>
      </w:r>
    </w:p>
    <w:p>
      <w:r>
        <w:rPr>
          <w:i w:val="0"/>
        </w:rPr>
        <w:t>O arquivo requirements.txt fixa todas as versões com “==” (Python 3.14, scikit-learn 1.8.0, XGBoost 3.2.0). Isso é essencial: a partição da validação cruzada depende da versão do scikit-learn, então regerar qualquer número do Capítulo 6 exige este ambiente exato.</w:t>
      </w:r>
    </w:p>
    <w:p>
      <w:pPr>
        <w:pStyle w:val="Heading2"/>
      </w:pPr>
      <w:r>
        <w:rPr>
          <w:color w:val="1F4E9B"/>
        </w:rPr>
        <w:t>Ordem de execução do pipeline</w:t>
      </w:r>
    </w:p>
    <w:p>
      <w:r>
        <w:rPr>
          <w:rFonts w:ascii="Consolas" w:hAnsi="Consolas"/>
          <w:sz w:val="18"/>
        </w:rPr>
        <w:t>python -m src.features.build_features     # gera features.parquet</w:t>
        <w:br/>
        <w:t>python notebooks/08_tuning_xgboost.py     # treina e salva xgboost_v1.joblib</w:t>
        <w:br/>
        <w:t>python notebooks/07_avaliacao_complementar.py  # avalia (carrega o modelo)</w:t>
        <w:br/>
        <w:t>python notebooks/09_shap_diagnostico.py   # SHAP + resíduos</w:t>
        <w:br/>
        <w:t>python notebooks/12_figuras_monografia.py</w:t>
        <w:br/>
        <w:t>python notebooks/13_estatisticas_features.py</w:t>
        <w:br/>
        <w:t>python notebooks/14_ss13_cenarios_temporais.py</w:t>
        <w:br/>
        <w:t>streamlit run app/dashboard.py            # painel</w:t>
        <w:br/>
        <w:t>pytest tests/ -q                          # 114 testes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