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 prof.</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 xml:space="preserve"> 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ilvio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L</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uiz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tanzani</w:t>
      </w:r>
    </w:p>
    <w:p w14:paraId="64CE458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F9F7E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205C22E">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062C3D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A2BCCC7">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A626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EEDDFA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0A224A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B092B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São Paulo</w:t>
      </w:r>
    </w:p>
    <w:p w14:paraId="7833F3A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2026</w:t>
      </w:r>
    </w:p>
    <w:p w14:paraId="49B57538">
      <w:pPr>
        <w:pStyle w:val="3"/>
        <w:spacing w:before="0" w:after="0" w:line="259" w:lineRule="auto"/>
        <w:jc w:val="left"/>
        <w:rPr>
          <w:color w:val="000000"/>
        </w:rPr>
      </w:pPr>
      <w:r>
        <mc:AlternateContent>
          <mc:Choice Requires="wps">
            <w:drawing>
              <wp:anchor distT="6350" distB="6350" distL="6350" distR="6350" simplePos="0" relativeHeight="251659264" behindDoc="0" locked="0" layoutInCell="1" allowOverlap="1">
                <wp:simplePos x="0" y="0"/>
                <wp:positionH relativeFrom="column">
                  <wp:posOffset>18415</wp:posOffset>
                </wp:positionH>
                <wp:positionV relativeFrom="paragraph">
                  <wp:posOffset>-219710</wp:posOffset>
                </wp:positionV>
                <wp:extent cx="5746750" cy="1612900"/>
                <wp:effectExtent l="6350" t="6350" r="6350" b="6350"/>
                <wp:wrapNone/>
                <wp:docPr id="2" name="Shape 2"/>
                <wp:cNvGraphicFramePr/>
                <a:graphic xmlns:a="http://schemas.openxmlformats.org/drawingml/2006/main">
                  <a:graphicData uri="http://schemas.microsoft.com/office/word/2010/wordprocessingShape">
                    <wps:wsp>
                      <wps:cNvSpPr/>
                      <wps:spPr>
                        <a:xfrm>
                          <a:off x="0" y="0"/>
                          <a:ext cx="5746680" cy="1612800"/>
                        </a:xfrm>
                        <a:prstGeom prst="rect">
                          <a:avLst/>
                        </a:prstGeom>
                        <a:noFill/>
                        <a:ln w="12700">
                          <a:solidFill>
                            <a:srgbClr val="000000"/>
                          </a:solidFill>
                          <a:miter/>
                        </a:ln>
                      </wps:spPr>
                      <wps:style>
                        <a:lnRef idx="0">
                          <a:srgbClr val="FFFFFF"/>
                        </a:lnRef>
                        <a:fillRef idx="0">
                          <a:srgbClr val="FFFFFF"/>
                        </a:fillRef>
                        <a:effectRef idx="0">
                          <a:srgbClr val="FFFFFF"/>
                        </a:effectRef>
                        <a:fontRef idx="minor"/>
                      </wps:style>
                      <wps:txbx>
                        <w:txbxContent>
                          <w:p w14:paraId="5039EB54">
                            <w:pPr>
                              <w:pStyle w:val="29"/>
                              <w:spacing w:before="0" w:after="0" w:line="240" w:lineRule="auto"/>
                              <w:ind w:left="0" w:right="0" w:firstLine="0"/>
                              <w:jc w:val="left"/>
                              <w:rPr>
                                <w:color w:val="000000"/>
                              </w:rPr>
                            </w:pPr>
                          </w:p>
                        </w:txbxContent>
                      </wps:txbx>
                      <wps:bodyPr lIns="91440" tIns="91440" rIns="91440" bIns="91440" anchor="ctr">
                        <a:noAutofit/>
                      </wps:bodyPr>
                    </wps:wsp>
                  </a:graphicData>
                </a:graphic>
              </wp:anchor>
            </w:drawing>
          </mc:Choice>
          <mc:Fallback>
            <w:pict>
              <v:rect id="Shape 2" o:spid="_x0000_s1026" o:spt="1" style="position:absolute;left:0pt;margin-left:1.45pt;margin-top:-17.3pt;height:127pt;width:452.5pt;z-index:251659264;v-text-anchor:middle;mso-width-relative:page;mso-height-relative:page;" filled="f" stroked="t" coordsize="21600,21600" o:gfxdata="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BVoqLXAAAACQEAAA8AAAAAAAAAAQAgAAAA&#10;IgAAAGRycy9kb3ducmV2LnhtbFBLAQIUABQAAAAIAIdO4kCKZixS0wEAAM0DAAAOAAAAAAAAAAEA&#10;IAAAACYBAABkcnMvZTJvRG9jLnhtbFBLBQYAAAAABgAGAFkBAABrBQAAAAA=&#10;">
                <v:fill on="f" focussize="0,0"/>
                <v:stroke weight="1pt" color="#000000" joinstyle="miter"/>
                <v:imagedata o:title=""/>
                <o:lock v:ext="edit" aspectratio="f"/>
                <v:textbox inset="2.54mm,2.54mm,2.54mm,2.54mm">
                  <w:txbxContent>
                    <w:p w14:paraId="5039EB54">
                      <w:pPr>
                        <w:pStyle w:val="29"/>
                        <w:spacing w:before="0" w:after="0" w:line="240" w:lineRule="auto"/>
                        <w:ind w:left="0" w:right="0" w:firstLine="0"/>
                        <w:jc w:val="left"/>
                        <w:rPr>
                          <w:color w:val="000000"/>
                        </w:rPr>
                      </w:pPr>
                    </w:p>
                  </w:txbxContent>
                </v:textbox>
              </v:rect>
            </w:pict>
          </mc:Fallback>
        </mc:AlternateContent>
      </w:r>
      <w:r>
        <w:rPr>
          <w:color w:val="000000"/>
        </w:rPr>
        <w:t xml:space="preserve">Gerenciador de ficha catalográfica: </w:t>
      </w:r>
    </w:p>
    <w:p w14:paraId="69158EA1">
      <w:pPr>
        <w:pStyle w:val="3"/>
        <w:spacing w:line="259" w:lineRule="auto"/>
        <w:ind w:left="284" w:firstLine="0"/>
        <w:jc w:val="left"/>
      </w:pPr>
    </w:p>
    <w:p w14:paraId="7CDAAA43">
      <w:pPr>
        <w:pStyle w:val="3"/>
        <w:spacing w:line="259" w:lineRule="auto"/>
        <w:ind w:left="284" w:firstLine="0"/>
        <w:jc w:val="left"/>
        <w:rPr>
          <w:color w:val="000000"/>
        </w:rPr>
      </w:pPr>
      <w:r>
        <w:fldChar w:fldCharType="begin"/>
      </w:r>
      <w:r>
        <w:instrText xml:space="preserve"> HYPERLINK "http://biblio2.pucsp.br/ficha/?_ga=2.154384056.1415767632.1628681585-1429258994.1628681585" \h </w:instrText>
      </w:r>
      <w:r>
        <w:fldChar w:fldCharType="separate"/>
      </w:r>
      <w:r>
        <w:rPr>
          <w:color w:val="0563C1"/>
          <w:u w:val="single"/>
        </w:rPr>
        <w:t>http://biblio2.pucsp.br/ficha/?_ga=2.154384056.1415767632.1628681585-1429258994.1628681585</w:t>
      </w:r>
      <w:r>
        <w:rPr>
          <w:color w:val="0563C1"/>
          <w:u w:val="single"/>
        </w:rPr>
        <w:fldChar w:fldCharType="end"/>
      </w:r>
    </w:p>
    <w:p w14:paraId="5EEF71C6">
      <w:pPr>
        <w:pStyle w:val="3"/>
        <w:spacing w:line="259" w:lineRule="auto"/>
        <w:jc w:val="left"/>
        <w:rPr>
          <w:color w:val="000000"/>
        </w:rPr>
      </w:pPr>
    </w:p>
    <w:p w14:paraId="4F9E2F33">
      <w:pPr>
        <w:pStyle w:val="3"/>
        <w:spacing w:line="259" w:lineRule="auto"/>
        <w:jc w:val="left"/>
        <w:rPr>
          <w:b/>
          <w:bCs/>
          <w:color w:val="000000"/>
        </w:rPr>
      </w:pPr>
      <w:r>
        <w:rPr>
          <w:b/>
          <w:bCs/>
          <w:color w:val="000000"/>
        </w:rPr>
        <w:t>Obs. Após inserir a ficha deletar este texto</w:t>
      </w:r>
    </w:p>
    <w:p w14:paraId="6E098FFF">
      <w:pPr>
        <w:pStyle w:val="3"/>
        <w:spacing w:line="259" w:lineRule="auto"/>
        <w:jc w:val="left"/>
        <w:rPr>
          <w:b/>
          <w:bCs/>
          <w:color w:val="000000"/>
        </w:rPr>
      </w:pPr>
    </w:p>
    <w:p w14:paraId="34C1F001">
      <w:pPr>
        <w:pStyle w:val="3"/>
        <w:spacing w:line="259" w:lineRule="auto"/>
        <w:jc w:val="left"/>
        <w:rPr>
          <w:b/>
          <w:bCs/>
          <w:color w:val="000000"/>
        </w:rPr>
      </w:pPr>
    </w:p>
    <w:p w14:paraId="5F189B53">
      <w:pPr>
        <w:pStyle w:val="3"/>
        <w:spacing w:line="259" w:lineRule="auto"/>
        <w:jc w:val="left"/>
        <w:rPr>
          <w:b/>
          <w:bCs/>
          <w:color w:val="000000"/>
        </w:rPr>
      </w:pPr>
    </w:p>
    <w:p w14:paraId="58953B98">
      <w:pPr>
        <w:pStyle w:val="3"/>
        <w:spacing w:line="259" w:lineRule="auto"/>
        <w:jc w:val="left"/>
        <w:rPr>
          <w:b/>
          <w:bCs/>
          <w:color w:val="000000"/>
        </w:rPr>
      </w:pPr>
    </w:p>
    <w:p w14:paraId="795AE9EC">
      <w:pPr>
        <w:pStyle w:val="3"/>
        <w:spacing w:line="259" w:lineRule="auto"/>
        <w:jc w:val="left"/>
        <w:rPr>
          <w:b/>
          <w:bCs/>
          <w:color w:val="000000"/>
        </w:rPr>
      </w:pPr>
    </w:p>
    <w:p w14:paraId="623EB1F4">
      <w:pPr>
        <w:pStyle w:val="3"/>
        <w:spacing w:line="259" w:lineRule="auto"/>
        <w:jc w:val="left"/>
        <w:rPr>
          <w:b/>
          <w:bCs/>
          <w:color w:val="000000"/>
        </w:rPr>
      </w:pPr>
    </w:p>
    <w:p w14:paraId="13F3941B">
      <w:pPr>
        <w:pStyle w:val="3"/>
        <w:spacing w:line="259" w:lineRule="auto"/>
        <w:jc w:val="left"/>
        <w:rPr>
          <w:b/>
          <w:bCs/>
          <w:color w:val="000000"/>
        </w:rPr>
      </w:pPr>
    </w:p>
    <w:p w14:paraId="4FA1C217">
      <w:pPr>
        <w:pStyle w:val="3"/>
        <w:spacing w:line="259" w:lineRule="auto"/>
        <w:jc w:val="left"/>
        <w:rPr>
          <w:b/>
          <w:bCs/>
          <w:color w:val="000000"/>
        </w:rPr>
      </w:pPr>
      <w:r>
        <w:br w:type="page"/>
      </w:r>
    </w:p>
    <w:p w14:paraId="1E1FD561">
      <w:pPr>
        <w:pStyle w:val="3"/>
        <w:keepNext w:val="0"/>
        <w:keepLines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5DABC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3F846E2">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D0D9E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CAAC4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DB182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AD404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A8AD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A4ED25">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6DC6AA">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505CF51">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12CE18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AABF28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24CD3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8D4C53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818DEB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930060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AGRADECIMENTOS</w:t>
      </w:r>
    </w:p>
    <w:p w14:paraId="1DF9DB61">
      <w:pPr>
        <w:pStyle w:val="3"/>
        <w:rPr>
          <w:color w:val="000000"/>
        </w:rPr>
      </w:pPr>
    </w:p>
    <w:p w14:paraId="3C8CBD80">
      <w:pPr>
        <w:pStyle w:val="3"/>
        <w:rPr>
          <w:color w:val="000000"/>
        </w:rPr>
      </w:pPr>
      <w:r>
        <w:rPr>
          <w:color w:val="000000"/>
        </w:rPr>
        <w:t>Agradeço ao meu orientador............................................................................... .......................................................................................................................................................................................................................</w:t>
      </w:r>
    </w:p>
    <w:p w14:paraId="5A487436">
      <w:pPr>
        <w:pStyle w:val="3"/>
        <w:rPr>
          <w:color w:val="000000"/>
        </w:rPr>
      </w:pPr>
      <w:r>
        <w:rPr>
          <w:color w:val="000000"/>
        </w:rPr>
        <w:t>A todos os meus professores............................................................................. ........................................................................................................................................................................................................................</w:t>
      </w:r>
    </w:p>
    <w:p w14:paraId="6B1FAAB8">
      <w:pPr>
        <w:pStyle w:val="3"/>
        <w:rPr>
          <w:color w:val="000000"/>
        </w:rPr>
      </w:pPr>
      <w:r>
        <w:rPr>
          <w:color w:val="000000"/>
        </w:rPr>
        <w:t>Aos meus pais.................................................................................................... ........................................................................................................................................................................................................................</w:t>
      </w:r>
    </w:p>
    <w:p w14:paraId="12A1E6D9">
      <w:pPr>
        <w:pStyle w:val="3"/>
        <w:rPr>
          <w:color w:val="000000"/>
        </w:rPr>
      </w:pPr>
      <w:r>
        <w:rPr>
          <w:color w:val="000000"/>
        </w:rPr>
        <w:t>........................................................................................................................................................................................................................</w:t>
      </w:r>
    </w:p>
    <w:p w14:paraId="2BE616FC">
      <w:pPr>
        <w:pStyle w:val="3"/>
        <w:rPr>
          <w:b/>
          <w:bCs/>
          <w:color w:val="000000"/>
        </w:rPr>
      </w:pPr>
      <w: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Ninguém ignora tudo. Ninguém sabe tudo. Todos nós sabemos alguma coisa. Todos nós ignoramos alguma coisa. Por isso aprendemos sempre. (FREIRE, 1987, p. 45).</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vem caindo — de 2,05% em 2022 para 0,96% em 2024 —, mas a média esconde o problema real: em 2024, dois terços das escolas não registraram nenhum abandono, enquanto 10% delas concentraram 76% dos 2.043 alunos que deixaram a escola. Este trabalho desenvolve um sistema que identifica antecipadamente as escolas com maior risco de abandono, adotando a escola, e não o aluno, como unidade de análise. O sistema reúne dados públicos do INEP — Censo Escolar de 2022 a 2024, taxas de rendimento e quatro indicadores complementares —, deriva 39 características por escola e estima a taxa de abandono do ano seguinte com um modelo de aprendizado de máquina baseado em árvores impulsionadas por gradiente, comparado a modelos de referência sob uma validação que impede a mistura de municípios entre treino e teste e respeita a ordem dos anos. Cada previsão é decomposta na contribuição de cada característica, o que indica quais delas elevaram ou reduziram o risco daquela escola. O resultado é entregue ao gestor em um painel interativo que ordena as escolas por risco e explica cada indicação. O sistema acerta a ordem das escolas muito melhor do que o valor exato da taxa: das escolas que ele aponta como prioritárias, cerca de metade está de fato entre as mais críticas, contra 7 em cada 100 na escolha ao acaso. No teste mais exigente — prever um ano que o sistema não viu —, uma lista de 150 escolas alcança mais da metade das escolas críticas da rede. O histórico recente de abandono, a reprovação e a defasagem entre idade e série são os principais sinais de risco. Registra-se ainda uma limitação de equidade: o sistema superestima o risco nas escolas indígenas e quilombolas.</w:t>
      </w:r>
    </w:p>
    <w:p w14:paraId="31B565F5">
      <w:pPr>
        <w:pStyle w:val="3"/>
        <w:ind w:firstLine="0"/>
        <w:rPr>
          <w:color w:val="2E75B5"/>
        </w:rPr>
      </w:pPr>
      <w:r>
        <w:rPr>
          <w:rFonts w:ascii="Arial" w:hAnsi="Arial" w:eastAsia="Arial" w:cs="Arial"/>
          <w:b w:val="0"/>
        </w:rPr>
        <w:t>Palavras-chave: Evasão escolar. Priorização de escolas. Aprendizado de máquina.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has been falling — from 2.05% in 2022 to 0.96% in 2024 — but the average hides the real problem: in 2024, two thirds of the schools recorded no dropout at all, while 10% of them concentrated 76% of the 2,043 students who left school. This work develops a system that identifies in advance the schools at highest risk of dropout, taking the school, not the student, as the unit of analysis. The system gathers public data from INEP — the School Census from 2022 to 2024, performance rates and four complementary indicators —, derives 39 pieces of information per school and estimates the dropout rate of the following year with a gradient boosted tree model, compared against baseline models under a validation scheme that prevents municipalities from being split across training and test sets and respects the ordering of the years. Each prediction is decomposed into the contribution of every feature, showing which ones raised or lowered the risk of that particular school. The result is delivered to the manager through an interactive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 predicting a year the system has never seen — a list of 150 schools reaches more than half of the critical schools in the network. Recent dropout history, grade retention and the gap between age and grade are the main risk signals. An equity limitation is also reported: the system overestimates risk in indigenous and quilombola schools.</w:t>
      </w:r>
    </w:p>
    <w:p w14:paraId="3D8D40F5">
      <w:pPr>
        <w:pStyle w:val="3"/>
        <w:ind w:firstLine="0"/>
        <w:rPr>
          <w:color w:val="2E75B5"/>
        </w:rPr>
      </w:pPr>
      <w:r>
        <w:rPr>
          <w:rFonts w:ascii="Arial" w:hAnsi="Arial" w:eastAsia="Arial" w:cs="Arial"/>
          <w:b w:val="0"/>
        </w:rPr>
        <w:t>Keywords: School dropout. School prioritization. Machine learning.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12CBFCCB">
      <w:pPr>
        <w:pStyle w:val="3"/>
        <w:ind w:firstLine="0"/>
        <w:rPr>
          <w:color w:val="2E75B5"/>
        </w:rPr>
      </w:pPr>
      <w:r>
        <w:rPr>
          <w:rFonts w:ascii="Arial" w:hAnsi="Arial"/>
          <w:sz w:val="22"/>
        </w:rPr>
        <w:t>Figura 13 – Desempenho do modelo adotado em cada transição anual (2022→2023 e 2023→2024)</w:t>
      </w:r>
    </w:p>
    <w:p w14:paraId="3199E1D8">
      <w:pPr>
        <w:pStyle w:val="3"/>
        <w:ind w:firstLine="0"/>
        <w:rPr>
          <w:color w:val="2E75B5"/>
        </w:rPr>
      </w:pPr>
      <w:r>
        <w:rPr>
          <w:rFonts w:ascii="Arial" w:hAnsi="Arial"/>
          <w:sz w:val="22"/>
        </w:rPr>
        <w:t>Figura 14 – Resíduo do modelo por escola, em número de alunos que abandonaram o ensino médio, nas transições 2022–2023 e 2023–2024</w:t>
      </w:r>
    </w:p>
    <w:p w14:paraId="0BCC53AB">
      <w:pPr>
        <w:pStyle w:val="3"/>
        <w:ind w:firstLine="0"/>
        <w:rPr>
          <w:color w:val="2E75B5"/>
        </w:rPr>
      </w:pPr>
      <w:r>
        <w:rPr>
          <w:rFonts w:ascii="Arial" w:hAnsi="Arial"/>
          <w:sz w:val="22"/>
        </w:rPr>
        <w:t>Figura 15 – Ganho prático da lista de prioridade em relação à escolha ao acaso</w:t>
      </w:r>
    </w:p>
    <w:p w14:paraId="243493A6">
      <w:pPr>
        <w:pStyle w:val="3"/>
        <w:ind w:firstLine="0"/>
        <w:rPr>
          <w:color w:val="2E75B5"/>
        </w:rPr>
      </w:pPr>
      <w:r>
        <w:rPr>
          <w:rFonts w:ascii="Arial" w:hAnsi="Arial"/>
          <w:sz w:val="22"/>
        </w:rPr>
        <w:t>Figura 16 – Acerto e alcance da lista para diferentes tamanhos de lista</w:t>
      </w:r>
    </w:p>
    <w:p w14:paraId="145FB100">
      <w:pPr>
        <w:pStyle w:val="3"/>
        <w:ind w:firstLine="0"/>
        <w:rPr>
          <w:color w:val="2E75B5"/>
        </w:rPr>
      </w:pPr>
      <w:r>
        <w:rPr>
          <w:rFonts w:ascii="Arial" w:hAnsi="Arial"/>
          <w:sz w:val="22"/>
        </w:rPr>
        <w:t>Figura 17 – Contribuição de cada característica para as previsões do sistema</w:t>
      </w:r>
    </w:p>
    <w:p w14:paraId="44E8BD78">
      <w:pPr>
        <w:pStyle w:val="3"/>
        <w:ind w:firstLine="0"/>
        <w:rPr>
          <w:color w:val="2E75B5"/>
        </w:rPr>
      </w:pPr>
      <w:r>
        <w:rPr>
          <w:rFonts w:ascii="Arial" w:hAnsi="Arial"/>
          <w:sz w:val="22"/>
        </w:rPr>
        <w:t>Figura 18 – Peso e direção de cada característica nas previsões do sistema</w:t>
      </w:r>
    </w:p>
    <w:p w14:paraId="4F99997E">
      <w:pPr>
        <w:pStyle w:val="3"/>
        <w:ind w:firstLine="0"/>
        <w:rPr>
          <w:color w:val="2E75B5"/>
        </w:rPr>
      </w:pPr>
      <w:r>
        <w:rPr>
          <w:rFonts w:ascii="Arial" w:hAnsi="Arial"/>
          <w:sz w:val="22"/>
        </w:rPr>
        <w:t>Figura 19 – Explicação individual da escola de maior risco previsto</w:t>
      </w:r>
    </w:p>
    <w:p w14:paraId="1A68FE01">
      <w:pPr>
        <w:pStyle w:val="3"/>
        <w:ind w:firstLine="0"/>
        <w:rPr>
          <w:color w:val="2E75B5"/>
        </w:rPr>
      </w:pPr>
      <w:r>
        <w:rPr>
          <w:rFonts w:ascii="Arial" w:hAnsi="Arial"/>
          <w:sz w:val="22"/>
        </w:rPr>
        <w:t>Figura 20 – Erro do sistema por grupo de localização no teste do ano nunca visto</w:t>
      </w:r>
    </w:p>
    <w:p w14:paraId="66821D4E">
      <w:pPr>
        <w:pStyle w:val="3"/>
        <w:rPr>
          <w:b/>
          <w:bCs/>
          <w:color w:val="000000"/>
        </w:rPr>
      </w:pPr>
    </w:p>
    <w:sdt>
      <w:sdtPr>
        <w:id w:val="147471518"/>
        <w:docPartObj>
          <w:docPartGallery w:val="Table of Contents"/>
          <w:docPartUnique/>
        </w:docPartObj>
      </w:sdtPr>
      <w:sdtContent>
        <w:p w14:paraId="40E3983C">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"_heading=h.jhc5tl22jlhp"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Figura 1 - Estrutura de trabalhos acadêmicos. (ABNT NBR 14724)</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E470546">
      <w:pPr>
        <w:pStyle w:val="3"/>
        <w:rPr>
          <w:b/>
          <w:bCs/>
          <w:color w:val="000000"/>
        </w:rPr>
      </w:pPr>
      <w:r>
        <w:br w:type="page"/>
      </w: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sdt>
      <w:sdtPr>
        <w:id w:val="147479382"/>
        <w:docPartObj>
          <w:docPartGallery w:val="Table of Contents"/>
          <w:docPartUnique/>
        </w:docPartObj>
      </w:sdtPr>
      <w:sdtContent>
        <w:p w14:paraId="3660C5F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"_heading=h.62ykwif5gkal"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Gráfico 1 – Grupos etários</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2E75B5"/>
        </w:rPr>
      </w:pPr>
      <w:r>
        <w:rPr>
          <w:rFonts w:ascii="Arial" w:hAnsi="Arial"/>
          <w:sz w:val="22"/>
        </w:rPr>
        <w:t>Quadro 11 – Desempenho do modelo adotado em cada transição anual (média e faixa de confiança de 95% sobre 20 repetições)</w:t>
      </w:r>
    </w:p>
    <w:p w14:paraId="2CB820C1">
      <w:pPr>
        <w:pStyle w:val="3"/>
        <w:rPr>
          <w:b/>
          <w:bCs/>
          <w:color w:val="000000"/>
        </w:rPr>
      </w:pPr>
    </w:p>
    <w:sdt>
      <w:sdtPr>
        <w:id w:val="147477223"/>
        <w:docPartObj>
          <w:docPartGallery w:val="Table of Contents"/>
          <w:docPartUnique/>
        </w:docPartObj>
      </w:sdtPr>
      <w:sdtContent>
        <w:p w14:paraId="74955F1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"_heading=h.hdx1pjdrbrax"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Quadro 1 – Formato de apresentação</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39E9F8A">
      <w:pPr>
        <w:pStyle w:val="3"/>
        <w:rPr>
          <w:b/>
          <w:bCs/>
          <w:color w:val="000000"/>
        </w:rPr>
      </w:pPr>
      <w:r>
        <w:br w:type="page"/>
      </w:r>
    </w:p>
    <w:p w14:paraId="6C9B4BFE">
      <w:pPr>
        <w:pStyle w:val="3"/>
        <w:rPr>
          <w:color w:val="000000"/>
        </w:rPr>
      </w:pPr>
    </w:p>
    <w:sdt>
      <w:sdtPr>
        <w:id w:val="147482777"/>
        <w:docPartObj>
          <w:docPartGallery w:val="Table of Contents"/>
          <w:docPartUnique/>
        </w:docPartObj>
      </w:sdtPr>
      <w:sdtContent>
        <w:p w14:paraId="234E00CA">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"_heading=h.fi64up6kunop"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Tabela 1 - Modelo de tabela</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t>ABNT</w:t>
            </w:r>
          </w:p>
        </w:tc>
        <w:tc>
          <w:tcPr>
            <w:tcW w:w="7604" w:type="dxa"/>
          </w:tcPr>
          <w:p w14:paraId="031A16CB">
            <w:pPr>
              <w:pStyle w:val="3"/>
              <w:ind w:firstLine="0"/>
              <w:jc w:val="left"/>
              <w:rPr>
                <w:color w:val="000000"/>
              </w:rPr>
            </w:pPr>
            <w: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t>AFD</w:t>
            </w:r>
          </w:p>
        </w:tc>
        <w:tc>
          <w:tcPr>
            <w:tcW w:w="7604" w:type="dxa"/>
          </w:tcPr>
          <w:p w14:paraId="10CBB3A7">
            <w:pPr>
              <w:pStyle w:val="3"/>
              <w:ind w:firstLine="0"/>
              <w:jc w:val="left"/>
              <w:rPr>
                <w:color w:val="000000"/>
              </w:rPr>
            </w:pPr>
            <w:r>
              <w:t>Adequação da Formação Docente</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t>CRISP-DM</w:t>
            </w:r>
          </w:p>
        </w:tc>
        <w:tc>
          <w:tcPr>
            <w:tcW w:w="7604" w:type="dxa"/>
          </w:tcPr>
          <w:p w14:paraId="77D1C937">
            <w:pPr>
              <w:pStyle w:val="3"/>
              <w:ind w:firstLine="0"/>
              <w:jc w:val="left"/>
              <w:rPr>
                <w:color w:val="000000"/>
              </w:rPr>
            </w:pPr>
            <w:r>
              <w:t>Cross-Industry Standard Process for Data Mining</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t>EJA</w:t>
            </w:r>
          </w:p>
        </w:tc>
        <w:tc>
          <w:tcPr>
            <w:tcW w:w="7604" w:type="dxa"/>
          </w:tcPr>
          <w:p w14:paraId="3C950431">
            <w:pPr>
              <w:pStyle w:val="3"/>
              <w:ind w:firstLine="0"/>
              <w:jc w:val="left"/>
              <w:rPr>
                <w:color w:val="000000"/>
              </w:rPr>
            </w:pPr>
            <w:r>
              <w:t>Educação de Jovens e Adultos</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r>
              <w:t>EM</w:t>
            </w:r>
          </w:p>
        </w:tc>
        <w:tc>
          <w:tcPr>
            <w:tcW w:w="7604" w:type="dxa"/>
          </w:tcPr>
          <w:p w14:paraId="5FE4DE85">
            <w:pPr>
              <w:pStyle w:val="3"/>
              <w:ind w:firstLine="0"/>
              <w:jc w:val="left"/>
              <w:rPr>
                <w:color w:val="000000"/>
              </w:rPr>
            </w:pPr>
            <w:r>
              <w:t>Ensino Médio</w:t>
            </w:r>
          </w:p>
        </w:tc>
      </w:tr>
      <w:tr w14:paraId="1FBC13FC">
        <w:tblPrEx>
          <w:tblCellMar>
            <w:top w:w="0" w:type="dxa"/>
            <w:left w:w="108" w:type="dxa"/>
            <w:bottom w:w="0" w:type="dxa"/>
            <w:right w:w="108" w:type="dxa"/>
          </w:tblCellMar>
        </w:tblPrEx>
        <w:tc>
          <w:tcPr>
            <w:tcW w:w="1275" w:type="dxa"/>
          </w:tcPr>
          <w:p w14:paraId="6EF15157">
            <w:pPr>
              <w:pStyle w:val="3"/>
              <w:ind w:firstLine="0"/>
              <w:jc w:val="left"/>
              <w:rPr>
                <w:color w:val="000000"/>
              </w:rPr>
            </w:pPr>
            <w:r>
              <w:t>INEP</w:t>
            </w:r>
          </w:p>
        </w:tc>
        <w:tc>
          <w:tcPr>
            <w:tcW w:w="7604" w:type="dxa"/>
          </w:tcPr>
          <w:p w14:paraId="595945D6">
            <w:pPr>
              <w:pStyle w:val="3"/>
              <w:ind w:firstLine="0"/>
              <w:jc w:val="left"/>
              <w:rPr>
                <w:color w:val="000000"/>
              </w:rPr>
            </w:pPr>
            <w:r>
              <w:t>Instituto Nacional de Estudos e Pesquisas Educacionais Anísio Teixeira</w:t>
            </w:r>
          </w:p>
        </w:tc>
      </w:tr>
      <w:tr w14:paraId="57288C4A">
        <w:tblPrEx>
          <w:tblCellMar>
            <w:top w:w="0" w:type="dxa"/>
            <w:left w:w="108" w:type="dxa"/>
            <w:bottom w:w="0" w:type="dxa"/>
            <w:right w:w="108" w:type="dxa"/>
          </w:tblCellMar>
        </w:tblPrEx>
        <w:tc>
          <w:tcPr>
            <w:tcW w:w="1275" w:type="dxa"/>
          </w:tcPr>
          <w:p w14:paraId="7D0AB5C5">
            <w:pPr>
              <w:pStyle w:val="3"/>
              <w:ind w:firstLine="0"/>
              <w:jc w:val="left"/>
              <w:rPr>
                <w:color w:val="000000"/>
              </w:rPr>
            </w:pPr>
            <w:r>
              <w:t>INSE</w:t>
            </w:r>
          </w:p>
        </w:tc>
        <w:tc>
          <w:tcPr>
            <w:tcW w:w="7604" w:type="dxa"/>
          </w:tcPr>
          <w:p w14:paraId="5FC0AE45">
            <w:pPr>
              <w:pStyle w:val="3"/>
              <w:ind w:firstLine="0"/>
              <w:jc w:val="left"/>
              <w:rPr>
                <w:color w:val="000000"/>
              </w:rPr>
            </w:pPr>
            <w:r>
              <w:t>Indicador de Nível Socioeconômico</w:t>
            </w:r>
          </w:p>
        </w:tc>
      </w:tr>
      <w:tr w14:paraId="563F479F">
        <w:tblPrEx>
          <w:tblCellMar>
            <w:top w:w="0" w:type="dxa"/>
            <w:left w:w="108" w:type="dxa"/>
            <w:bottom w:w="0" w:type="dxa"/>
            <w:right w:w="108" w:type="dxa"/>
          </w:tblCellMar>
        </w:tblPrEx>
        <w:tc>
          <w:tcPr>
            <w:tcW w:w="1275" w:type="dxa"/>
          </w:tcPr>
          <w:p w14:paraId="59687C2D">
            <w:pPr>
              <w:pStyle w:val="3"/>
              <w:ind w:firstLine="0"/>
              <w:jc w:val="left"/>
              <w:rPr>
                <w:color w:val="000000"/>
              </w:rPr>
            </w:pPr>
            <w:r>
              <w:t>IRD</w:t>
            </w:r>
          </w:p>
        </w:tc>
        <w:tc>
          <w:tcPr>
            <w:tcW w:w="7604" w:type="dxa"/>
          </w:tcPr>
          <w:p w14:paraId="4930AC52">
            <w:pPr>
              <w:pStyle w:val="3"/>
              <w:ind w:firstLine="0"/>
              <w:jc w:val="left"/>
              <w:rPr>
                <w:color w:val="000000"/>
              </w:rPr>
            </w:pPr>
            <w:r>
              <w:t>Indicador de Regularidade do Docente</w:t>
            </w:r>
          </w:p>
        </w:tc>
      </w:tr>
      <w:tr w14:paraId="74A23515">
        <w:tblPrEx>
          <w:tblCellMar>
            <w:top w:w="0" w:type="dxa"/>
            <w:left w:w="108" w:type="dxa"/>
            <w:bottom w:w="0" w:type="dxa"/>
            <w:right w:w="108" w:type="dxa"/>
          </w:tblCellMar>
        </w:tblPrEx>
        <w:tc>
          <w:tcPr>
            <w:tcW w:w="1275" w:type="dxa"/>
          </w:tcPr>
          <w:p w14:paraId="48F6FFD7">
            <w:pPr>
              <w:pStyle w:val="3"/>
              <w:ind w:firstLine="0"/>
              <w:jc w:val="left"/>
              <w:rPr>
                <w:color w:val="000000"/>
              </w:rPr>
            </w:pPr>
            <w:r>
              <w:t>RMSE</w:t>
            </w:r>
          </w:p>
        </w:tc>
        <w:tc>
          <w:tcPr>
            <w:tcW w:w="7604" w:type="dxa"/>
          </w:tcPr>
          <w:p w14:paraId="6213E37B">
            <w:pPr>
              <w:pStyle w:val="3"/>
              <w:ind w:firstLine="0"/>
              <w:jc w:val="left"/>
              <w:rPr>
                <w:color w:val="000000"/>
              </w:rPr>
            </w:pPr>
            <w:r>
              <w:t>Raiz do Erro Quadrático Médio (Root Mean Squared Error)</w:t>
            </w:r>
          </w:p>
        </w:tc>
      </w:tr>
      <w:tr w14:paraId="60369995">
        <w:tblPrEx>
          <w:tblCellMar>
            <w:top w:w="0" w:type="dxa"/>
            <w:left w:w="108" w:type="dxa"/>
            <w:bottom w:w="0" w:type="dxa"/>
            <w:right w:w="108" w:type="dxa"/>
          </w:tblCellMar>
        </w:tblPrEx>
        <w:tc>
          <w:tcPr>
            <w:tcW w:w="1275" w:type="dxa"/>
          </w:tcPr>
          <w:p w14:paraId="3F6D001A">
            <w:pPr>
              <w:pStyle w:val="3"/>
              <w:ind w:firstLine="0"/>
              <w:jc w:val="left"/>
              <w:rPr>
                <w:color w:val="000000"/>
              </w:rPr>
            </w:pPr>
            <w:r>
              <w:t>ROC-AUC</w:t>
            </w:r>
          </w:p>
        </w:tc>
        <w:tc>
          <w:tcPr>
            <w:tcW w:w="7604" w:type="dxa"/>
          </w:tcPr>
          <w:p w14:paraId="5378CFDD">
            <w:pPr>
              <w:pStyle w:val="3"/>
              <w:ind w:firstLine="0"/>
              <w:jc w:val="left"/>
              <w:rPr>
                <w:color w:val="000000"/>
              </w:rPr>
            </w:pPr>
            <w:r>
              <w:t>Área sob a Curva ROC (Area Under the ROC Curve)</w:t>
            </w:r>
          </w:p>
        </w:tc>
      </w:tr>
      <w:tr w14:paraId="474CA64F">
        <w:tblPrEx>
          <w:tblCellMar>
            <w:top w:w="0" w:type="dxa"/>
            <w:left w:w="108" w:type="dxa"/>
            <w:bottom w:w="0" w:type="dxa"/>
            <w:right w:w="108" w:type="dxa"/>
          </w:tblCellMar>
        </w:tblPrEx>
        <w:tc>
          <w:tcPr>
            <w:tcW w:w="1275" w:type="dxa"/>
          </w:tcPr>
          <w:p w14:paraId="67AFA00F">
            <w:pPr>
              <w:pStyle w:val="3"/>
              <w:ind w:firstLine="0"/>
              <w:jc w:val="left"/>
              <w:rPr>
                <w:color w:val="000000"/>
              </w:rPr>
            </w:pPr>
            <w:r>
              <w:t>SHAP</w:t>
            </w:r>
          </w:p>
        </w:tc>
        <w:tc>
          <w:tcPr>
            <w:tcW w:w="7604" w:type="dxa"/>
          </w:tcPr>
          <w:p w14:paraId="285E5E5C">
            <w:pPr>
              <w:pStyle w:val="3"/>
              <w:ind w:firstLine="0"/>
              <w:jc w:val="left"/>
              <w:rPr>
                <w:color w:val="000000"/>
              </w:rPr>
            </w:pPr>
            <w:r>
              <w:t>SHapley Additive exPlanations</w:t>
            </w:r>
          </w:p>
        </w:tc>
      </w:tr>
      <w:tr w14:paraId="2396B301">
        <w:tblPrEx>
          <w:tblCellMar>
            <w:top w:w="0" w:type="dxa"/>
            <w:left w:w="108" w:type="dxa"/>
            <w:bottom w:w="0" w:type="dxa"/>
            <w:right w:w="108" w:type="dxa"/>
          </w:tblCellMar>
        </w:tblPrEx>
        <w:tc>
          <w:tcPr>
            <w:tcW w:w="1275" w:type="dxa"/>
          </w:tcPr>
          <w:p w14:paraId="501B8804">
            <w:pPr>
              <w:pStyle w:val="3"/>
              <w:ind w:firstLine="0"/>
              <w:jc w:val="left"/>
              <w:rPr>
                <w:color w:val="000000"/>
              </w:rPr>
            </w:pPr>
            <w:r>
              <w:t>TCC</w:t>
            </w:r>
          </w:p>
        </w:tc>
        <w:tc>
          <w:tcPr>
            <w:tcW w:w="7604" w:type="dxa"/>
          </w:tcPr>
          <w:p w14:paraId="2E59B334">
            <w:pPr>
              <w:pStyle w:val="3"/>
              <w:ind w:firstLine="0"/>
              <w:jc w:val="left"/>
              <w:rPr>
                <w:color w:val="000000"/>
              </w:rPr>
            </w:pPr>
            <w:r>
              <w:t>Trabalho de Conclusão de Curso</w:t>
            </w:r>
          </w:p>
        </w:tc>
      </w:tr>
      <w:tr w14:paraId="1A923E62">
        <w:tblPrEx>
          <w:tblCellMar>
            <w:top w:w="0" w:type="dxa"/>
            <w:left w:w="108" w:type="dxa"/>
            <w:bottom w:w="0" w:type="dxa"/>
            <w:right w:w="108" w:type="dxa"/>
          </w:tblCellMar>
        </w:tblPrEx>
        <w:tc>
          <w:tcPr>
            <w:tcW w:w="1275" w:type="dxa"/>
          </w:tcPr>
          <w:p w14:paraId="4EF39AC1">
            <w:pPr>
              <w:pStyle w:val="3"/>
              <w:ind w:firstLine="0"/>
              <w:jc w:val="left"/>
              <w:rPr>
                <w:color w:val="000000"/>
              </w:rPr>
            </w:pPr>
            <w:r>
              <w:t>TDI</w:t>
            </w:r>
          </w:p>
        </w:tc>
        <w:tc>
          <w:tcPr>
            <w:tcW w:w="7604" w:type="dxa"/>
          </w:tcPr>
          <w:p w14:paraId="7956B817">
            <w:pPr>
              <w:pStyle w:val="3"/>
              <w:ind w:firstLine="0"/>
              <w:jc w:val="left"/>
              <w:rPr>
                <w:color w:val="000000"/>
              </w:rPr>
            </w:pPr>
            <w:r>
              <w:t>Taxa de Distorção Idade-Série</w:t>
            </w:r>
          </w:p>
        </w:tc>
      </w:tr>
      <w:tr w14:paraId="1A6461CF">
        <w:tblPrEx>
          <w:tblCellMar>
            <w:top w:w="0" w:type="dxa"/>
            <w:left w:w="108" w:type="dxa"/>
            <w:bottom w:w="0" w:type="dxa"/>
            <w:right w:w="108" w:type="dxa"/>
          </w:tblCellMar>
        </w:tblPrEx>
        <w:tc>
          <w:tcPr>
            <w:tcW w:w="1275" w:type="dxa"/>
          </w:tcPr>
          <w:p w14:paraId="3197F694">
            <w:pPr>
              <w:pStyle w:val="3"/>
              <w:ind w:firstLine="0"/>
              <w:jc w:val="left"/>
              <w:rPr>
                <w:color w:val="000000"/>
              </w:rPr>
            </w:pPr>
            <w:r>
              <w:t>XGBoost</w:t>
            </w:r>
          </w:p>
        </w:tc>
        <w:tc>
          <w:tcPr>
            <w:tcW w:w="7604" w:type="dxa"/>
          </w:tcPr>
          <w:p w14:paraId="630CCC3E">
            <w:pPr>
              <w:pStyle w:val="3"/>
              <w:ind w:firstLine="0"/>
              <w:jc w:val="left"/>
              <w:rPr>
                <w:color w:val="000000"/>
              </w:rPr>
            </w:pPr>
            <w:r>
              <w:t>Extreme Gradient Boosting</w:t>
            </w: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0FE3AE55">
          <w:pPr>
            <w:pStyle w:val="3"/>
            <w:keepNext w:val="0"/>
            <w:keepLines w:val="0"/>
            <w:pageBreakBefore w:val="0"/>
            <w:widowControl/>
            <w:shd w:val="clear" w:fill="auto"/>
            <w:tabs>
              <w:tab w:val="right" w:pos="9060"/>
            </w:tabs>
            <w:spacing w:before="0" w:after="0" w:line="360" w:lineRule="auto"/>
            <w:ind w:left="1134" w:right="0" w:hanging="1134"/>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56C054B0">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_Toc16343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_Toc16343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EDDC27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_Toc25867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_Toc25867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FD53D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_Toc6808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_Toc6808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FB459F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_Toc4898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_Toc4898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577C53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_Toc993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_Toc993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C2116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_Toc28861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_Toc28861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8CC5F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_Toc16981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_Toc16981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A65D618">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_Toc17591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_Toc17591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324375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_Toc22783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_Toc22783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5A0E9E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_Toc1808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_Toc1808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5C5E26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_Toc17559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_Toc17559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D67835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_Toc23427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_Toc23427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48FAE98">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_Toc29734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_Toc29734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55CE66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_Toc28210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_Toc28210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5476E3A">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_Toc24483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_Toc24483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1F1BA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_Toc10821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_Toc10821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4A5EA1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_Toc29807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_Toc29807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5A641E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_Toc17134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_Toc17134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59B4EC6">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_Toc3819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_Toc3819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8868636">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_Toc2360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_Toc2360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69400AE">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_Toc12662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_Toc12662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FABC46">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_Toc7550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_Toc7550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79D50A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_Toc27792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_Toc27792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CCB8F06">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_Toc16778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_Toc16778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C6A6AA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_Toc18687 </w:instrText>
          </w:r>
          <w:r>
            <w:rPr>
              <w:rFonts w:eastAsia="Arial" w:cs="Arial"/>
              <w:bCs/>
              <w:i w:val="0"/>
              <w:iCs w:val="0"/>
              <w:smallCaps/>
              <w:strike w:val="0"/>
              <w:dstrike w:val="0"/>
              <w:vanish w:val="0"/>
              <w:position w:val="0"/>
              <w:szCs w:val="24"/>
              <w:shd w:val="clear" w:fill="auto"/>
              <w:vertAlign w:val="baseline"/>
            </w:rPr>
            <w:fldChar w:fldCharType="separate"/>
          </w:r>
          <w:r>
            <w:t xml:space="preserve">3.2.8 </w:t>
          </w:r>
          <w:r>
            <w:rPr>
              <w:rFonts w:ascii="Arial" w:hAnsi="Arial" w:eastAsia="Arial" w:cs="Arial"/>
            </w:rPr>
            <w:t>Geração da Lista para um Ano Ainda Não Observado</w:t>
          </w:r>
          <w:r>
            <w:tab/>
          </w:r>
          <w:r>
            <w:fldChar w:fldCharType="begin"/>
          </w:r>
          <w:r>
            <w:instrText xml:space="preserve"> PAGEREF _Toc18687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A040C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_Toc30881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_Toc30881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80B3ED">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_Toc19493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_Toc19493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66F29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_Toc19727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_Toc19727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3AF224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_Toc12256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_Toc12256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4AC4D8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_Toc3822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_Toc3822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D93E38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_Toc29366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_Toc29366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0D8C7B">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_Toc15927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_Toc15927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8B74E6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_Toc18971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_Toc18971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6F78D5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_Toc8808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_Toc8808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6554BB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_Toc4104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_Toc4104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7F2D0E0">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_Toc25662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_Toc25662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69CCFA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_Toc20042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_Toc20042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A548D39">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_Toc25170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_Toc25170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E1A975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_Toc23843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_Toc23843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34C09C">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_Toc32674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_Toc32674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EA59ED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_Toc30784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_Toc30784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F57CCF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_Toc25413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_Toc25413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80EB8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_Toc1038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_Toc1038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90879D9">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_Toc6874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_Toc6874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16FA11C">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_Toc20205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_Toc20205 \h </w:instrText>
          </w:r>
          <w:r>
            <w:fldChar w:fldCharType="separate"/>
          </w:r>
          <w:r>
            <w:t>38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A96066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_Toc23935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_Toc23935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0898BC">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_Toc13530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_Toc13530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25E3FA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_Toc23365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_Toc23365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773211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_Toc386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_Toc386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A8DB68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_Toc9598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_Toc9598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61A9BE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_Toc3041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_Toc3041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843CF8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_Toc24161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_Toc24161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508133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_Toc8150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rPr>
            <w:t>Resultados em Cada Transição Anual</w:t>
          </w:r>
          <w:r>
            <w:tab/>
          </w:r>
          <w:r>
            <w:fldChar w:fldCharType="begin"/>
          </w:r>
          <w:r>
            <w:instrText xml:space="preserve"> PAGEREF _Toc8150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DF23E1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_Toc4814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_Toc4814 \h </w:instrText>
          </w:r>
          <w:r>
            <w:fldChar w:fldCharType="separate"/>
          </w:r>
          <w:r>
            <w:t>51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924282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_Toc11600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_Toc11600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E1BC28">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_Toc30525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_Toc30525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755279">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_Toc12808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_Toc12808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E4C2EB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_Toc18719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_Toc18719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6FFE66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_Toc14819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_Toc14819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EBFD0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_Toc24625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_Toc24625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7FE935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_Toc29543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_Toc29543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AC9575">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_Toc6042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_Toc6042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B03F9C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_Toc240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_Toc240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5A5B82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_Toc13516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_Toc13516 \h </w:instrText>
          </w:r>
          <w:r>
            <w:fldChar w:fldCharType="separate"/>
          </w:r>
          <w:r>
            <w:t>59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8DC509D">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_Toc13454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_Toc13454 \h </w:instrText>
          </w:r>
          <w:r>
            <w:fldChar w:fldCharType="separate"/>
          </w:r>
          <w:r>
            <w:t>60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40A1C8B">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_Toc25205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_Toc25205 \h </w:instrText>
          </w:r>
          <w:r>
            <w:fldChar w:fldCharType="separate"/>
          </w:r>
          <w:r>
            <w:t>63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8494"/>
            </w:tabs>
            <w:spacing w:before="0" w:after="0" w:line="360" w:lineRule="auto"/>
            <w:ind w:left="0" w:right="0" w:firstLine="0"/>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16343"/>
      <w:r>
        <w:rPr>
          <w:rFonts w:ascii="Arial" w:hAnsi="Arial" w:eastAsia="Arial" w:cs="Arial"/>
          <w:b w:val="0"/>
        </w:rPr>
        <w:t>Introdução</w:t>
      </w:r>
      <w:bookmarkEnd w:id="1"/>
    </w:p>
    <w:p w14:paraId="71BF03DA">
      <w:pPr>
        <w:pStyle w:val="4"/>
        <w:numPr>
          <w:ilvl w:val="1"/>
          <w:numId w:val="1"/>
        </w:numPr>
      </w:pPr>
      <w:bookmarkStart w:id="67" w:name="_GoBack"/>
      <w:bookmarkEnd w:id="67"/>
      <w:bookmarkStart w:id="2" w:name="_Toc25867"/>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(RUMBERGER, 2011). No Ensino Médio público brasileiro, o abandono reflete desigualdades sociais, econômicas, geográficas e institucionais profundas, e raramente é um evento isolado: costuma ser o desfecho de um afastamento que se acumula entre o estudante e a escola (TINTO, 1975; RUMBERGER, 2011). Pernambuco implantou um programa pioneiro de Ensino Médio em tempo integral, cujos efeitos sobre o desempenho dos estudantes já foram avaliados (ROSA et al., 2022), e a parcela das matrículas nessa modalidade passou de 56,7% em 2022 para 64,9% em 2024 (BRASIL, 2024a). Mesmo assim a rede segue muito desigual: as escolas rurais e as do São Francisco Pernambucano reúnem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(BRASIL, 2024a). Hoje ela não dispõe de um mecanismo que antecipe o risco. Sem ele, o gestor age depois que o abandono já apareceu nos números do ano anterior.</w:t>
      </w:r>
    </w:p>
    <w:p w14:paraId="6A4DF56F">
      <w:pPr>
        <w:pStyle w:val="3"/>
        <w:ind w:firstLine="0"/>
        <w:rPr>
          <w:color w:val="2E75B5"/>
        </w:rPr>
      </w:pPr>
      <w:r>
        <w:rPr>
          <w:rFonts w:ascii="Arial" w:hAnsi="Arial" w:eastAsia="Arial" w:cs="Arial"/>
          <w:b w:val="0"/>
        </w:rPr>
        <w:t>Antecipar esse risco é o que propõe a literatura de mineração de dados educacionais, que aplica técnicas de aprendizado de máquina a dados da educação para prever desfechos como o abandono (ROMERO; VENTURA, 2010; BAKER; YACEF, 2009). Estudos dessa linha mostram ser possível estimar o risco a partir de características observáveis das escolas (CORTEZ; SILVA, 2008) e organizá-lo em sistemas de alerta precoce, que priorizam os casos mais críticos (BOWERS; SPROTT; TAFF, 2013). No Brasil, a abordagem já foi aplicada à evasão com dados públicos do INEP (TEODORO; KAPPEL, 2020), e mapeamentos recentes confirmam o crescimento do tema (JESUS; GUSMÃO, 2024; NASCIMENTO et al., 2024).</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segundo as taxas de rendimento do INEP, vem caindo: 2,05% em 2022, 1,37% em 2023 e 0,96% em 2024 (BRASIL, 2024c). Essa leitura sugere que a situação está sob controle e, principalmente, não indica onde agir. O exame ano a ano mostra outro quadro. Em 2024, 2.043 alunos abandonaram o Ensino Médio na rede estadual; 67% das escolas não registraram nenhum abandono, e as 79 escolas mais críticas, 10% da rede, responderam por 76% de todos os alunos que saíram. O problema não está espalhado pela rede; ele se concentra em poucas escolas. A Figura 1 põe as duas leituras lado a lado.</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sobre onde alocar equipe, programa e visita acontece nesse mesmo nível.</w:t>
      </w:r>
    </w:p>
    <w:p w14:paraId="4E5B67FE">
      <w:pPr>
        <w:pStyle w:val="4"/>
        <w:numPr>
          <w:ilvl w:val="1"/>
          <w:numId w:val="1"/>
        </w:numPr>
      </w:pPr>
      <w:bookmarkStart w:id="3" w:name="_Toc6808"/>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(P1): </w:t>
      </w:r>
      <w:r>
        <w:rPr>
          <w:rFonts w:ascii="Arial" w:hAnsi="Arial" w:eastAsia="Arial" w:cs="Arial"/>
        </w:rPr>
        <w:t>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(P2):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tanto as que perdem mais alunos do que o perfil indica, e merecem atenção imediata, quanto as que resistem apesar de um perfil desfavorável, e merecem ser estudadas.</w:t>
      </w:r>
    </w:p>
    <w:p w14:paraId="1E3A4383">
      <w:pPr>
        <w:pStyle w:val="4"/>
        <w:numPr>
          <w:ilvl w:val="1"/>
          <w:numId w:val="1"/>
        </w:numPr>
      </w:pPr>
      <w:bookmarkStart w:id="4" w:name="_Toc4898"/>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993"/>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28861"/>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16981"/>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nas visões funcional, estrutural, comportamental e de implantação.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17591"/>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22783"/>
      <w:r>
        <w:rPr>
          <w:rFonts w:ascii="Arial" w:hAnsi="Arial" w:eastAsia="Arial" w:cs="Arial"/>
          <w:b w:val="0"/>
        </w:rPr>
        <w:t>Fundamentação Teórica</w:t>
      </w:r>
      <w:bookmarkEnd w:id="9"/>
    </w:p>
    <w:p w14:paraId="0ED2592D">
      <w:pPr>
        <w:pStyle w:val="5"/>
        <w:numPr>
          <w:ilvl w:val="2"/>
          <w:numId w:val="1"/>
        </w:numPr>
      </w:pPr>
      <w:bookmarkStart w:id="10" w:name="_Toc1808"/>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A evasão escolar é entendida na literatura menos como um evento isolado e mais como o desfecho de um processo prolongado de afastamento entre o estudante e a instituição de ensino. Tinto (1975), em um dos modelos teóricos mais influentes sobre o tema, descreve o abandono como resultado do baixo grau de integração acadêmica e social do estudante ao ambiente escolar, de modo que fatores individuais e institucionais se combinam ao longo do tempo até a decisão de sair. Rumberger (2011), ao revisar décadas de pesquisa sobre o ensino médio, reforça essa leitura processual e chama atenção para o caráter multinível do fenômeno: além das características do aluno, como desempenho, defasagem idade-série e condição socioeconômica, pesam atributos da própria escola e do território em que ela se insere.</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2024c).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17559"/>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A aplicação sistemática de técnicas computacionais a dados educacionais consolidou-se no campo da mineração de dados educacionais (educational data mining). Romero e Ventura (2010) definem a área como o desenvolvimento de métodos para explorar os dados originados em contextos de ensino, com o objetivo de compreender melhor os estudantes e os ambientes de aprendizagem. Baker e Yacef (2009), ao revisarem o estado do campo, apontam a predição como uma de suas tarefas centrais: estimar um resultado futuro, como desempenho ou abandono, a partir de atributos observados. Um exemplo precursor é o de Cortez e Silva (2008), que empregaram árvores de decisão, florestas aleatórias, redes neurais e máquinas de vetores de suporte para prever o desempenho de estudantes do ensino secundário português a partir de variáveis escolares e socioeconômicas.</w:t>
      </w:r>
    </w:p>
    <w:p w14:paraId="73A69EFE">
      <w:pPr>
        <w:pStyle w:val="5"/>
        <w:numPr>
          <w:ilvl w:val="2"/>
          <w:numId w:val="1"/>
        </w:numPr>
      </w:pPr>
      <w:bookmarkStart w:id="12" w:name="_Toc23427"/>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29734"/>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 xml:space="preserve">Modelos de alto desempenho como </w:t>
      </w:r>
      <w:r>
        <w:rPr>
          <w:rFonts w:ascii="Arial" w:hAnsi="Arial" w:eastAsia="Arial" w:cs="Arial"/>
          <w:b w:val="0"/>
          <w:color w:val="1F4E9B"/>
          <w:highlight w:val="yellow"/>
        </w:rPr>
        <w:t>as florestas e o gradiente impulsionado</w:t>
      </w:r>
      <w:r>
        <w:rPr>
          <w:rFonts w:ascii="Arial" w:hAnsi="Arial" w:eastAsia="Arial" w:cs="Arial"/>
          <w:b w:val="0"/>
        </w:rPr>
        <w:t xml:space="preserve"> são frequentemente descritos como caixas-pretas, pois a relação entre suas entradas e saídas não é diretamente legível. Em decisões de interesse público, saber por que uma previsão foi feita é tão importante quanto a previsão em si. Duas técnicas tornaram-se referência para explicar previsões de qualquer modelo: o LIME, de Ribeiro, Singh e Guestrin (2016), que aproxima localmente o modelo por um substituto interpretável; e o SHAP, de Lundberg e Lee (2017), que atribui a cada atributo uma contribuição para a previsão com base na teoria dos valores de Shapley, oferecendo explicações consistentes tanto no nível individual quanto no global. Molnar (2022) sistematiza esse conjunto de métodos e argumenta que a interpretabilidade é condição para a confiança e a auditabilidade de sistemas preditivos. Este trabalho adota o SHAP para explicar o risco previsto de cada escola.</w:t>
      </w:r>
    </w:p>
    <w:p w14:paraId="23F01F44">
      <w:pPr>
        <w:pStyle w:val="4"/>
        <w:numPr>
          <w:ilvl w:val="1"/>
          <w:numId w:val="1"/>
        </w:numPr>
      </w:pPr>
      <w:bookmarkStart w:id="14" w:name="_Toc28210"/>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A predição de evasão por aprendizado de máquina é um tema ativo, inclusive no Brasil. Dois mapeamentos sistemáticos recentes ilustram o volume e a orientação da produção nacional: Jesus e Gusmão (2024) analisaram 336 estudos, e Nascimento et al. (2024) revisaram a literatura sobre técnicas de mineração de dados aplicadas à evasão estudantil, ambos evidenciando o predomínio de abordagens de classificação e a concentração de trabalhos no ensino superior. Ainda no contexto brasileiro, Teodoro e Kappel (2020) aplicaram cinco técnicas de aprendizado de máquina a dados públicos do Inep para prever o risco de evasão em instituições públicas de ensino superior,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 xml:space="preserve">No campo dos sistemas de alerta precoce (early warning systems), Bowers, Sprott e Taff (2013) revisaram 110 indicadores de risco de abandono em 36 estudos e mostraram, por meio de análise ROC, que muitos indicadores usuais têm alta precisão mas baixa acurácia, sendo os mais confiáveis aqueles baseados em desempenho e trajetória. Esse resultado justifica avaliar um sistema de priorização não apenas por seu erro médio, mas por sua capacidade de ordenar corretamente as escolas de maior risco, critério adotado neste trabalho. Resta uma lacuna: a maior parte da literatura opera no nível do estudante e no ensino superior, ao passo que esta monografia toma a escola como unidade de análise na educação básica, combinando dados públicos, </w:t>
      </w:r>
      <w:r>
        <w:rPr>
          <w:rFonts w:ascii="Arial" w:hAnsi="Arial" w:eastAsia="Arial" w:cs="Arial"/>
          <w:b w:val="0"/>
          <w:color w:val="1F4E9B"/>
          <w:highlight w:val="yellow"/>
        </w:rPr>
        <w:t>um modelo de gradiente impulsionado</w:t>
      </w:r>
      <w:r>
        <w:rPr>
          <w:rFonts w:ascii="Arial" w:hAnsi="Arial" w:eastAsia="Arial" w:cs="Arial"/>
          <w:b w:val="0"/>
        </w:rPr>
        <w:t xml:space="preserve"> e explicações por SHAP para apoiar a priorização de intervenções pela gestão estadual.</w:t>
      </w:r>
    </w:p>
    <w:p w14:paraId="1319101A">
      <w:pPr>
        <w:pStyle w:val="2"/>
        <w:numPr>
          <w:ilvl w:val="0"/>
          <w:numId w:val="1"/>
        </w:numPr>
        <w:rPr>
          <w:color w:val="000000"/>
        </w:rPr>
      </w:pPr>
      <w:bookmarkStart w:id="15" w:name="_Toc24483"/>
      <w:r>
        <w:rPr>
          <w:rFonts w:ascii="Arial" w:hAnsi="Arial" w:eastAsia="Arial" w:cs="Arial"/>
          <w:b w:val="0"/>
        </w:rPr>
        <w:t>Método de Desenvolvimento</w:t>
      </w:r>
      <w:bookmarkEnd w:id="15"/>
    </w:p>
    <w:p w14:paraId="39EFBDEF">
      <w:pPr>
        <w:pStyle w:val="4"/>
        <w:numPr>
          <w:ilvl w:val="1"/>
          <w:numId w:val="1"/>
        </w:numPr>
      </w:pPr>
      <w:bookmarkStart w:id="16" w:name="_Toc10821"/>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um ciclo iterativo e incremental com o processo CRISP-DM (CHAPMAN et al., 2000), que organiza projetos desse tipo em seis etapas: entendimento do negócio, entendimento dos dados, preparação dos dados, construção do modelo, avaliação e implantação.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Duas decisões de organização atravessam todas as fases. A primeira separa o código de produção, formado pelos módulos reaproveitáveis do sistema, do código de análise, que apenas os consome para gerar relatórios e figuras. A segunda faz os dados percorrerem três estágios sucessivos, dos arquivos originais aos intermediários e destes ao conjunto final, sem que um estágio jamais sobrescreva o anterior. Juntas, sustentam duas propriedades exigidas do sistema: qualquer resultado pode ser refeito a partir dos arquivos originais, e cada módulo pode ser testado isoladamente. A estrutura concreta que materializa essas decisões está no Capítulo 5.</w:t>
      </w:r>
    </w:p>
    <w:p w14:paraId="4D605BAE">
      <w:pPr>
        <w:pStyle w:val="4"/>
        <w:numPr>
          <w:ilvl w:val="1"/>
          <w:numId w:val="1"/>
        </w:numPr>
      </w:pPr>
      <w:bookmarkStart w:id="17" w:name="_Toc29807"/>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r w14:paraId="4557F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EDB5FD5">
            <w:r>
              <w:rPr>
                <w:rFonts w:ascii="Arial" w:hAnsi="Arial" w:eastAsia="Arial" w:cs="Arial"/>
                <w:b w:val="0"/>
                <w:sz w:val="18"/>
              </w:rPr>
              <w:t>7. Geração da lista para novos anos</w:t>
            </w:r>
          </w:p>
        </w:tc>
        <w:tc>
          <w:tcPr>
            <w:tcW w:w="3456" w:type="dxa"/>
          </w:tcPr>
          <w:p w14:paraId="60460EFB">
            <w:r>
              <w:rPr>
                <w:rFonts w:ascii="Arial" w:hAnsi="Arial" w:eastAsia="Arial" w:cs="Arial"/>
                <w:b w:val="0"/>
                <w:sz w:val="18"/>
              </w:rPr>
              <w:t>Implantação</w:t>
            </w:r>
          </w:p>
        </w:tc>
        <w:tc>
          <w:tcPr>
            <w:tcW w:w="3263" w:type="dxa"/>
          </w:tcPr>
          <w:p w14:paraId="64351780">
            <w:r>
              <w:rPr>
                <w:rFonts w:ascii="Arial" w:hAnsi="Arial" w:eastAsia="Arial" w:cs="Arial"/>
                <w:b w:val="0"/>
                <w:sz w:val="18"/>
              </w:rPr>
              <w:t>Modo de predição para um ano ainda não observado; ranking de risco gravado em disco; validação das fontes do ano solicitado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17134"/>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e não o aluno,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3819"/>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microdados do Censo Escolar (BRASIL, 2024a). Um módulo carrega os arquivos anuais com busca tolerante pelos nomes das colunas, já que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cobrindo abrangência municipal, porte das escolas, infraestrutura e oferta de tempo integral; seus resultados estão reunidos no Capítulo 6. Um deles já orienta a leitura do restante: o índice de infraestrutura é muito menor nas escolas rurais do que nas urbanas (0,52 contra 0,71). Essa fase também revelou problemas nos dados de origem que orientaram decisões posteriores: uma coluna de matrículas ausente em todo o ano de 2022, que foi descartada, e o código de região do estado, que muda de formato entre 2022 e 2023 e precisou ser convertido.</w:t>
      </w:r>
    </w:p>
    <w:p w14:paraId="40F8A41F">
      <w:pPr>
        <w:pStyle w:val="5"/>
        <w:numPr>
          <w:ilvl w:val="2"/>
          <w:numId w:val="1"/>
        </w:numPr>
      </w:pPr>
      <w:bookmarkStart w:id="20" w:name="_Toc2360"/>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que reúnem aprovação, reprovação e abandono, no total e por série (BRASIL, 2024c), e quatro indicadores educacionais — o nível socioeconômico, a regularidade do corpo docente, a defasagem idade-série e a adequação da formação dos professores (BRASIL, 2024b).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nunca em zero.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12662"/>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e o sistema usa 39. A redução é deliberada: com 1.586 observações, manter centenas de colunas faria o sistema decorar a base em vez de aprender o padrão, de modo que ele acertaria o passado e erraria o ano seguinte (HASTIE; TIBSHIRANI; FRIEDMAN, 2009).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alinhados às diretrizes de seleção de variáveis da literatura (GUYON; ELISSEEFF, 2003). Saiu, primeiro, a informação repetida: o número de turmas e o de professores acompanham quase perfeitamente o de matrículas, e manter os três apenas confunde o sistema. Saiu também o que é consequência aritmética de outra coluna, como a taxa de aprovação, que é o que sobra depois da reprovação e do abandono; fornecê-la seria entregar a resposta antecipadamente. Saíram, por fim, as colunas ausentes na maior parte das escolas, caso das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7550"/>
      <w:r>
        <w:rPr>
          <w:rFonts w:ascii="Arial" w:hAnsi="Arial" w:eastAsia="Arial" w:cs="Arial"/>
          <w:b w:val="0"/>
        </w:rPr>
        <w:t>Construção e Ajuste do Modelo de Previsão</w:t>
      </w:r>
      <w:bookmarkEnd w:id="22"/>
    </w:p>
    <w:p w14:paraId="234DC940">
      <w:pPr>
        <w:pStyle w:val="3"/>
        <w:ind w:firstLine="0"/>
        <w:rPr>
          <w:color w:val="2E75B5"/>
        </w:rPr>
      </w:pPr>
      <w:r>
        <w:rPr>
          <w:rFonts w:ascii="Arial" w:hAnsi="Arial" w:eastAsia="Arial" w:cs="Arial"/>
          <w:b w:val="0"/>
        </w:rPr>
        <w:t>A quarta fase construiu o modelo. Antes do modelo principal foram avaliados dois modelos de referência, um linear e um baseado em árvores de decisão,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Só com o preparo idêntico a comparação é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cada regra interna considera poucas condições por vez, o aprendizado avança em passos pequenos e a complexidade é penalizada. Em uma base de treino de menos de 800 observações, é essa contenção que impede o sistema de decorar as escolas que já viu, em vez de aprender o padrão que vale para as demais. O modelo final é gravado em disco e carregado pelo painel; treino e uso são etapas separadas.</w:t>
      </w:r>
    </w:p>
    <w:p w14:paraId="5B1CFE5A">
      <w:pPr>
        <w:pStyle w:val="5"/>
        <w:numPr>
          <w:ilvl w:val="2"/>
          <w:numId w:val="1"/>
        </w:numPr>
      </w:pPr>
      <w:bookmarkStart w:id="23" w:name="_Toc27792"/>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Um teste automatizado verifica a consistência da decomposição: a soma das contribuições precisa reproduzir a previsão.</w:t>
      </w:r>
    </w:p>
    <w:p w14:paraId="3DF04341">
      <w:pPr>
        <w:pStyle w:val="5"/>
        <w:numPr>
          <w:ilvl w:val="2"/>
          <w:numId w:val="1"/>
        </w:numPr>
      </w:pPr>
      <w:bookmarkStart w:id="24" w:name="_Toc16778"/>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painel foi definido como ferramenta de apoio à decisão, que prioriza escolas e explica o porquê, e não como recomendação automática de ações. A razão é metodológica: o sistema identifica associações, não causas (MOLNAR, 2022). Sugerir a intervenção específica exigiria evidência de causalidade que os dados não sustentam. O painel mostra onde olhar primeiro e por quê; a decisão de como agir permanece com o gestor.</w:t>
      </w:r>
    </w:p>
    <w:p w14:paraId="211656A5">
      <w:pPr>
        <w:pStyle w:val="5"/>
        <w:numPr>
          <w:ilvl w:val="2"/>
          <w:numId w:val="1"/>
        </w:numPr>
      </w:pPr>
      <w:bookmarkStart w:id="25" w:name="_Toc18687"/>
      <w:r>
        <w:rPr>
          <w:rFonts w:ascii="Arial" w:hAnsi="Arial" w:eastAsia="Arial" w:cs="Arial"/>
          <w:b w:val="0"/>
        </w:rPr>
        <w:t>Geração da Lista para um Ano Ainda Não Observado</w:t>
      </w:r>
      <w:bookmarkEnd w:id="25"/>
    </w:p>
    <w:p w14:paraId="59F696E3">
      <w:pPr>
        <w:pStyle w:val="3"/>
        <w:ind w:firstLine="0"/>
        <w:rPr>
          <w:color w:val="2E75B5"/>
        </w:rPr>
      </w:pPr>
      <w:r>
        <w:rPr>
          <w:rFonts w:ascii="Arial" w:hAnsi="Arial" w:eastAsia="Arial" w:cs="Arial"/>
          <w:b w:val="0"/>
        </w:rPr>
        <w:t>A sétima fase tornou o sistema utilizável a cada nova edição dos dados. O modelo não é ajustado a um par de anos específico: ele aprende uma relação geral entre as características da escola em um ano e o abandono do ano seguinte. Essa propriedade permite gerar uma lista nova sempre que o INEP publica uma edição, e é o papel da terceira linha do Quadro 2, em que as características de 2024 servem para prever o abandono de 2025.</w:t>
      </w:r>
    </w:p>
    <w:p w14:paraId="5A598E48">
      <w:pPr>
        <w:pStyle w:val="3"/>
        <w:ind w:firstLine="0"/>
        <w:rPr>
          <w:color w:val="2E75B5"/>
        </w:rPr>
      </w:pPr>
      <w:r>
        <w:rPr>
          <w:rFonts w:ascii="Arial" w:hAnsi="Arial" w:eastAsia="Arial" w:cs="Arial"/>
          <w:b w:val="0"/>
        </w:rPr>
        <w:t>A dificuldade é que o conjunto usado no treino só admite escolas cujo abandono do ano seguinte já foi observado, e esse valor ainda não existe no ano que se quer prever. A construção das características ganhou então um modo que dispensa a exigência do alvo, mantendo todo o resto idêntico ao do treino: as mesmas colunas, na mesma ordem, com a mesma imputação de ausências. Antes de qualquer cálculo, o módulo verifica se as fontes do ano solicitado já foram carregadas; se faltar alguma, interrompe a execução com uma mensagem que diz qual ano importar. Falhar de forma explícita é preferível a produzir uma lista silenciosamente incompleta.</w:t>
      </w:r>
    </w:p>
    <w:p w14:paraId="2ACAC0B4">
      <w:pPr>
        <w:pStyle w:val="3"/>
        <w:ind w:firstLine="0"/>
        <w:rPr>
          <w:color w:val="2E75B5"/>
        </w:rPr>
      </w:pPr>
      <w:r>
        <w:rPr>
          <w:rFonts w:ascii="Arial" w:hAnsi="Arial" w:eastAsia="Arial" w:cs="Arial"/>
          <w:b w:val="0"/>
        </w:rPr>
        <w:t>Sobre esse conjunto, um módulo próprio carrega o modelo gravado em disco e devolve as escolas ordenadas por risco, com a posição de cada uma, o ano de referência e o ano previsto. O resultado é gravado em disco e pode ser acionado por uma única linha de comando, informando o ano de referência. Treino e uso permanecem separados: gerar a lista de um ano novo não exige treinar o modelo outra vez. Com os dados já disponíveis, a lista de 2025 foi gerada a partir das características de 2024 e cobre as 791 escolas da rede, com risco médio previsto de 0,85%. Essas previsões são inteiramente fora da amostra: o modelo nunca viu o ano que está prevendo.</w:t>
      </w:r>
    </w:p>
    <w:p w14:paraId="57A1D3F3">
      <w:pPr>
        <w:pStyle w:val="3"/>
        <w:ind w:firstLine="0"/>
        <w:rPr>
          <w:color w:val="2E75B5"/>
        </w:rPr>
      </w:pPr>
      <w:r>
        <w:rPr>
          <w:rFonts w:ascii="Arial" w:hAnsi="Arial" w:eastAsia="Arial" w:cs="Arial"/>
          <w:b w:val="0"/>
        </w:rPr>
        <w:t xml:space="preserve">Quatro verificações automatizadas protegem esse caminho, porque um erro aqui não geraria sintoma: as características de predição têm de ser idênticas às do treino, o conjunto tem de conter apenas o ano solicitado, não pode restar nenhuma ausência e </w:t>
      </w:r>
      <w:r>
        <w:rPr>
          <w:rFonts w:ascii="Arial" w:hAnsi="Arial" w:eastAsia="Arial" w:cs="Arial"/>
          <w:b w:val="0"/>
          <w:color w:val="1F4E9B"/>
          <w:highlight w:val="yellow"/>
        </w:rPr>
        <w:t>a lista devolvida tem de estar íntegra</w:t>
      </w:r>
      <w:r>
        <w:rPr>
          <w:rFonts w:ascii="Arial" w:hAnsi="Arial" w:eastAsia="Arial" w:cs="Arial"/>
          <w:b w:val="0"/>
        </w:rPr>
        <w:t>. Uma quinta verifica que o pedido de um ano sem dados falha com a mensagem correta.</w:t>
      </w:r>
    </w:p>
    <w:p w14:paraId="7820F8BC">
      <w:pPr>
        <w:pStyle w:val="4"/>
        <w:numPr>
          <w:ilvl w:val="1"/>
          <w:numId w:val="1"/>
        </w:numPr>
      </w:pPr>
      <w:bookmarkStart w:id="26" w:name="_Toc30881"/>
      <w:r>
        <w:rPr>
          <w:rFonts w:ascii="Arial" w:hAnsi="Arial" w:eastAsia="Arial" w:cs="Arial"/>
          <w:b w:val="0"/>
        </w:rPr>
        <w:t>Práticas de Engenharia de Software</w:t>
      </w:r>
      <w:bookmarkEnd w:id="26"/>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 xml:space="preserve">b) Testes automatizados: a suíte tem </w:t>
      </w:r>
      <w:r>
        <w:rPr>
          <w:rFonts w:ascii="Arial" w:hAnsi="Arial" w:eastAsia="Arial" w:cs="Arial"/>
          <w:b w:val="0"/>
          <w:color w:val="1F4E9B"/>
          <w:highlight w:val="yellow"/>
        </w:rPr>
        <w:t>132 testes</w:t>
      </w:r>
      <w:r>
        <w:rPr>
          <w:rFonts w:ascii="Arial" w:hAnsi="Arial" w:eastAsia="Arial" w:cs="Arial"/>
          <w:b w:val="0"/>
        </w:rPr>
        <w:t xml:space="preserve"> e roda por inteiro a cada alteração. Ela cobre os filtros do universo, a integridade da base histórica, a leitura das planilhas do INEP, o casamento no tempo entre as características e o abandono, a ausência de vazamento entre treino e teste, a consistência das explicações, a ordenação da lista e a equivalência entre as características de treino e as de predição;</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7" w:name="_Toc19493"/>
      <w:r>
        <w:rPr>
          <w:rFonts w:ascii="Arial" w:hAnsi="Arial" w:eastAsia="Arial" w:cs="Arial"/>
          <w:b w:val="0"/>
        </w:rPr>
        <w:t>Arquitetura do Software</w:t>
      </w:r>
      <w:bookmarkEnd w:id="27"/>
    </w:p>
    <w:p w14:paraId="527CA8A8">
      <w:pPr>
        <w:pStyle w:val="4"/>
        <w:numPr>
          <w:ilvl w:val="1"/>
          <w:numId w:val="1"/>
        </w:numPr>
      </w:pPr>
      <w:bookmarkStart w:id="28" w:name="_Toc19727"/>
      <w:r>
        <w:rPr>
          <w:rFonts w:ascii="Arial" w:hAnsi="Arial" w:eastAsia="Arial" w:cs="Arial"/>
          <w:b w:val="0"/>
        </w:rPr>
        <w:t>Aspectos Funcionais e Não-Funcionais</w:t>
      </w:r>
      <w:bookmarkEnd w:id="28"/>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 A Figura 2 reúne esses atores e casos de uso.</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Cinco requisitos não funcionais orientaram o projeto. A reprodutibilidade exige que qualquer resultado possa ser reconstruído a partir dos dados originais, que permanecem imutáveis. A explicabilidade obriga o sistema a justificar cada indicação de prioridade, o que restringe a escolha às soluções cujas previsões possam ser decompostas e apresentadas ao gestor. A ausência de vazamento pede que a validação respeite a ordem do tempo e a proximidade geográfica: o sistema nunca pode ser avaliado com informação que não teria no momento do uso, sob pena de produzir números otimistas e falsos. A testabilidade cobre cada módulo com testes automatizados. E a portabilidade requer que a aplicação seja empacotável para implantação, sem depender da máquina de desenvolvimento.</w:t>
      </w:r>
    </w:p>
    <w:p w14:paraId="64DEEBC7">
      <w:pPr>
        <w:pStyle w:val="4"/>
        <w:numPr>
          <w:ilvl w:val="1"/>
          <w:numId w:val="1"/>
        </w:numPr>
      </w:pPr>
      <w:bookmarkStart w:id="29" w:name="_Toc12256"/>
      <w:r>
        <w:rPr>
          <w:rFonts w:ascii="Arial" w:hAnsi="Arial" w:eastAsia="Arial" w:cs="Arial"/>
          <w:b w:val="0"/>
        </w:rPr>
        <w:t>Visão Estrutural</w:t>
      </w:r>
      <w:bookmarkEnd w:id="29"/>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e sem ciclos, ou seja, nenhuma camada depende, direta ou indiretamente, de outra que dependa dela: a camada de características depende da camada de dados; a de modelo, da de características; a do painel, da de modelo. A configuração é transversal a todas. Os scripts de análise e os testes consomem as camadas de produção, e nenhuma camada de produção depende deles. É essa orientação acíclica, representada na Figura 3,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O acoplamento é fraco: nenhum componente precisa que o outro esteja em execução, o que permite retomar o fluxo a partir de qualquer etapa. A Figura 4 mostra esses componentes e o caminho percorrido pelos dados.</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30" w:name="_Toc3822"/>
      <w:r>
        <w:rPr>
          <w:rFonts w:ascii="Arial" w:hAnsi="Arial" w:eastAsia="Arial" w:cs="Arial"/>
          <w:b w:val="0"/>
        </w:rPr>
        <w:t>Visão Comportamental</w:t>
      </w:r>
      <w:bookmarkEnd w:id="30"/>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 A Figura 5 detalha essa sequência.</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1" w:name="_Toc29366"/>
      <w:r>
        <w:rPr>
          <w:rFonts w:ascii="Arial" w:hAnsi="Arial" w:eastAsia="Arial" w:cs="Arial"/>
          <w:b w:val="0"/>
        </w:rPr>
        <w:t>Visão de Implementação e Implantação</w:t>
      </w:r>
      <w:bookmarkEnd w:id="31"/>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 A Figura 6 representa esse arranjo.</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2" w:name="_Toc15927"/>
      <w:r>
        <w:rPr>
          <w:rFonts w:ascii="Arial" w:hAnsi="Arial" w:eastAsia="Arial" w:cs="Arial"/>
          <w:b w:val="0"/>
        </w:rPr>
        <w:t>Tecnologias e Aspectos de Implementação</w:t>
      </w:r>
      <w:bookmarkEnd w:id="32"/>
    </w:p>
    <w:p w14:paraId="6E080A24">
      <w:pPr>
        <w:pStyle w:val="4"/>
        <w:numPr>
          <w:ilvl w:val="1"/>
          <w:numId w:val="1"/>
        </w:numPr>
      </w:pPr>
      <w:bookmarkStart w:id="33" w:name="_Toc18971"/>
      <w:r>
        <w:rPr>
          <w:rFonts w:ascii="Arial" w:hAnsi="Arial" w:eastAsia="Arial" w:cs="Arial"/>
          <w:b w:val="0"/>
        </w:rPr>
        <w:t>Soluções de Tecnologia</w:t>
      </w:r>
      <w:bookmarkEnd w:id="33"/>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(McKINNEY, 2010) e NumPy (HARRIS et al., 2020); a leitura das planilhas do INEP usa o openpyxl.</w:t>
      </w:r>
    </w:p>
    <w:p w14:paraId="1615CA9A">
      <w:pPr>
        <w:pStyle w:val="3"/>
        <w:ind w:firstLine="0"/>
        <w:rPr>
          <w:color w:val="2E75B5"/>
        </w:rPr>
      </w:pPr>
      <w:r>
        <w:rPr>
          <w:rFonts w:ascii="Arial" w:hAnsi="Arial" w:eastAsia="Arial" w:cs="Arial"/>
          <w:b w:val="0"/>
        </w:rPr>
        <w:t>A construção do modelo usa o scikit-learn (PEDREGOSA et al., 2011) e o XGBoost (CHEN; GUESTRIN, 2016). Do scikit-learn vêm o preparo das características, os modelos de referência, a busca de configuração e os protocolos de validação; do XGBoost,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(LUNDBERG; LEE, 2017), otimizada para modelos baseados em árvores. As figuras são geradas com matplotlib (HUNTER, 2007).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4" w:name="_Toc8808"/>
      <w:r>
        <w:rPr>
          <w:rFonts w:ascii="Arial" w:hAnsi="Arial" w:eastAsia="Arial" w:cs="Arial"/>
          <w:b w:val="0"/>
        </w:rPr>
        <w:t>Aspectos de Implementação</w:t>
      </w:r>
      <w:bookmarkEnd w:id="34"/>
    </w:p>
    <w:p w14:paraId="1D664FD8">
      <w:pPr>
        <w:pStyle w:val="5"/>
        <w:numPr>
          <w:ilvl w:val="2"/>
          <w:numId w:val="1"/>
        </w:numPr>
      </w:pPr>
      <w:bookmarkStart w:id="35" w:name="_Toc4104"/>
      <w:r>
        <w:rPr>
          <w:rFonts w:ascii="Arial" w:hAnsi="Arial" w:eastAsia="Arial" w:cs="Arial"/>
          <w:b w:val="0"/>
        </w:rPr>
        <w:t>Estrutura do Código</w:t>
      </w:r>
      <w:bookmarkEnd w:id="35"/>
    </w:p>
    <w:p w14:paraId="5F719458">
      <w:pPr>
        <w:pStyle w:val="3"/>
        <w:ind w:firstLine="0"/>
        <w:rPr>
          <w:color w:val="2E75B5"/>
        </w:rPr>
      </w:pPr>
      <w:r>
        <w:rPr>
          <w:rFonts w:ascii="Arial" w:hAnsi="Arial" w:eastAsia="Arial" w:cs="Arial"/>
          <w:b w:val="0"/>
        </w:rPr>
        <w:t>A separação entre código de produção e código de análise, estabelecida no Capítulo 3, materializa-se em diretórios.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numerados na ordem em que devem ser executados, ficam em notebooks; a aplicação do painel, em app; e os testes, em tests.</w:t>
      </w:r>
    </w:p>
    <w:p w14:paraId="0DB58165">
      <w:pPr>
        <w:pStyle w:val="5"/>
        <w:numPr>
          <w:ilvl w:val="2"/>
          <w:numId w:val="1"/>
        </w:numPr>
      </w:pPr>
      <w:bookmarkStart w:id="36" w:name="_Toc25662"/>
      <w:r>
        <w:rPr>
          <w:rFonts w:ascii="Arial" w:hAnsi="Arial" w:eastAsia="Arial" w:cs="Arial"/>
          <w:b w:val="0"/>
        </w:rPr>
        <w:t>Fluxo dos Dados</w:t>
      </w:r>
      <w:bookmarkEnd w:id="36"/>
    </w:p>
    <w:p w14:paraId="067CFA9E">
      <w:pPr>
        <w:pStyle w:val="3"/>
        <w:ind w:firstLine="0"/>
        <w:rPr>
          <w:color w:val="2E75B5"/>
        </w:rPr>
      </w:pPr>
      <w:r>
        <w:rPr>
          <w:rFonts w:ascii="Arial" w:hAnsi="Arial" w:eastAsia="Arial" w:cs="Arial"/>
          <w:b w:val="0"/>
        </w:rPr>
        <w:t>Os três estágios de dados também correspondem a diretórios distintos: os arquivos originais do INEP, que permanecem imutáveis; os arquivos intermediários, um por fonte, já padronizados por escola e ano; e o conjunto final usado na previsão. Cada etapa lê o artefato da etapa anterior e grava o seu em disco, no formato Parquet. Como nenhuma etapa aciona a seguinte diretamente, é possível reexecutar apenas o trecho afetado por uma correção, sem repetir o fluxo inteiro.</w:t>
      </w:r>
    </w:p>
    <w:p w14:paraId="79BA5652">
      <w:pPr>
        <w:pStyle w:val="5"/>
        <w:numPr>
          <w:ilvl w:val="2"/>
          <w:numId w:val="1"/>
        </w:numPr>
      </w:pPr>
      <w:bookmarkStart w:id="37" w:name="_Toc20042"/>
      <w:r>
        <w:rPr>
          <w:rFonts w:ascii="Arial" w:hAnsi="Arial" w:eastAsia="Arial" w:cs="Arial"/>
          <w:b w:val="0"/>
        </w:rPr>
        <w:t>Painel Interativo</w:t>
      </w:r>
      <w:bookmarkEnd w:id="37"/>
    </w:p>
    <w:p w14:paraId="314579C9">
      <w:pPr>
        <w:pStyle w:val="3"/>
        <w:ind w:firstLine="0"/>
        <w:rPr>
          <w:color w:val="2E75B5"/>
        </w:rPr>
      </w:pPr>
      <w:r>
        <w:rPr>
          <w:rFonts w:ascii="Arial" w:hAnsi="Arial" w:eastAsia="Arial" w:cs="Arial"/>
          <w:b w:val="0"/>
        </w:rPr>
        <w:t>No painel, essa mesma disciplina se traduz em três partes. A camada de serviço concentra a regra de negócio: lista de risco, explicação por escola e diagnóstico. Um módulo à parte traduz os nomes técnicos das colunas para a linguagem do gestor. A interface apenas consome essas duas partes. O modelo e o conjunto de características são carregados uma única vez, quando a aplicação sobe, e as explicações de todas as escolas são calculadas nesse momento, de modo que a navegação entre filtros e abas não repete o cálculo. Como a regra vive fora da tela, ela é testada sem que a interface precise ser executada.</w:t>
      </w:r>
    </w:p>
    <w:p w14:paraId="7F290BC8">
      <w:pPr>
        <w:pStyle w:val="5"/>
        <w:numPr>
          <w:ilvl w:val="2"/>
          <w:numId w:val="1"/>
        </w:numPr>
      </w:pPr>
      <w:bookmarkStart w:id="38" w:name="_Toc25170"/>
      <w:r>
        <w:rPr>
          <w:rFonts w:ascii="Arial" w:hAnsi="Arial" w:eastAsia="Arial" w:cs="Arial"/>
          <w:b w:val="0"/>
        </w:rPr>
        <w:t>Testes Automatizados</w:t>
      </w:r>
      <w:bookmarkEnd w:id="38"/>
    </w:p>
    <w:p w14:paraId="79F7FAEC">
      <w:pPr>
        <w:pStyle w:val="3"/>
        <w:ind w:firstLine="0"/>
        <w:rPr>
          <w:color w:val="2E75B5"/>
        </w:rPr>
      </w:pPr>
      <w:r>
        <w:rPr>
          <w:rFonts w:ascii="Arial" w:hAnsi="Arial" w:eastAsia="Arial" w:cs="Arial"/>
          <w:b w:val="0"/>
        </w:rPr>
        <w:t>A suíte é executada pelo pytest e organizada em um módulo por camada. Os testes constroem os próprios dados sintéticos, pequenos e escritos no corpo de cada caso, de modo que nenhuma execução depende dos microdados do INEP — que são grandes e podem não estar disponíveis em outra máquina. Os riscos cobertos por cada módulo estão detalhados no Capítulo 6.</w:t>
      </w:r>
    </w:p>
    <w:p w14:paraId="5CDC61E9">
      <w:pPr>
        <w:pStyle w:val="5"/>
        <w:numPr>
          <w:ilvl w:val="2"/>
          <w:numId w:val="1"/>
        </w:numPr>
      </w:pPr>
      <w:bookmarkStart w:id="39" w:name="_Toc23843"/>
      <w:r>
        <w:rPr>
          <w:rFonts w:ascii="Arial" w:hAnsi="Arial" w:eastAsia="Arial" w:cs="Arial"/>
          <w:b w:val="0"/>
        </w:rPr>
        <w:t>Gerenciamento de Dependências</w:t>
      </w:r>
      <w:bookmarkEnd w:id="39"/>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atendendo ao requisito de reprodutibilidade estabelecido na arquitetura.</w:t>
      </w:r>
    </w:p>
    <w:p w14:paraId="7A9D3065">
      <w:pPr>
        <w:pStyle w:val="2"/>
        <w:numPr>
          <w:ilvl w:val="0"/>
          <w:numId w:val="1"/>
        </w:numPr>
        <w:rPr>
          <w:color w:val="000000"/>
        </w:rPr>
      </w:pPr>
      <w:bookmarkStart w:id="40" w:name="_Toc32674"/>
      <w:r>
        <w:rPr>
          <w:rFonts w:ascii="Arial" w:hAnsi="Arial" w:eastAsia="Arial" w:cs="Arial"/>
          <w:b w:val="0"/>
        </w:rPr>
        <w:t>Testes e Análise dos Resultados</w:t>
      </w:r>
      <w:bookmarkEnd w:id="40"/>
    </w:p>
    <w:p w14:paraId="5264F51A">
      <w:pPr>
        <w:pStyle w:val="4"/>
        <w:numPr>
          <w:ilvl w:val="1"/>
          <w:numId w:val="1"/>
        </w:numPr>
      </w:pPr>
      <w:bookmarkStart w:id="41" w:name="_Toc30784"/>
      <w:r>
        <w:rPr>
          <w:rFonts w:ascii="Arial" w:hAnsi="Arial" w:eastAsia="Arial" w:cs="Arial"/>
          <w:b w:val="0"/>
        </w:rPr>
        <w:t>Testes de Software</w:t>
      </w:r>
      <w:bookmarkEnd w:id="41"/>
    </w:p>
    <w:p w14:paraId="6D115D9C">
      <w:pPr>
        <w:pStyle w:val="3"/>
        <w:ind w:firstLine="0"/>
        <w:rPr>
          <w:color w:val="2E75B5"/>
        </w:rPr>
      </w:pPr>
      <w:r>
        <w:rPr>
          <w:rFonts w:ascii="Arial" w:hAnsi="Arial" w:eastAsia="Arial" w:cs="Arial"/>
          <w:b w:val="0"/>
        </w:rPr>
        <w:t xml:space="preserve">A corretude do sistema é garantida por uma suíte de </w:t>
      </w:r>
      <w:r>
        <w:rPr>
          <w:rFonts w:ascii="Arial" w:hAnsi="Arial" w:eastAsia="Arial" w:cs="Arial"/>
          <w:b w:val="0"/>
          <w:color w:val="1F4E9B"/>
          <w:highlight w:val="yellow"/>
        </w:rPr>
        <w:t>132 testes</w:t>
      </w:r>
      <w:r>
        <w:rPr>
          <w:rFonts w:ascii="Arial" w:hAnsi="Arial" w:eastAsia="Arial" w:cs="Arial"/>
          <w:b w:val="0"/>
        </w:rPr>
        <w:t xml:space="preserve"> automatizados, que roda por inteiro a cada alteração; todos passam na última execução. Mais do que a quantidade, importa o tipo de risco que eles cobrem. Em sistemas que aprendem a partir de dados, os erros de preparação em geral não interrompem a execução: produzem, em silêncio, um modelo inválido que continua respondendo normalmente, risco já documentado como característico de sistemas de aprendizado de máquina em produção (SCULLEY et al., 2015). Um deslocamento de um ano no casamento entre as características e o abandono, por exemplo, destruiria todo o valor preditivo sem gerar qualquer sintoma. Por isso os testes se concentram nos riscos que comprometeriam a validade dos resultados. O Quadro 4 relaciona os principais módulos de teste aos riscos que cada um cobre.</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r w14:paraId="1226E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CFCCD04">
            <w:r>
              <w:rPr>
                <w:rFonts w:ascii="Arial" w:hAnsi="Arial" w:eastAsia="Arial" w:cs="Arial"/>
                <w:b w:val="0"/>
                <w:sz w:val="18"/>
              </w:rPr>
              <w:t>test_predicao.py</w:t>
            </w:r>
          </w:p>
        </w:tc>
        <w:tc>
          <w:tcPr>
            <w:tcW w:w="6520" w:type="dxa"/>
          </w:tcPr>
          <w:p w14:paraId="1D3BE26E">
            <w:r>
              <w:rPr>
                <w:rFonts w:ascii="Arial" w:hAnsi="Arial" w:eastAsia="Arial" w:cs="Arial"/>
                <w:b w:val="0"/>
                <w:sz w:val="18"/>
              </w:rPr>
              <w:t>Geração da lista para um ano ainda não observado: características idênticas às do treino, ausência de lacunas e falha explícita quando o ano não tem dados</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42" w:name="_Toc25413"/>
      <w:r>
        <w:rPr>
          <w:rFonts w:ascii="Arial" w:hAnsi="Arial" w:eastAsia="Arial" w:cs="Arial"/>
          <w:b w:val="0"/>
        </w:rPr>
        <w:t>Caracterização dos Dados e Análise das Características Usadas</w:t>
      </w:r>
      <w:bookmarkEnd w:id="42"/>
    </w:p>
    <w:p w14:paraId="4D464269">
      <w:pPr>
        <w:pStyle w:val="5"/>
        <w:numPr>
          <w:ilvl w:val="2"/>
          <w:numId w:val="1"/>
        </w:numPr>
      </w:pPr>
      <w:bookmarkStart w:id="43" w:name="_Toc1038"/>
      <w:r>
        <w:rPr>
          <w:rFonts w:ascii="Arial" w:hAnsi="Arial" w:eastAsia="Arial" w:cs="Arial"/>
          <w:b w:val="0"/>
        </w:rPr>
        <w:t>Base Construída</w:t>
      </w:r>
      <w:bookmarkEnd w:id="43"/>
    </w:p>
    <w:p w14:paraId="4E588503">
      <w:pPr>
        <w:pStyle w:val="3"/>
        <w:ind w:firstLine="0"/>
        <w:rPr>
          <w:color w:val="2E75B5"/>
        </w:rPr>
      </w:pPr>
      <w:r>
        <w:rPr>
          <w:rFonts w:ascii="Arial" w:hAnsi="Arial" w:eastAsia="Arial" w:cs="Arial"/>
          <w:b w:val="0"/>
        </w:rPr>
        <w:t>A base histórica reúne 2.392 registros de 806 escolas, 97,4% delas presentes nos três anos,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5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D9B71D0">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2022 para 2023 e 2023 para 2024, de modo que as 791 linhas de 2024 não servem de origem, por não haver 2025 a observar. Essas linhas não se perdem: são o alvo das linhas de 2023. Descontadas,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44" w:name="_Toc6874"/>
      <w:r>
        <w:rPr>
          <w:rFonts w:ascii="Arial" w:hAnsi="Arial" w:eastAsia="Arial" w:cs="Arial"/>
          <w:b w:val="0"/>
        </w:rPr>
        <w:t>O Que o Sistema Prevê</w:t>
      </w:r>
      <w:bookmarkEnd w:id="44"/>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Em 68% das observações a taxa é exatamente zero, ou seja, a maioria das escolas não registra abandono no ano. E o risco é muito desigual entre grupos: em 2024 a taxa média foi de 0,6% nas 679 escolas urbanas (desvio-padrão de 1,8 ponto), 0,9% nas 70 rurais (desvio-padrão de 1,8) e 6,3% nas 42 escolas indígenas e quilombolas (desvio-padrão de 8,9). O desvio elevado neste último grupo mostra que a média alta não é uniforme: convivem escolas sem abandono algum e escolas com taxas acima de 30%.</w:t>
      </w:r>
    </w:p>
    <w:p w14:paraId="19559515">
      <w:pPr>
        <w:pStyle w:val="3"/>
        <w:ind w:firstLine="0"/>
        <w:rPr>
          <w:color w:val="2E75B5"/>
        </w:rPr>
      </w:pPr>
      <w:r>
        <w:rPr>
          <w:rFonts w:ascii="Arial" w:hAnsi="Arial" w:eastAsia="Arial" w:cs="Arial"/>
          <w:b w:val="0"/>
        </w:rPr>
        <w:t>A Figura 7 resume esses dois traços. No painel da esquerda, as observações de escola e ano estão distribuídas por faixa de abandono: a barra “nenhum abandono” concentra 68% dos casos, e as faixas seguintes, de baixo a crítico, encolhem rapidamente, de modo que apenas 2% das observações superam 10% de abandono. No painel da direita está a taxa média de 2024 por grupo de localização, que torna visível a desigualdade descrita acima: as barras urbana e rural ficam próximas de zero, enquanto a das escolas indígenas e quilombolas se destaca, mais de dez vezes acima. Juntos, os dois painéis explicam por que o valor médio da taxa diz pouco e por que o esforço do sistema se volta para ordenar as escolas por risco.</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79745" cy="1981291"/>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5" w:name="_Toc20205"/>
      <w:r>
        <w:rPr>
          <w:rFonts w:ascii="Arial" w:hAnsi="Arial" w:eastAsia="Arial" w:cs="Arial"/>
          <w:b w:val="0"/>
        </w:rPr>
        <w:t>Análise Estatística das Características Contínuas</w:t>
      </w:r>
      <w:bookmarkEnd w:id="45"/>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color w:val="1F4E9B"/>
          <w:highlight w:val="yellow"/>
        </w:rPr>
        <w:t>As taxas de rendimento e os quatro indicadores educacionais que aparecem no quadro merecem definição. As taxas de abandono e de reprovação do ano anterior são percentuais de matrículas publicados pelo INEP, apresentados para o Ensino Médio como um todo e para cada série.</w:t>
      </w:r>
    </w:p>
    <w:p w14:paraId="14A85065">
      <w:pPr>
        <w:pStyle w:val="3"/>
        <w:ind w:firstLine="0"/>
        <w:rPr>
          <w:color w:val="2E75B5"/>
        </w:rPr>
      </w:pPr>
      <w:r>
        <w:rPr>
          <w:rFonts w:ascii="Arial" w:hAnsi="Arial" w:eastAsia="Arial" w:cs="Arial"/>
          <w:b w:val="0"/>
          <w:color w:val="1F4E9B"/>
          <w:highlight w:val="yellow"/>
        </w:rPr>
        <w:t>A distorção idade-série, referida no restante do texto e nos quadros do Apêndice A também como defasagem idade-série, é o percentual de alunos com dois anos ou mais acima da idade esperada para a série que cursam.</w:t>
      </w:r>
    </w:p>
    <w:p w14:paraId="7841EB8B">
      <w:pPr>
        <w:pStyle w:val="3"/>
        <w:ind w:firstLine="0"/>
        <w:rPr>
          <w:color w:val="2E75B5"/>
        </w:rPr>
      </w:pPr>
      <w:r>
        <w:rPr>
          <w:rFonts w:ascii="Arial" w:hAnsi="Arial" w:eastAsia="Arial" w:cs="Arial"/>
          <w:b w:val="0"/>
          <w:color w:val="1F4E9B"/>
          <w:highlight w:val="yellow"/>
        </w:rPr>
        <w:t>O nível socioeconômico (INSE) é uma escala contínua calculada pelo INEP a partir do perfil das famílias dos alunos (BRASIL, 2024b): escolaridade dos pais, renda e bens do domicílio. Valores maiores indicam comunidades mais favorecidas. Entre as 69.820 escolas brasileiras avaliadas em 2021 a escala vai de 2,45 a 6,85; nesta rede, varia de 2,97 a 6,10, com média de 4,46.</w:t>
      </w:r>
    </w:p>
    <w:p w14:paraId="251A6EAD">
      <w:pPr>
        <w:pStyle w:val="3"/>
        <w:ind w:firstLine="0"/>
        <w:rPr>
          <w:color w:val="2E75B5"/>
        </w:rPr>
      </w:pPr>
      <w:r>
        <w:rPr>
          <w:rFonts w:ascii="Arial" w:hAnsi="Arial" w:eastAsia="Arial" w:cs="Arial"/>
          <w:b w:val="0"/>
          <w:color w:val="1F4E9B"/>
          <w:highlight w:val="yellow"/>
        </w:rPr>
        <w:t>A adequação da formação docente reparte os professores da escola em cinco grupos que somam 100%. O Grupo 1 reúne os professores com licenciatura na própria disciplina que lecionam, a formação considerada ideal; o Grupo 3, os de licenciatura em área diferente; e o Grupo 5, os sem ensino superior. Apenas esses três entram no sistema, por resumirem os dois extremos e o caso intermediário mais comum.</w:t>
      </w:r>
    </w:p>
    <w:p w14:paraId="49815EC8">
      <w:pPr>
        <w:pStyle w:val="3"/>
        <w:ind w:firstLine="0"/>
        <w:rPr>
          <w:color w:val="2E75B5"/>
        </w:rPr>
      </w:pPr>
      <w:r>
        <w:rPr>
          <w:rFonts w:ascii="Arial" w:hAnsi="Arial" w:eastAsia="Arial" w:cs="Arial"/>
          <w:b w:val="0"/>
          <w:color w:val="1F4E9B"/>
          <w:highlight w:val="yellow"/>
        </w:rPr>
        <w:t>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e a mediana é o valor que divide a rede ao meio; quando fica muito abaixo da média, indica que poucas escolas com valores altos puxam o resultado para cima. A última coluna resume a relação de cada característica com o abandono do ano seguinte por um indicador que varia de −1 a +1: positivo significa que a característica acompanha o aumento do abandono; negativo, que acompanha a redução; e quanto mais distante de zero, mais forte a associação. Os asteriscos indicam a confiança do resultado (* 95%, ** 99%, *** 99,9%); sem asterisco, a relação não se distingue do acaso. As unidades variam conforme a linha: as taxas de abandono, de reprovação e de distorção idade-série, assim como as proporções de matrícula e de formação docente, estão em pontos percentuais; as demais seguem as escalas descritas acima. O porte é a única característica transformada, pois entra no sistema como logaritmo do número de matrículas, para que escolas muito grandes não dominem a comparação; por isso a mediana de 5,87 do quadro corresponde a cerca de 350 matrículas.</w:t>
      </w: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17,8% do conjunto,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As características de fluxo concentram-se em zero: metade das escolas não registrou abandono no ano anterior, e a média de 1,72% é puxada por poucas escolas com valores muito altos, até 43,6%. O tempo integral comporta-se de forma quase binária, com a rede dividida entre escolas totalmente integrais e escolas sem nenhuma matrícula nessa modalidade, e pouca coisa no meio. Já a defasagem idade-série distribui-se de maneira equilibrada, em torno de 23%, o que a torna especialmente útil para diferenciar escolas. A Figura 8 reúne a distribuição das 23 características em um único painel.</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040"/>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59450" cy="6416568"/>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6" w:name="_Toc23935"/>
      <w:r>
        <w:rPr>
          <w:rFonts w:ascii="Arial" w:hAnsi="Arial" w:eastAsia="Arial" w:cs="Arial"/>
          <w:b w:val="0"/>
        </w:rPr>
        <w:t>Análise Estatística das Características de Sim ou Não</w:t>
      </w:r>
      <w:bookmarkEnd w:id="46"/>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está na localização, não na infraestrutura.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entre as escolas que têm o atributo e as que não têm, e por isso se completam: somadas, dão o total da rede. As duas colunas seguintes são de outra natureza, pois cada uma traz a taxa média de abandono no ano seguinte dentro de um desses grupos. São duas médias do mesmo indicador, medidas em conjuntos diferentes de escolas, e não há razão para que se somem a 100%;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 A Figura 9 apresenta a mesma comparação em forma gráfica.</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7" w:name="_Toc13530"/>
      <w:r>
        <w:rPr>
          <w:rFonts w:ascii="Arial" w:hAnsi="Arial" w:eastAsia="Arial" w:cs="Arial"/>
          <w:b w:val="0"/>
        </w:rPr>
        <w:t>A Região do Estado</w:t>
      </w:r>
      <w:bookmarkEnd w:id="47"/>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 O Quadro 8 e a Figura 10 detalham o peso de cada região no conjunto de dados e o abandono médio observado em cada uma.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79745" cy="1983969"/>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8" w:name="_Toc23365"/>
      <w:r>
        <w:rPr>
          <w:rFonts w:ascii="Arial" w:hAnsi="Arial" w:eastAsia="Arial" w:cs="Arial"/>
          <w:b w:val="0"/>
        </w:rPr>
        <w:t>Quais Características Têm Valor para a Previsão</w:t>
      </w:r>
      <w:bookmarkEnd w:id="48"/>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não se separaram do acaso: Porte (nº de matrículas), Adequação da formação docente — Grupo 3, Banda larga, Esgoto em rede pública, Água potável, Internet, Auditório e Sala de leitura.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 A Figura 11 ordena todas as características numéricas por essa relação.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2565"/>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59655" cy="5282590"/>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mais forte, de longe, é o histórico recente da própria escola: abandono e reprovação do ano anterior. Vem depois o perfil dos alunos, com a defasagem idade-série e o nível socioeconômico. Por último,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o esforço docente e a complexidade de gestão, foram submetidos ao mesmo critério e não entraram no sistema. O esforço docente tem relação fraca com o abandono; a complexidade de gestão repete a informação já trazida pela defasagem idade-série. Uma comparação controlada, com e sem os dois, confirmou a ausência de ganho: a qualidade da ordenação ficou praticamente idêntica e o erro médio piorou ligeiramente. Contratar um segundo funcionário para o serviço que o primeiro já faz não aumenta a produção. Ambos permanecem no projeto apenas como caracterização descritiva da rede.</w:t>
      </w:r>
    </w:p>
    <w:p w14:paraId="63600EC3">
      <w:pPr>
        <w:pStyle w:val="3"/>
        <w:ind w:firstLine="0"/>
        <w:rPr>
          <w:color w:val="2E75B5"/>
        </w:rPr>
      </w:pPr>
      <w:r>
        <w:rPr>
          <w:rFonts w:ascii="Arial" w:hAnsi="Arial" w:eastAsia="Arial" w:cs="Arial"/>
          <w:b w:val="0"/>
        </w:rPr>
        <w:t>A caracterização das escolas fixa o critério que orienta o restante do capítulo. Como o que se exige do sistema é colocar no topo da lista as escolas que de fato terão abandono alto, a avaliação a seguir julga sobretudo a ordem prevista, e não o valor exato da taxa.</w:t>
      </w:r>
    </w:p>
    <w:p w14:paraId="3F71063F">
      <w:pPr>
        <w:pStyle w:val="4"/>
        <w:numPr>
          <w:ilvl w:val="1"/>
          <w:numId w:val="1"/>
        </w:numPr>
      </w:pPr>
      <w:bookmarkStart w:id="49" w:name="_Toc386"/>
      <w:r>
        <w:rPr>
          <w:rFonts w:ascii="Arial" w:hAnsi="Arial" w:eastAsia="Arial" w:cs="Arial"/>
          <w:b w:val="0"/>
        </w:rPr>
        <w:t>Desempenho do Sistema</w:t>
      </w:r>
      <w:bookmarkEnd w:id="49"/>
    </w:p>
    <w:p w14:paraId="4805032B">
      <w:pPr>
        <w:pStyle w:val="5"/>
        <w:numPr>
          <w:ilvl w:val="2"/>
          <w:numId w:val="1"/>
        </w:numPr>
      </w:pPr>
      <w:bookmarkStart w:id="50" w:name="_Toc9598"/>
      <w:r>
        <w:rPr>
          <w:rFonts w:ascii="Arial" w:hAnsi="Arial" w:eastAsia="Arial" w:cs="Arial"/>
          <w:b w:val="0"/>
        </w:rPr>
        <w:t>Como o Desempenho Foi Medido</w:t>
      </w:r>
      <w:bookmarkEnd w:id="50"/>
    </w:p>
    <w:p w14:paraId="22E30C10">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mais exigente: treinar com o par 2022–2023 e prever o par 2023–2024, isto é, um ano que o sistema nunca viu. É esse que simula o uso real. Ambos seguem a recomendação de que dados com estrutura espacial ou temporal exijam esquemas de validação capazes de separar os blocos dependentes, sob pena de superestimar o desempenho (ROBERTS et al., 2017).</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242E4030">
      <w:pPr>
        <w:pStyle w:val="5"/>
        <w:numPr>
          <w:ilvl w:val="2"/>
          <w:numId w:val="1"/>
        </w:numPr>
      </w:pPr>
      <w:bookmarkStart w:id="51" w:name="_Toc3041"/>
      <w:r>
        <w:rPr>
          <w:rFonts w:ascii="Arial" w:hAnsi="Arial" w:eastAsia="Arial" w:cs="Arial"/>
          <w:b w:val="0"/>
        </w:rPr>
        <w:t>Resultados em Validação Repetida</w:t>
      </w:r>
      <w:bookmarkEnd w:id="51"/>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20AAE76">
      <w:pPr>
        <w:pStyle w:val="3"/>
        <w:ind w:firstLine="0"/>
        <w:rPr>
          <w:color w:val="2E75B5"/>
        </w:rPr>
      </w:pPr>
      <w:r>
        <w:rPr>
          <w:rFonts w:ascii="Arial" w:hAnsi="Arial" w:eastAsia="Arial" w:cs="Arial"/>
          <w:b w:val="0"/>
        </w:rPr>
        <w:t>Cada coluna do Quadro 9 conta uma história diferente. O erro médio melhora pouco: o sistema continua errando o valor exato da taxa. Já a ordenação e o acerto da lista prioritária melhoram muito em relação à média da rede. Na ordenação os três modelos ficam praticamente empatados, com intervalos de confiança que se sobrepõem e sem vencedor claro, e o modelo adotado acompanha os demais: das escolas que ele aponta como prioritárias, cerca de metade estava de fato entre as mais críticas, contra 7 em cada 100 na escolha ao acaso, sete vezes mais. A Figura 12 mostra como essas três medidas se distribuem ao longo das 20 repetições.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79745" cy="1667682"/>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2" w:name="_Toc24161"/>
      <w:r>
        <w:rPr>
          <w:rFonts w:ascii="Arial" w:hAnsi="Arial" w:eastAsia="Arial" w:cs="Arial"/>
          <w:b w:val="0"/>
        </w:rPr>
        <w:t>Resultados no Teste do Ano Nunca Visto</w:t>
      </w:r>
      <w:bookmarkEnd w:id="52"/>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eastAsia="Arial" w:cs="Arial"/>
          <w:b w:val="0"/>
        </w:rPr>
        <w:t>O Quadro 10 traz o achado mais relevante da avaliação. Entre um ciclo e outro o abandono médio da rede caiu, e nenhum modelo superou o piso trivial no erro de magnitude: todos erram sistematicamente o nível da taxa. As medidas de ordenação, porém, permanecem muito acima do piso. O sistema continua identificando quais escolas terão abandono alto, mesmo errando o valor.</w:t>
      </w:r>
    </w:p>
    <w:p w14:paraId="5FA6047C">
      <w:pPr>
        <w:pStyle w:val="3"/>
        <w:ind w:firstLine="0"/>
        <w:rPr>
          <w:color w:val="2E75B5"/>
        </w:rPr>
      </w:pPr>
      <w:r>
        <w:rPr>
          <w:rFonts w:ascii="Arial" w:hAnsi="Arial" w:eastAsia="Arial" w:cs="Arial"/>
          <w:b w:val="0"/>
        </w:rPr>
        <w:t>O sistema se comporta como um termômetro descalibrado: erra alguns graus, mas aponta corretamente quem está com mais febre. Para priorizar intervenções, é a ordem que importa. A limitação de magnitude vem da janela curta de dados, apenas dois pares de anos,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0,798 para o modelo adotado, na faixa típica dos estudos da área.</w:t>
      </w:r>
    </w:p>
    <w:p w14:paraId="6F1254E4">
      <w:pPr>
        <w:pStyle w:val="3"/>
        <w:ind w:firstLine="0"/>
        <w:rPr>
          <w:color w:val="2E75B5"/>
        </w:rPr>
      </w:pPr>
      <w:r>
        <w:rPr>
          <w:rFonts w:ascii="Arial" w:hAnsi="Arial" w:eastAsia="Arial" w:cs="Arial"/>
          <w:b w:val="0"/>
        </w:rPr>
        <w:t>Entre modelos tão próximos, o XGBoost foi mantido como modelo principal por duas razões, reconhecendo-se que a escolha não é imposta pelos números. A primeira tem a ver com o propósito do sistema. Como o objetivo é priorizar, isto é, ordenar as escolas por risco, as medidas que mais importam são a ordenação e o acerto da lista prioritária, e é nelas que o modelo adotado se sai melhor no teste do ano nunca visto, o cenário que reproduz o uso real de treinar com o passado e prever um ano ainda não observado. O modelo em árvores de referência leva vantagem no erro de magnitude e na separação entre escolas críticas e não críticas, dimensões menos centrais para a decisão de onde intervir primeiro. A segunda razão é prática: é sobre o modelo adotado que se constroem as explicações apresentadas na seção seguinte, que informam ao gestor o porquê de cada previsão. Como as diferenças entre os três modelos permanecem dentro da margem de incerteza, a escolha não representa perda de desempenho relevante.</w:t>
      </w:r>
    </w:p>
    <w:p w14:paraId="24977E46">
      <w:pPr>
        <w:pStyle w:val="5"/>
        <w:numPr>
          <w:ilvl w:val="2"/>
          <w:numId w:val="1"/>
        </w:numPr>
      </w:pPr>
      <w:bookmarkStart w:id="53" w:name="_Toc8150"/>
      <w:r>
        <w:rPr>
          <w:rFonts w:ascii="Arial" w:hAnsi="Arial" w:eastAsia="Arial" w:cs="Arial"/>
          <w:b w:val="0"/>
        </w:rPr>
        <w:t>Resultados em Cada Transição Anual</w:t>
      </w:r>
      <w:bookmarkEnd w:id="53"/>
    </w:p>
    <w:p w14:paraId="68971E2A">
      <w:pPr>
        <w:pStyle w:val="3"/>
        <w:ind w:firstLine="0"/>
        <w:rPr>
          <w:color w:val="2E75B5"/>
        </w:rPr>
      </w:pPr>
      <w:r>
        <w:rPr>
          <w:rFonts w:ascii="Arial" w:hAnsi="Arial" w:eastAsia="Arial" w:cs="Arial"/>
          <w:b w:val="0"/>
        </w:rPr>
        <w:t>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a mesma régua do Quadro 9, aqui separada por ano em vez de agregada. É sempre o mesmo modelo; muda apenas o ano de referência. O Quadro 11 reúne os resultados dos dois cenários.</w:t>
      </w:r>
    </w:p>
    <w:p w14:paraId="07971620">
      <w:pPr>
        <w:pStyle w:val="3"/>
        <w:ind w:firstLine="0"/>
        <w:rPr>
          <w:color w:val="2E75B5"/>
        </w:rPr>
      </w:pPr>
      <w:r>
        <w:rPr>
          <w:rFonts w:ascii="Arial" w:hAnsi="Arial"/>
          <w:sz w:val="22"/>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8BDAD81">
            <w:r>
              <w:rPr>
                <w:rFonts w:ascii="Arial" w:hAnsi="Arial" w:eastAsia="Arial" w:cs="Arial"/>
                <w:b/>
                <w:sz w:val="18"/>
              </w:rPr>
              <w:t>Indicador de desempenho</w:t>
            </w:r>
          </w:p>
        </w:tc>
        <w:tc>
          <w:tcPr>
            <w:tcW w:w="2484" w:type="dxa"/>
          </w:tcPr>
          <w:p w14:paraId="434758FF">
            <w:r>
              <w:rPr>
                <w:rFonts w:ascii="Arial" w:hAnsi="Arial" w:eastAsia="Arial" w:cs="Arial"/>
                <w:b/>
                <w:sz w:val="18"/>
              </w:rPr>
              <w:t>Cenário 2022 → 2023</w:t>
            </w:r>
          </w:p>
        </w:tc>
        <w:tc>
          <w:tcPr>
            <w:tcW w:w="2484" w:type="dxa"/>
          </w:tcPr>
          <w:p w14:paraId="7D368DAD">
            <w:r>
              <w:rPr>
                <w:rFonts w:ascii="Arial" w:hAnsi="Arial" w:eastAsia="Arial" w:cs="Arial"/>
                <w:b/>
                <w:sz w:val="18"/>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sz w:val="18"/>
              </w:rPr>
              <w:t>Erro médio da taxa, p.p. (RMSE) — menor é melhor</w:t>
            </w:r>
          </w:p>
        </w:tc>
        <w:tc>
          <w:tcPr>
            <w:tcW w:w="2484" w:type="dxa"/>
          </w:tcPr>
          <w:p w14:paraId="290B08DD">
            <w:r>
              <w:rPr>
                <w:rFonts w:ascii="Arial" w:hAnsi="Arial" w:eastAsia="Arial" w:cs="Arial"/>
                <w:b w:val="0"/>
                <w:sz w:val="18"/>
              </w:rPr>
              <w:t>2,82 ± 0,34</w:t>
            </w:r>
          </w:p>
        </w:tc>
        <w:tc>
          <w:tcPr>
            <w:tcW w:w="2484" w:type="dxa"/>
          </w:tcPr>
          <w:p w14:paraId="4AFD25CB">
            <w:r>
              <w:rPr>
                <w:rFonts w:ascii="Arial" w:hAnsi="Arial" w:eastAsia="Arial" w:cs="Arial"/>
                <w:b w:val="0"/>
                <w:sz w:val="18"/>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sz w:val="18"/>
              </w:rPr>
              <w:t>Acerto da ordenação, de 0 a 1 (Spearman)</w:t>
            </w:r>
          </w:p>
        </w:tc>
        <w:tc>
          <w:tcPr>
            <w:tcW w:w="2484" w:type="dxa"/>
          </w:tcPr>
          <w:p w14:paraId="44C44AAA">
            <w:r>
              <w:rPr>
                <w:rFonts w:ascii="Arial" w:hAnsi="Arial" w:eastAsia="Arial" w:cs="Arial"/>
                <w:b w:val="0"/>
                <w:sz w:val="18"/>
              </w:rPr>
              <w:t>0,469 ± 0,039</w:t>
            </w:r>
          </w:p>
        </w:tc>
        <w:tc>
          <w:tcPr>
            <w:tcW w:w="2484" w:type="dxa"/>
          </w:tcPr>
          <w:p w14:paraId="3904D936">
            <w:r>
              <w:rPr>
                <w:rFonts w:ascii="Arial" w:hAnsi="Arial" w:eastAsia="Arial" w:cs="Arial"/>
                <w:b w:val="0"/>
                <w:sz w:val="18"/>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sz w:val="18"/>
              </w:rPr>
              <w:t>Acerto na lista prioritária, top 10% (Precision@K)</w:t>
            </w:r>
          </w:p>
        </w:tc>
        <w:tc>
          <w:tcPr>
            <w:tcW w:w="2484" w:type="dxa"/>
          </w:tcPr>
          <w:p w14:paraId="05EBC5C6">
            <w:r>
              <w:rPr>
                <w:rFonts w:ascii="Arial" w:hAnsi="Arial" w:eastAsia="Arial" w:cs="Arial"/>
                <w:b w:val="0"/>
                <w:sz w:val="18"/>
              </w:rPr>
              <w:t>0,627 ± 0,060</w:t>
            </w:r>
          </w:p>
        </w:tc>
        <w:tc>
          <w:tcPr>
            <w:tcW w:w="2484" w:type="dxa"/>
          </w:tcPr>
          <w:p w14:paraId="5ADDB3E1">
            <w:r>
              <w:rPr>
                <w:rFonts w:ascii="Arial" w:hAnsi="Arial" w:eastAsia="Arial" w:cs="Arial"/>
                <w:b w:val="0"/>
                <w:sz w:val="18"/>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sz w:val="18"/>
              </w:rPr>
              <w:t>Separação alto/baixo risco (ROC-AUC)</w:t>
            </w:r>
          </w:p>
        </w:tc>
        <w:tc>
          <w:tcPr>
            <w:tcW w:w="2484" w:type="dxa"/>
          </w:tcPr>
          <w:p w14:paraId="240799C6">
            <w:r>
              <w:rPr>
                <w:rFonts w:ascii="Arial" w:hAnsi="Arial" w:eastAsia="Arial" w:cs="Arial"/>
                <w:b w:val="0"/>
                <w:sz w:val="18"/>
              </w:rPr>
              <w:t>0,901 ± 0,035</w:t>
            </w:r>
          </w:p>
        </w:tc>
        <w:tc>
          <w:tcPr>
            <w:tcW w:w="2484" w:type="dxa"/>
          </w:tcPr>
          <w:p w14:paraId="1B1D9CD6">
            <w:r>
              <w:rPr>
                <w:rFonts w:ascii="Arial" w:hAnsi="Arial" w:eastAsia="Arial" w:cs="Arial"/>
                <w:b w:val="0"/>
                <w:sz w:val="18"/>
              </w:rPr>
              <w:t>0,813 ± 0,019</w:t>
            </w:r>
          </w:p>
        </w:tc>
      </w:tr>
    </w:tbl>
    <w:p w14:paraId="1C5D7AC1">
      <w:pPr>
        <w:pStyle w:val="3"/>
        <w:ind w:firstLine="0"/>
        <w:rPr>
          <w:color w:val="2E75B5"/>
        </w:rPr>
      </w:pPr>
      <w:r>
        <w:rPr>
          <w:rFonts w:ascii="Arial" w:hAnsi="Arial"/>
          <w:sz w:val="22"/>
        </w:rPr>
        <w:t>Fonte: elaborado pelo autor.</w:t>
      </w:r>
    </w:p>
    <w:p w14:paraId="326796B6">
      <w:pPr>
        <w:pStyle w:val="3"/>
        <w:ind w:firstLine="0"/>
        <w:rPr>
          <w:color w:val="2E75B5"/>
        </w:rPr>
      </w:pPr>
      <w:r>
        <w:rPr>
          <w:rFonts w:ascii="Arial" w:hAnsi="Arial" w:eastAsia="Arial" w:cs="Arial"/>
          <w:b w:val="0"/>
        </w:rPr>
        <w:t>O modelo mantém utilidade nas duas transições, mas rende mais na primeira. Na transição de 2022 para 2023, entre as escolas que ele coloca no topo da lista de prioridade, 63% estão de fato entre as de maior abandono; na de 2023 para 2024, esse acerto cai para 38%, ainda muito acima dos cerca de 10% de uma escolha ao acaso. A queda acompanha a própria mudança da rede: o abandono médio caiu de 1,36% para 0,88% e as escolas se aproximaram de zero, o que ao mesmo tempo reduz o erro absoluto e comprime o sinal que permite ordená-las. Mesmo no cenário mais difícil, a capacidade de separar as escolas de alto risco das demais permanece alta (0,81 numa escala em que 0,5 é o acaso). Tomados em conjunto, os dois cenários cercam os valores do Quadro 9, que avalia as duas transições agregadas, sinal de que a decomposição é coerente com o desempenho global e não efeito de um ano específico. A Figura 13 apresenta os dois cenários lado a lado.</w:t>
      </w:r>
    </w:p>
    <w:p w14:paraId="06ABB063">
      <w:pPr>
        <w:pStyle w:val="3"/>
        <w:ind w:firstLine="0"/>
        <w:rPr>
          <w:color w:val="2E75B5"/>
        </w:rPr>
      </w:pPr>
      <w:r>
        <w:rPr>
          <w:rFonts w:ascii="Arial" w:hAnsi="Arial"/>
          <w:sz w:val="22"/>
        </w:rPr>
        <w:t>Figura 13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sz w:val="22"/>
        </w:rPr>
        <w:t>Fonte: elaborado pelo autor.</w:t>
      </w:r>
    </w:p>
    <w:p w14:paraId="433FF695">
      <w:pPr>
        <w:pStyle w:val="3"/>
        <w:ind w:firstLine="0"/>
        <w:rPr>
          <w:color w:val="2E75B5"/>
        </w:rPr>
      </w:pPr>
      <w:r>
        <w:rPr>
          <w:rFonts w:ascii="Arial" w:hAnsi="Arial" w:eastAsia="Arial" w:cs="Arial"/>
          <w:b w:val="0"/>
        </w:rPr>
        <w:t>A mesma comparação entre os dois anos pode ser lida em número de alunos, e não em taxa. Convertendo a taxa de abandono de cada escola em quantidade de estudantes, ou seja, multiplicando-a pela matrícula do ensino médio no ano em que o abandono é medido, o resíduo passa a exprimir quantos alunos o sistema errou, para mais ou para menos, em cada escola. A Figura 14 apresenta esse resíduo, escola a escola, nas duas transições. Em ambas, a maioria das escolas concentra-se em torno de zero e o erro médio é de cerca de três alunos por escola (3,3 na transição de 2022 para 2023 e 3,0 na de 2023 para 2024), sem tendência sistemática de superestimar ou subestimar; as poucas escolas de maior porte, com dezenas de evasões, concentram os maiores desvios.</w:t>
      </w:r>
    </w:p>
    <w:p w14:paraId="23069A4F">
      <w:pPr>
        <w:pStyle w:val="3"/>
        <w:ind w:firstLine="0"/>
        <w:rPr>
          <w:color w:val="2E75B5"/>
        </w:rPr>
      </w:pPr>
      <w:r>
        <w:rPr>
          <w:rFonts w:ascii="Arial" w:hAnsi="Arial"/>
          <w:sz w:val="22"/>
        </w:rPr>
        <w:t>Figura 14 – Resíduo do modelo por escola, em número de alunos que abandonaram o ensino médio, nas transições 2022–2023 e 2023–2024</w:t>
      </w:r>
    </w:p>
    <w:p w14:paraId="682A6D0E">
      <w:pPr>
        <w:pStyle w:val="3"/>
        <w:jc w:val="center"/>
      </w:pPr>
      <w:r>
        <w:drawing>
          <wp:inline distT="0" distB="0" distL="114300" distR="114300">
            <wp:extent cx="5579745" cy="2139950"/>
            <wp:effectExtent l="0" t="0" r="825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580000" cy="2140384"/>
                    </a:xfrm>
                    <a:prstGeom prst="rect">
                      <a:avLst/>
                    </a:prstGeom>
                  </pic:spPr>
                </pic:pic>
              </a:graphicData>
            </a:graphic>
          </wp:inline>
        </w:drawing>
      </w:r>
    </w:p>
    <w:p w14:paraId="58A849A6">
      <w:pPr>
        <w:pStyle w:val="3"/>
        <w:ind w:firstLine="0"/>
        <w:rPr>
          <w:color w:val="2E75B5"/>
        </w:rPr>
      </w:pPr>
      <w:r>
        <w:rPr>
          <w:rFonts w:ascii="Arial" w:hAnsi="Arial"/>
          <w:sz w:val="22"/>
        </w:rPr>
        <w:t>Fonte: elaborado pelo autor.</w:t>
      </w:r>
    </w:p>
    <w:p w14:paraId="2277BBB5">
      <w:pPr>
        <w:pStyle w:val="4"/>
        <w:numPr>
          <w:ilvl w:val="1"/>
          <w:numId w:val="1"/>
        </w:numPr>
      </w:pPr>
      <w:bookmarkStart w:id="54" w:name="_Toc4814"/>
      <w:r>
        <w:rPr>
          <w:rFonts w:ascii="Arial" w:hAnsi="Arial" w:eastAsia="Arial" w:cs="Arial"/>
          <w:b w:val="0"/>
        </w:rPr>
        <w:t>Capacidade de Priorização</w:t>
      </w:r>
      <w:bookmarkEnd w:id="54"/>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como ele prevê uma taxa, e não um rótulo de “em risco” ou “fora de risco”, o ponto de corte da lista pode ser escolhido depois, conforme o orçamento disponível.</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Vale aqui o princípio da triagem de um pronto-socorro: com vagas limitadas, a fila ordenada por gravidade encontra muito mais casos graves do que o atendimento por ordem de chegada. A Figura 15 compara o alcance da lista do sistema com o da escolha ao acaso, e a Figura 16 mostra como o acerto e o alcance variam conforme o tamanho da lista.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579745" cy="1981291"/>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579745" cy="2134959"/>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55" w:name="_Toc11600"/>
      <w:r>
        <w:rPr>
          <w:rFonts w:ascii="Arial" w:hAnsi="Arial" w:eastAsia="Arial" w:cs="Arial"/>
          <w:b w:val="0"/>
        </w:rPr>
        <w:t>Explicação das Indicações</w:t>
      </w:r>
      <w:bookmarkEnd w:id="55"/>
    </w:p>
    <w:p w14:paraId="4564E80B">
      <w:pPr>
        <w:pStyle w:val="5"/>
        <w:numPr>
          <w:ilvl w:val="2"/>
          <w:numId w:val="1"/>
        </w:numPr>
      </w:pPr>
      <w:bookmarkStart w:id="56" w:name="_Toc30525"/>
      <w:r>
        <w:rPr>
          <w:rFonts w:ascii="Arial" w:hAnsi="Arial" w:eastAsia="Arial" w:cs="Arial"/>
          <w:b w:val="0"/>
        </w:rPr>
        <w:t>Visão Geral</w:t>
      </w:r>
      <w:bookmarkEnd w:id="56"/>
    </w:p>
    <w:p w14:paraId="5B8734FD">
      <w:pPr>
        <w:pStyle w:val="3"/>
        <w:ind w:firstLine="0"/>
        <w:rPr>
          <w:color w:val="2E75B5"/>
        </w:rPr>
      </w:pPr>
      <w:r>
        <w:rPr>
          <w:rFonts w:ascii="Arial" w:hAnsi="Arial" w:eastAsia="Arial" w:cs="Arial"/>
          <w:b w:val="0"/>
        </w:rPr>
        <w:t xml:space="preserve">Saber que uma escola está no topo da lista não basta; é preciso saber por quê. A técnica de explicação adotada é o SHAP (LUNDBERG; LEE, 2017), apresentado no Capítulo 2, que decompõe cada previsão na contribuição de cada característica. </w:t>
      </w:r>
      <w:r>
        <w:rPr>
          <w:rFonts w:ascii="Arial" w:hAnsi="Arial" w:eastAsia="Arial" w:cs="Arial"/>
          <w:b w:val="0"/>
          <w:color w:val="1F4E9B"/>
          <w:highlight w:val="yellow"/>
        </w:rPr>
        <w:t>Aplicada a todo o conjunto, ela ordena as características por peso nas previsões do sistema. No topo está o abandono do ano anterior na 2ª série, seguido da defasagem idade-série. Vêm depois o abandono do Ensino Médio como um todo e o da 1ª série. Aparecem então a localização diferenciada — peso retomado adiante, em Erros do Modelo e Equidade — e a reprovação do ano anterior. Somadas, as medidas do ano anterior respondem pela maior parte do peso total.</w:t>
      </w:r>
      <w:r>
        <w:rPr>
          <w:rFonts w:ascii="Arial" w:hAnsi="Arial" w:eastAsia="Arial" w:cs="Arial"/>
          <w:b w:val="0"/>
        </w:rPr>
        <w:t xml:space="preserve"> Esse peso confirma um princípio conhecido: o melhor previsor do tempo de amanhã costuma ser o tempo de hoje. A Figura 17 ordena as características por esse peso.</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7" w:name="_Toc12808"/>
      <w:r>
        <w:rPr>
          <w:rFonts w:ascii="Arial" w:hAnsi="Arial" w:eastAsia="Arial" w:cs="Arial"/>
          <w:b w:val="0"/>
        </w:rPr>
        <w:t>Direção dos Efeitos</w:t>
      </w:r>
      <w:bookmarkEnd w:id="57"/>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 A Figura 18 reúne, para cada característica, o peso e a direção de sua contribuição.</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8" w:name="_Toc18719"/>
      <w:r>
        <w:rPr>
          <w:rFonts w:ascii="Arial" w:hAnsi="Arial" w:eastAsia="Arial" w:cs="Arial"/>
          <w:b w:val="0"/>
        </w:rPr>
        <w:t>Explicação de Uma Escola</w:t>
      </w:r>
      <w:bookmarkEnd w:id="58"/>
    </w:p>
    <w:p w14:paraId="2C975AF9">
      <w:pPr>
        <w:pStyle w:val="3"/>
        <w:ind w:firstLine="0"/>
        <w:rPr>
          <w:color w:val="2E75B5"/>
        </w:rPr>
      </w:pPr>
      <w:r>
        <w:rPr>
          <w:rFonts w:ascii="Arial" w:hAnsi="Arial" w:eastAsia="Arial" w:cs="Arial"/>
          <w:b w:val="0"/>
        </w:rPr>
        <w:t>A decomposição também vale caso a caso. Para qualquer escola é possível mostrar como cada característica afastou sua previsão da média da rede, o que separa o mapa do clima de um país da previsão do tempo de uma cidade. Na escola de maior risco previsto, uma estadual indígena no município de Jatobá, as maiores contribuições positivas vêm do histórico de abandono, da defasagem idade-série e do abandono na 2ª série, como mostra a Figura 19. É essa explicação que o painel apresenta ao gestor para justificar cada indicação.</w:t>
      </w: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9" w:name="_Toc14819"/>
      <w:r>
        <w:rPr>
          <w:rFonts w:ascii="Arial" w:hAnsi="Arial" w:eastAsia="Arial" w:cs="Arial"/>
          <w:b w:val="0"/>
        </w:rPr>
        <w:t>Erros do Modelo e Equidade</w:t>
      </w:r>
      <w:bookmarkEnd w:id="59"/>
    </w:p>
    <w:p w14:paraId="4E9AC818">
      <w:pPr>
        <w:pStyle w:val="3"/>
        <w:ind w:firstLine="0"/>
        <w:rPr>
          <w:color w:val="2E75B5"/>
        </w:rPr>
      </w:pPr>
      <w:r>
        <w:rPr>
          <w:rFonts w:ascii="Arial" w:hAnsi="Arial" w:eastAsia="Arial" w:cs="Arial"/>
          <w:b w:val="0"/>
        </w:rPr>
        <w:t>A análise dos erros por grupo revelou um achado de equidade que precisa ser declarado, na linha do que a literatura recomenda para sistemas preditivos aplicados a políticas públicas (BAROCAS; HARDT; NARAYANAN, 2023). No teste do ano nunca visto, o sistema erra para mais nas escolas de localização diferenciada: prevê risco alto para escolas indígenas e quilombolas cujo abandono observado é próximo de zero. O erro médio nesse grupo é de −6,12 pontos percentuais, contra +0,07 nas urbanas e +0,38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rural, de baixo nível socioeconômico e com alta defasagem idade-série, está associado a abandono alto, mas o abandono observado não acontece. É o que faz um seguro de automóvel cobrar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 A Figura 20 compara o erro médio do sistema entre os grupos de localização.</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20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60" w:name="_Toc24625"/>
      <w:r>
        <w:rPr>
          <w:rFonts w:ascii="Arial" w:hAnsi="Arial" w:eastAsia="Arial" w:cs="Arial"/>
          <w:b w:val="0"/>
        </w:rPr>
        <w:t>O Painel de Priorização ao Gestor</w:t>
      </w:r>
      <w:bookmarkEnd w:id="60"/>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1" w:name="_Toc29543"/>
      <w:r>
        <w:rPr>
          <w:rFonts w:ascii="Arial" w:hAnsi="Arial" w:eastAsia="Arial" w:cs="Arial"/>
          <w:b w:val="0"/>
        </w:rPr>
        <w:t>Síntese dos Resultados</w:t>
      </w:r>
      <w:bookmarkEnd w:id="61"/>
    </w:p>
    <w:p w14:paraId="3A43783E">
      <w:pPr>
        <w:pStyle w:val="3"/>
        <w:ind w:firstLine="0"/>
        <w:rPr>
          <w:color w:val="2E75B5"/>
        </w:rPr>
      </w:pPr>
      <w:r>
        <w:rPr>
          <w:rFonts w:ascii="Arial" w:hAnsi="Arial" w:eastAsia="Arial" w:cs="Arial"/>
          <w:b w:val="0"/>
        </w:rPr>
        <w:t xml:space="preserve">Cinco resultados resumem o trabalho. O sistema é confiável no que se propõe: uma suíte de </w:t>
      </w:r>
      <w:r>
        <w:rPr>
          <w:rFonts w:ascii="Arial" w:hAnsi="Arial" w:eastAsia="Arial" w:cs="Arial"/>
          <w:b w:val="0"/>
          <w:color w:val="1F4E9B"/>
          <w:highlight w:val="yellow"/>
        </w:rPr>
        <w:t>132 testes</w:t>
      </w:r>
      <w:r>
        <w:rPr>
          <w:rFonts w:ascii="Arial" w:hAnsi="Arial" w:eastAsia="Arial" w:cs="Arial"/>
          <w:b w:val="0"/>
        </w:rPr>
        <w:t xml:space="preserve">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O conjunto de características é enxuto e justificado, com 39 colunas escolhidas entre mais de 400, cada uma submetida a análise estatística individual e a critérios explícitos de corte.</w:t>
      </w:r>
    </w:p>
    <w:p w14:paraId="0DD60FA7">
      <w:pPr>
        <w:pStyle w:val="3"/>
        <w:ind w:firstLine="0"/>
        <w:rPr>
          <w:color w:val="2E75B5"/>
        </w:rPr>
      </w:pPr>
      <w:r>
        <w:rPr>
          <w:rFonts w:ascii="Arial" w:hAnsi="Arial" w:eastAsia="Arial" w:cs="Arial"/>
          <w:b w:val="0"/>
        </w:rPr>
        <w:t>O sistema acerta a ordem, não a magnitude. Ele erra o valor exato da taxa, mas ordena as escolas com qualidade útil, e é a ordem que a decisão do gestor requer.</w:t>
      </w:r>
    </w:p>
    <w:p w14:paraId="792A7F03">
      <w:pPr>
        <w:pStyle w:val="3"/>
        <w:ind w:firstLine="0"/>
        <w:rPr>
          <w:color w:val="2E75B5"/>
        </w:rPr>
      </w:pPr>
      <w:r>
        <w:rPr>
          <w:rFonts w:ascii="Arial" w:hAnsi="Arial" w:eastAsia="Arial" w:cs="Arial"/>
          <w:b w:val="0"/>
        </w:rPr>
        <w:t>O ganho prático é mensurável: das escolas apontadas como prioritárias, cerca de metade estava de fato entre as mais críticas, contra 7 em cada 100 na escolha ao acaso, e uma lista de 150 escolas alcança mais da metade das escolas críticas da rede.</w:t>
      </w:r>
    </w:p>
    <w:p w14:paraId="693241E1">
      <w:pPr>
        <w:pStyle w:val="3"/>
        <w:ind w:firstLine="0"/>
        <w:rPr>
          <w:color w:val="2E75B5"/>
        </w:rPr>
      </w:pPr>
      <w:r>
        <w:rPr>
          <w:rFonts w:ascii="Arial" w:hAnsi="Arial" w:eastAsia="Arial" w:cs="Arial"/>
          <w:b w:val="0"/>
        </w:rPr>
        <w:t>Por fim, cada indicação é explicável. Isso permite ao gestor concordar ou discordar com argumento e é também o que expõe, de forma transparente, a limitação de equidade nas escolas de localização diferenciada.</w:t>
      </w:r>
    </w:p>
    <w:p w14:paraId="78BAA92B">
      <w:pPr>
        <w:pStyle w:val="2"/>
        <w:numPr>
          <w:ilvl w:val="0"/>
          <w:numId w:val="1"/>
        </w:numPr>
        <w:rPr>
          <w:color w:val="000000"/>
        </w:rPr>
      </w:pPr>
      <w:bookmarkStart w:id="62" w:name="_Toc6042"/>
      <w:r>
        <w:rPr>
          <w:rFonts w:ascii="Arial" w:hAnsi="Arial" w:eastAsia="Arial" w:cs="Arial"/>
          <w:b w:val="0"/>
        </w:rPr>
        <w:t>Conclusões e Trabalhos Futuros</w:t>
      </w:r>
      <w:bookmarkEnd w:id="62"/>
    </w:p>
    <w:p w14:paraId="2B49EC9B">
      <w:pPr>
        <w:pStyle w:val="4"/>
        <w:numPr>
          <w:ilvl w:val="1"/>
          <w:numId w:val="1"/>
        </w:numPr>
      </w:pPr>
      <w:bookmarkStart w:id="63" w:name="_Toc240"/>
      <w:r>
        <w:rPr>
          <w:rFonts w:ascii="Arial" w:hAnsi="Arial" w:eastAsia="Arial" w:cs="Arial"/>
          <w:b w:val="0"/>
        </w:rPr>
        <w:t>Conclusões</w:t>
      </w:r>
      <w:bookmarkEnd w:id="63"/>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(P1). </w:t>
      </w:r>
      <w:r>
        <w:rPr>
          <w:rFonts w:ascii="Arial" w:hAnsi="Arial" w:eastAsia="Arial" w:cs="Arial"/>
        </w:rPr>
        <w:t>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(P2).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−27,87 a +23,69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a escola que foge ao padrão e o modelo que não enxerga um fator, faz parte da resposta.</w:t>
      </w:r>
    </w:p>
    <w:p w14:paraId="0AE112BC">
      <w:pPr>
        <w:pStyle w:val="3"/>
        <w:ind w:firstLine="0"/>
        <w:rPr>
          <w:color w:val="2E75B5"/>
        </w:rPr>
      </w:pPr>
      <w:r>
        <w:rPr>
          <w:rFonts w:ascii="Arial" w:hAnsi="Arial" w:eastAsia="Arial" w:cs="Arial"/>
          <w:b w:val="0"/>
        </w:rPr>
        <w:t>Sobre o problema: a evasão na rede estadual é concentrada, não difusa.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 xml:space="preserve">Sobre a engenharia: o sistema foi construído com arquitetura em camadas, dependências em sentido único, </w:t>
      </w:r>
      <w:r>
        <w:rPr>
          <w:rFonts w:ascii="Arial" w:hAnsi="Arial" w:eastAsia="Arial" w:cs="Arial"/>
          <w:b w:val="0"/>
          <w:color w:val="1F4E9B"/>
          <w:highlight w:val="yellow"/>
        </w:rPr>
        <w:t>132 testes</w:t>
      </w:r>
      <w:r>
        <w:rPr>
          <w:rFonts w:ascii="Arial" w:hAnsi="Arial" w:eastAsia="Arial" w:cs="Arial"/>
          <w:b w:val="0"/>
        </w:rPr>
        <w:t xml:space="preserve"> automatizados e reprodutibilidade completa a partir dos dados originais. Essas propriedades não são acessórias: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8C353BC">
      <w:pPr>
        <w:pStyle w:val="4"/>
        <w:numPr>
          <w:ilvl w:val="1"/>
          <w:numId w:val="1"/>
        </w:numPr>
      </w:pPr>
      <w:bookmarkStart w:id="64" w:name="_Toc13516"/>
      <w:r>
        <w:rPr>
          <w:rFonts w:ascii="Arial" w:hAnsi="Arial" w:eastAsia="Arial" w:cs="Arial"/>
          <w:b w:val="0"/>
        </w:rPr>
        <w:t>Trabalhos Futuros</w:t>
      </w:r>
      <w:bookmarkEnd w:id="64"/>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verificação final de que a ferramenta cumpre o propósito para o qual foi construída.</w:t>
      </w:r>
    </w:p>
    <w:p w14:paraId="74A766AA">
      <w:pPr>
        <w:pStyle w:val="8"/>
        <w:rPr>
          <w:color w:val="000000"/>
        </w:rPr>
      </w:pPr>
      <w:bookmarkStart w:id="65" w:name="_Toc13454"/>
      <w:r>
        <w:rPr>
          <w:rFonts w:ascii="Arial" w:hAnsi="Arial" w:eastAsia="Arial" w:cs="Arial"/>
          <w:b w:val="0"/>
        </w:rPr>
        <w:t>Referências</w:t>
      </w:r>
      <w:bookmarkEnd w:id="65"/>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117FC7F7">
      <w:pPr>
        <w:pStyle w:val="3"/>
        <w:ind w:firstLine="0"/>
        <w:rPr>
          <w:color w:val="2E75B5"/>
        </w:rPr>
      </w:pPr>
      <w:r>
        <w:rPr>
          <w:rFonts w:ascii="Arial" w:hAnsi="Arial" w:eastAsia="Arial" w:cs="Arial"/>
          <w:b w:val="0"/>
        </w:rPr>
        <w:t>BAROCAS, S.; HARDT, M.; NARAYANAN, A. Fairness and machine learning: limitations and opportunities. Cambridge: MIT Press, 2023.</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2024a.</w:t>
      </w:r>
    </w:p>
    <w:p w14:paraId="3898415D">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2024b.</w:t>
      </w:r>
    </w:p>
    <w:p w14:paraId="64A09DD4">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2024c.</w:t>
      </w:r>
    </w:p>
    <w:p w14:paraId="2FB4A314">
      <w:pPr>
        <w:pStyle w:val="3"/>
        <w:ind w:firstLine="0"/>
        <w:rPr>
          <w:color w:val="2E75B5"/>
        </w:rPr>
      </w:pPr>
      <w:r>
        <w:rPr>
          <w:rFonts w:ascii="Arial" w:hAnsi="Arial" w:eastAsia="Arial" w:cs="Arial"/>
          <w:b w:val="0"/>
        </w:rPr>
        <w:t>BREIMAN, L. Random forests. Machine Learning, v. 45, n. 1, p. 5–32, 2001.</w:t>
      </w:r>
    </w:p>
    <w:p w14:paraId="724BA2CC">
      <w:pPr>
        <w:pStyle w:val="3"/>
        <w:ind w:firstLine="0"/>
        <w:rPr>
          <w:color w:val="2E75B5"/>
        </w:rPr>
      </w:pPr>
      <w:r>
        <w:rPr>
          <w:rFonts w:ascii="Arial" w:hAnsi="Arial" w:eastAsia="Arial" w:cs="Arial"/>
          <w:b w:val="0"/>
        </w:rPr>
        <w:t>CHAPMAN, P. et al. CRISP-DM 1.0: step-by-step data mining guide. Copenhagen: SPSS, 2000.</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646EE532">
      <w:pPr>
        <w:pStyle w:val="3"/>
        <w:ind w:firstLine="0"/>
        <w:rPr>
          <w:color w:val="2E75B5"/>
        </w:rPr>
      </w:pPr>
      <w:r>
        <w:rPr>
          <w:rFonts w:ascii="Arial" w:hAnsi="Arial" w:eastAsia="Arial" w:cs="Arial"/>
          <w:b w:val="0"/>
        </w:rPr>
        <w:t>GUYON, I.; ELISSEEFF, A. An introduction to variable and feature selection. Journal of Machine Learning Research, v. 3, p. 1157–1182, 2003.</w:t>
      </w:r>
    </w:p>
    <w:p w14:paraId="6667117A">
      <w:pPr>
        <w:pStyle w:val="3"/>
        <w:ind w:firstLine="0"/>
        <w:rPr>
          <w:color w:val="2E75B5"/>
        </w:rPr>
      </w:pPr>
      <w:r>
        <w:rPr>
          <w:rFonts w:ascii="Arial" w:hAnsi="Arial" w:eastAsia="Arial" w:cs="Arial"/>
          <w:b w:val="0"/>
        </w:rPr>
        <w:t>HARRIS, C. R. et al. Array programming with NumPy. Nature, v. 585, n. 7825, p. 357–362, 2020.</w:t>
      </w:r>
    </w:p>
    <w:p w14:paraId="5099EECC">
      <w:pPr>
        <w:pStyle w:val="3"/>
        <w:ind w:firstLine="0"/>
        <w:rPr>
          <w:color w:val="2E75B5"/>
        </w:rPr>
      </w:pPr>
      <w:r>
        <w:rPr>
          <w:rFonts w:ascii="Arial" w:hAnsi="Arial" w:eastAsia="Arial" w:cs="Arial"/>
          <w:b w:val="0"/>
        </w:rPr>
        <w:t>HASTIE, T.; TIBSHIRANI, R.; FRIEDMAN, J. The elements of statistical learning: data mining, inference, and prediction. 2. ed. New York: Springer, 2009.</w:t>
      </w:r>
    </w:p>
    <w:p w14:paraId="33396362">
      <w:pPr>
        <w:pStyle w:val="3"/>
        <w:ind w:firstLine="0"/>
        <w:rPr>
          <w:color w:val="2E75B5"/>
        </w:rPr>
      </w:pPr>
      <w:r>
        <w:rPr>
          <w:rFonts w:ascii="Arial" w:hAnsi="Arial" w:eastAsia="Arial" w:cs="Arial"/>
          <w:b w:val="0"/>
        </w:rPr>
        <w:t>HUNTER, J. D. Matplotlib: a 2D graphics environment. Computing in Science &amp; Engineering, v. 9, n. 3, p. 90–95, 2007.</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2F7DF0F">
      <w:pPr>
        <w:pStyle w:val="3"/>
        <w:ind w:firstLine="0"/>
        <w:rPr>
          <w:color w:val="2E75B5"/>
        </w:rPr>
      </w:pPr>
      <w:r>
        <w:rPr>
          <w:rFonts w:ascii="Arial" w:hAnsi="Arial" w:eastAsia="Arial" w:cs="Arial"/>
          <w:b w:val="0"/>
        </w:rPr>
        <w:t>McKINNEY, W. Data structures for statistical computing in Python. In: PYTHON IN SCIENCE CONFERENCE, 9., 2010, Austin. Proceedings [...]. [S. l.]: SciPy, 2010. p. 56–61.</w:t>
      </w:r>
    </w:p>
    <w:p w14:paraId="3DE2185E">
      <w:pPr>
        <w:pStyle w:val="3"/>
        <w:ind w:firstLine="0"/>
        <w:rPr>
          <w:color w:val="2E75B5"/>
        </w:rPr>
      </w:pPr>
      <w:r>
        <w:rPr>
          <w:rFonts w:ascii="Arial" w:hAnsi="Arial" w:eastAsia="Arial" w:cs="Arial"/>
          <w:b w:val="0"/>
        </w:rPr>
        <w:t>MOLNAR, C. Interpretable machine learning: a guide for making black box models explainable. 2. ed. [S. l.: s. n.], 2022.</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3406965D">
      <w:pPr>
        <w:pStyle w:val="3"/>
        <w:ind w:firstLine="0"/>
        <w:rPr>
          <w:color w:val="2E75B5"/>
        </w:rPr>
      </w:pPr>
      <w:r>
        <w:rPr>
          <w:rFonts w:ascii="Arial" w:hAnsi="Arial" w:eastAsia="Arial" w:cs="Arial"/>
          <w:b w:val="0"/>
        </w:rPr>
        <w:t>PEDREGOSA, F. et al. Scikit-learn: machine learning in Python. Journal of Machine Learning Research, v. 12, p. 2825–2830, 2011.</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517B800F">
      <w:pPr>
        <w:pStyle w:val="3"/>
        <w:ind w:firstLine="0"/>
        <w:rPr>
          <w:color w:val="2E75B5"/>
        </w:rPr>
      </w:pPr>
      <w:r>
        <w:rPr>
          <w:rFonts w:ascii="Arial" w:hAnsi="Arial" w:eastAsia="Arial" w:cs="Arial"/>
          <w:b w:val="0"/>
        </w:rPr>
        <w:t>ROBERTS, D. R. et al. Cross-validation strategies for data with temporal, spatial, hierarchical, or phylogenetic structure. Ecography, v. 40, n. 8, p. 913–929, 2017.</w:t>
      </w:r>
    </w:p>
    <w:p w14:paraId="1C353865">
      <w:pPr>
        <w:pStyle w:val="3"/>
        <w:ind w:firstLine="0"/>
        <w:rPr>
          <w:color w:val="2E75B5"/>
        </w:rPr>
      </w:pPr>
      <w:r>
        <w:rPr>
          <w:rFonts w:ascii="Arial" w:hAnsi="Arial" w:eastAsia="Arial" w:cs="Arial"/>
          <w:b w:val="0"/>
        </w:rPr>
        <w:t>ROMERO, C.; VENTURA, S. Educational data mining: a review of the state of the art. IEEE Transactions on Systems, Man, and Cybernetics, Part C: Applications and Reviews, v. 40, n. 6, p. 601–618, 2010.</w:t>
      </w:r>
    </w:p>
    <w:p w14:paraId="71108688">
      <w:pPr>
        <w:pStyle w:val="3"/>
        <w:ind w:firstLine="0"/>
        <w:rPr>
          <w:color w:val="2E75B5"/>
        </w:rPr>
      </w:pPr>
      <w:r>
        <w:rPr>
          <w:rFonts w:ascii="Arial" w:hAnsi="Arial" w:eastAsia="Arial" w:cs="Arial"/>
          <w:b w:val="0"/>
        </w:rPr>
        <w:t>ROSA, L. et al. The effects of public high school subsidies on student test scores: the case of a full-day high school in Pernambuco, Brazil. Economics of Education Review, v. 87, art. 102201, 2022.</w:t>
      </w:r>
    </w:p>
    <w:p w14:paraId="7162C159">
      <w:pPr>
        <w:pStyle w:val="3"/>
        <w:ind w:firstLine="0"/>
        <w:rPr>
          <w:color w:val="2E75B5"/>
        </w:rPr>
      </w:pPr>
      <w:r>
        <w:rPr>
          <w:rFonts w:ascii="Arial" w:hAnsi="Arial" w:eastAsia="Arial" w:cs="Arial"/>
          <w:b w:val="0"/>
        </w:rPr>
        <w:t>RUMBERGER, R. W. Dropping out: why students drop out of high school and what can be done about it. Cambridge: Harvard University Press, 2011.</w:t>
      </w:r>
    </w:p>
    <w:p w14:paraId="6A97F6EE">
      <w:pPr>
        <w:pStyle w:val="3"/>
        <w:ind w:firstLine="0"/>
        <w:rPr>
          <w:color w:val="2E75B5"/>
        </w:rPr>
      </w:pPr>
      <w:r>
        <w:rPr>
          <w:rFonts w:ascii="Arial" w:hAnsi="Arial" w:eastAsia="Arial" w:cs="Arial"/>
          <w:b w:val="0"/>
        </w:rPr>
        <w:t>SCULLEY, D. et al. Hidden technical debt in machine learning systems. In: ADVANCES IN NEURAL INFORMATION PROCESSING SYSTEMS, 28., 2015, Montreal. Anais [...]. Red Hook: Curran Associates, 2015. p. 2503–2511.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p>
    <w:p w14:paraId="2A8FD802">
      <w:pPr>
        <w:pStyle w:val="3"/>
        <w:ind w:firstLine="0"/>
        <w:rPr>
          <w:color w:val="2E75B5"/>
        </w:rPr>
      </w:pPr>
      <w:r>
        <w:rPr>
          <w:rFonts w:ascii="Arial" w:hAnsi="Arial" w:eastAsia="Arial" w:cs="Arial"/>
          <w:b w:val="0"/>
        </w:rPr>
        <w:t>TINTO, V. Dropout from higher education: a theoretical synthesis of recent research. Review of Educational Research, v. 45, n. 1, p. 89–125, 1975.</w:t>
      </w:r>
    </w:p>
    <w:p w14:paraId="6FD186B2">
      <w:pPr>
        <w:pStyle w:val="8"/>
        <w:rPr>
          <w:color w:val="000000"/>
        </w:rPr>
      </w:pPr>
      <w:bookmarkStart w:id="66" w:name="_Toc25205"/>
      <w:r>
        <w:rPr>
          <w:rFonts w:ascii="Arial" w:hAnsi="Arial" w:eastAsia="Arial" w:cs="Arial"/>
          <w:b w:val="0"/>
        </w:rPr>
        <w:t>Apêndice A – Relação das 39 características usadas pelo sistema</w:t>
      </w:r>
      <w:bookmarkEnd w:id="66"/>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FB5BECE-B3A0-4C65-94BC-3E1D59859E8D}"/>
  </w:font>
  <w:font w:name="Arial">
    <w:panose1 w:val="020B0604020202020204"/>
    <w:charset w:val="00"/>
    <w:family w:val="swiss"/>
    <w:pitch w:val="default"/>
    <w:sig w:usb0="E0002EFF" w:usb1="C000785B" w:usb2="00000009" w:usb3="00000000" w:csb0="400001FF" w:csb1="FFFF0000"/>
    <w:embedRegular r:id="rId2" w:fontKey="{F2E6FFE3-6322-4A83-8351-F909E6C1EE7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F59196A-4D59-4A23-BAD4-0936F47C021E}"/>
  </w:font>
  <w:font w:name="Wingdings">
    <w:panose1 w:val="05000000000000000000"/>
    <w:charset w:val="02"/>
    <w:family w:val="auto"/>
    <w:pitch w:val="default"/>
    <w:sig w:usb0="00000000" w:usb1="00000000" w:usb2="00000000" w:usb3="00000000" w:csb0="80000000" w:csb1="00000000"/>
    <w:embedRegular r:id="rId4" w:fontKey="{C421AB5A-F125-44D8-804F-9A881AAD08C9}"/>
  </w:font>
  <w:font w:name="Calibri">
    <w:panose1 w:val="020F0502020204030204"/>
    <w:charset w:val="00"/>
    <w:family w:val="swiss"/>
    <w:pitch w:val="default"/>
    <w:sig w:usb0="E4002EFF" w:usb1="C200247B" w:usb2="00000009" w:usb3="00000000" w:csb0="200001FF" w:csb1="00000000"/>
    <w:embedRegular r:id="rId5" w:fontKey="{AED773FF-7776-4A61-A539-EF51391FFABD}"/>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C544FA7F-0B42-4042-9BB5-F57BDF61018C}"/>
  </w:font>
  <w:font w:name="Liberation Sans">
    <w:panose1 w:val="020B0604020202020204"/>
    <w:charset w:val="00"/>
    <w:family w:val="swiss"/>
    <w:pitch w:val="default"/>
    <w:sig w:usb0="E0000AFF" w:usb1="500078FF" w:usb2="00000021" w:usb3="00000000" w:csb0="600001BF" w:csb1="DFF70000"/>
    <w:embedRegular r:id="rId7" w:fontKey="{A82AAD81-B18C-4145-8BAD-BEBBEAAA71F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E75FC9"/>
    <w:rsid w:val="0E3A73C0"/>
    <w:rsid w:val="154F2ABF"/>
    <w:rsid w:val="1B1E5FE7"/>
    <w:rsid w:val="2C1B3E3D"/>
    <w:rsid w:val="311C20B6"/>
    <w:rsid w:val="353476BB"/>
    <w:rsid w:val="361F7A70"/>
    <w:rsid w:val="37816D17"/>
    <w:rsid w:val="46E010FE"/>
    <w:rsid w:val="4FB122AA"/>
    <w:rsid w:val="54BC7DEB"/>
    <w:rsid w:val="55540C4E"/>
    <w:rsid w:val="59E678F3"/>
    <w:rsid w:val="5DFA0956"/>
    <w:rsid w:val="654C03D3"/>
    <w:rsid w:val="7195085D"/>
    <w:rsid w:val="79F53997"/>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11">
    <w:name w:val="Body Text"/>
    <w:basedOn w:val="1"/>
    <w:qFormat/>
    <w:uiPriority w:val="0"/>
    <w:pPr>
      <w:spacing w:before="0" w:after="140" w:line="276" w:lineRule="auto"/>
    </w:pPr>
  </w:style>
  <w:style w:type="paragraph" w:styleId="12">
    <w:name w:val="caption"/>
    <w:basedOn w:val="1"/>
    <w:qFormat/>
    <w:uiPriority w:val="0"/>
    <w:pPr>
      <w:suppressLineNumbers/>
      <w:spacing w:before="120" w:after="120"/>
    </w:pPr>
    <w:rPr>
      <w:rFonts w:cs="Arial"/>
      <w:i/>
      <w:iCs/>
      <w:sz w:val="24"/>
      <w:szCs w:val="24"/>
    </w:rPr>
  </w:style>
  <w:style w:type="paragraph" w:styleId="13">
    <w:name w:val="header"/>
    <w:basedOn w:val="14"/>
    <w:qFormat/>
    <w:uiPriority w:val="0"/>
  </w:style>
  <w:style w:type="paragraph" w:customStyle="1" w:styleId="14">
    <w:name w:val="Cabeçalho e rodapé"/>
    <w:basedOn w:val="1"/>
    <w:qFormat/>
    <w:uiPriority w:val="0"/>
  </w:style>
  <w:style w:type="character" w:styleId="15">
    <w:name w:val="Hyperlink"/>
    <w:qFormat/>
    <w:uiPriority w:val="0"/>
    <w:rPr>
      <w:color w:val="000080"/>
      <w:u w:val="single"/>
    </w:rPr>
  </w:style>
  <w:style w:type="paragraph" w:styleId="16">
    <w:name w:val="List"/>
    <w:basedOn w:val="11"/>
    <w:qFormat/>
    <w:uiPriority w:val="0"/>
    <w:rPr>
      <w:rFonts w:cs="Arial"/>
    </w:rPr>
  </w:style>
  <w:style w:type="paragraph" w:styleId="17">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18">
    <w:name w:val="Title"/>
    <w:basedOn w:val="3"/>
    <w:next w:val="3"/>
    <w:qFormat/>
    <w:uiPriority w:val="0"/>
    <w:pPr>
      <w:keepNext/>
      <w:keepLines/>
      <w:pageBreakBefore w:val="0"/>
      <w:spacing w:before="480" w:after="120" w:line="240" w:lineRule="auto"/>
    </w:pPr>
    <w:rPr>
      <w:b/>
      <w:bCs/>
      <w:sz w:val="72"/>
      <w:szCs w:val="72"/>
    </w:r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styleId="22">
    <w:name w:val="toc 6"/>
    <w:basedOn w:val="1"/>
    <w:next w:val="1"/>
    <w:qFormat/>
    <w:uiPriority w:val="0"/>
    <w:pPr>
      <w:ind w:left="2100" w:leftChars="1000"/>
    </w:pPr>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
    <w:basedOn w:val="1"/>
    <w:next w:val="11"/>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1"/>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68</Pages>
  <Words>9961</Words>
  <Characters>54488</Characters>
  <Paragraphs>463</Paragraphs>
  <TotalTime>478</TotalTime>
  <ScaleCrop>false</ScaleCrop>
  <LinksUpToDate>false</LinksUpToDate>
  <CharactersWithSpaces>64076</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2026-07-30T21:12:27Z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1033-12.1.0.27458</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