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adotando a escola, e não o aluno, como unidade de análise. O sistema reúne dados públicos do INEP — Censo Escolar de 2022 a 2024, taxas de rendimento e quatro indicadores complementares —, deriva 39 características por escola e estima a taxa de abandono do ano seguinte com um modelo de aprendizado de máquina baseado em árvores impulsionadas por gradiente, comparado a modelos de referência sob uma validação que impede a mistura de municípios entre treino e teste e respeita a ordem dos anos. Cada previsão é decomposta na contribuição de cada característica, o que indica quais delas elevaram ou reduziram o risco daquela escola.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taking the school, not the student, as the unit of analysis. The system gathers public data from INEP — the School Census from 2022 to 2024, performance rates and four complementary indicators —, derives 39 pieces of information per school and estimates the dropout rate of the following year with a gradient boosted tree model, compared against baseline models under a validation scheme that prevents municipalities from being split across training and test sets and respects the ordering of the years. Each prediction is decomposed into the contribution of every feature, showing which ones raised or lowered the risk of that particular school.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5EB1E3F3">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16016C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_Toc15543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_Toc15543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86911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_Toc30998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_Toc30998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E432E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_Toc12913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_Toc12913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A09F8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_Toc29612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_Toc29612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6FB36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_Toc32260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_Toc32260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3C6A6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_Toc29456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_Toc29456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74B6E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_Toc7458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_Toc7458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8A8828">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_Toc29428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_Toc29428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D50D3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_Toc26201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_Toc26201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3E28D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_Toc6861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_Toc6861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C2132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_Toc18936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_Toc18936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7EF77F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_Toc11669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_Toc11669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6702F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_Toc27474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_Toc27474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6A99D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_Toc1165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_Toc1165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F0AD39">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_Toc23803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_Toc23803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DA86D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_Toc21762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_Toc21762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3941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_Toc24552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_Toc24552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77F4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_Toc16751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_Toc16751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2ABC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_Toc17569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_Toc17569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8AE76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_Toc30827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_Toc30827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78D27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_Toc18142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_Toc18142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2E951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_Toc30785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_Toc30785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60E7E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_Toc16207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_Toc16207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CD872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_Toc1073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C3A6F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_Toc9309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_Toc9309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3AD88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_Toc151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_Toc151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52FE5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_Toc23069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_Toc23069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79FEEF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_Toc21916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_Toc21916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88E302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_Toc4827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_Toc4827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A6EDF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_Toc13338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_Toc13338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60709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_Toc19674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_Toc19674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59BD19">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_Toc14032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_Toc14032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9AFC2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_Toc8001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_Toc8001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39461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_Toc27171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_Toc27171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733E7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_Toc22352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_Toc22352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EB9C2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_Toc22269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_Toc22269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09C4B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_Toc12364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_Toc12364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A462A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_Toc20873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_Toc20873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752A6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_Toc968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_Toc968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19212A">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_Toc4823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_Toc4823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A9435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_Toc32051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_Toc32051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0F4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_Toc7351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_Toc7351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99A53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_Toc29393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_Toc29393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030C4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_Toc8518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_Toc8518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321EC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_Toc22411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_Toc22411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BE227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_Toc13313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_Toc13313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1274B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_Toc5182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_Toc5182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362E2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_Toc30814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_Toc30814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1EBB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_Toc19560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_Toc19560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1ADDA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_Toc25144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_Toc25144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1E82A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_Toc29038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_Toc29038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E2025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_Toc32401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_Toc32401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09F29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_Toc24774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_Toc24774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69128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_Toc12155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_Toc12155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97605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_Toc27856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_Toc27856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0752E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_Toc23587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_Toc23587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7C8A3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_Toc27943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_Toc27943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FA296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_Toc24145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_Toc24145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03982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_Toc6821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_Toc6821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AB999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_Toc223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390AF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_Toc23677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_Toc23677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F45A20">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_Toc16117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_Toc16117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DDE6E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_Toc5896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_Toc5896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6782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_Toc12809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_Toc12809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7D66A6">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_Toc21065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_Toc21065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F2A16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_Toc19697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_Toc19697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15543"/>
      <w:r>
        <w:rPr>
          <w:rFonts w:ascii="Arial" w:hAnsi="Arial" w:eastAsia="Arial" w:cs="Arial"/>
          <w:b w:val="0"/>
        </w:rPr>
        <w:t>Introdução</w:t>
      </w:r>
      <w:bookmarkEnd w:id="1"/>
    </w:p>
    <w:p w14:paraId="71BF03DA">
      <w:pPr>
        <w:pStyle w:val="4"/>
        <w:numPr>
          <w:ilvl w:val="1"/>
          <w:numId w:val="1"/>
        </w:numPr>
      </w:pPr>
      <w:bookmarkStart w:id="67" w:name="_GoBack"/>
      <w:bookmarkStart w:id="2" w:name="_Toc30998"/>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(RUMBERGER, 2011). No Ensino Médio público brasileiro, o abandono reflete desigualdades sociais, econômicas, geográficas e institucionais profundas, e raramente é um evento isolado: costuma ser o desfecho de um afastamento que se acumula entre o estudante e a escola (TINTO, 1975; RUMBERGER, 2011). Pernambuco implantou um programa pioneiro de Ensino Médio em tempo integral, cujos efeitos sobre o desempenho dos estudantes já foram avaliados (ROSA et al., 2022), e a parcela das matrículas nessa modalidade passou de 56,7% em 2022 para 64,9% em 2024 (BRASIL, 2024a). Mesmo assim a rede segue muito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(ROMERO; VENTURA, 2010;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bookmarkEnd w:id="67"/>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12913"/>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29612"/>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32260"/>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9456"/>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745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29428"/>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26201"/>
      <w:r>
        <w:rPr>
          <w:rFonts w:ascii="Arial" w:hAnsi="Arial" w:eastAsia="Arial" w:cs="Arial"/>
          <w:b w:val="0"/>
        </w:rPr>
        <w:t>Fundamentação Teórica</w:t>
      </w:r>
      <w:bookmarkEnd w:id="9"/>
    </w:p>
    <w:p w14:paraId="0ED2592D">
      <w:pPr>
        <w:pStyle w:val="5"/>
        <w:numPr>
          <w:ilvl w:val="2"/>
          <w:numId w:val="1"/>
        </w:numPr>
      </w:pPr>
      <w:bookmarkStart w:id="10" w:name="_Toc6861"/>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instituição de ensino. Tinto (1975), em um dos modelos teóricos mais influentes sobre o tema, descreve o abandono como resultado do baixo grau de integração acadêmica e social do estudante ao ambiente escolar, de modo que fatores individuais e institucionais se combinam ao longo do tempo até a decisão de sair. Rumberger (2011), ao revisar décadas de pesquisa sobre o ensino médio, reforça essa leitura processual e chama atenção para o caráter multinível do fenômeno: além das características do aluno, como desempenho, defasagem idade-série e condição socioeconômica, pesam atributos da própria escola e do território em que ela se insere.</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8936"/>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Romero e Ventura (2010) definem a área como o desenvolvimento de métodos para explorar os dados originados em contextos de ensino, com o objetivo de compreender melhor os estudantes e os ambientes de aprendizagem. Baker e Yacef (2009), ao revisarem o estado do campo, apontam a predição como uma de suas tarefas centrais: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11669"/>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747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boosting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Molnar (2022) sistematiza esse conjunto de métodos e argumenta que a interpretabilidade é condição para a confiança e a auditabilidade de sistemas preditivos. Este trabalho adota o SHAP para explicar o risco previsto de cada escola.</w:t>
      </w:r>
    </w:p>
    <w:p w14:paraId="23F01F44">
      <w:pPr>
        <w:pStyle w:val="4"/>
        <w:numPr>
          <w:ilvl w:val="1"/>
          <w:numId w:val="1"/>
        </w:numPr>
      </w:pPr>
      <w:bookmarkStart w:id="14" w:name="_Toc1165"/>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o volume e a orientação da produção nacional: Jesus e Gusmão (2024) analisaram 336 estudos,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critério adotado neste trabalho. Resta uma lacuna: a maior parte da literatura opera no nível do estudante e no ensino superior, ao passo que esta monografia toma a escola como unidade de análise na educação básica, combinando dados públicos, um modelo de boosting e explicações por SHAP para apoiar a priorização de intervenções pela gestão estadual.</w:t>
      </w:r>
    </w:p>
    <w:p w14:paraId="1319101A">
      <w:pPr>
        <w:pStyle w:val="2"/>
        <w:numPr>
          <w:ilvl w:val="0"/>
          <w:numId w:val="1"/>
        </w:numPr>
        <w:rPr>
          <w:color w:val="000000"/>
        </w:rPr>
      </w:pPr>
      <w:bookmarkStart w:id="15" w:name="_Toc23803"/>
      <w:r>
        <w:rPr>
          <w:rFonts w:ascii="Arial" w:hAnsi="Arial" w:eastAsia="Arial" w:cs="Arial"/>
          <w:b w:val="0"/>
        </w:rPr>
        <w:t>Método de Desenvolvimento</w:t>
      </w:r>
      <w:bookmarkEnd w:id="15"/>
    </w:p>
    <w:p w14:paraId="39EFBDEF">
      <w:pPr>
        <w:pStyle w:val="4"/>
        <w:numPr>
          <w:ilvl w:val="1"/>
          <w:numId w:val="1"/>
        </w:numPr>
      </w:pPr>
      <w:bookmarkStart w:id="16" w:name="_Toc21762"/>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24552"/>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6751"/>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7569"/>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30827"/>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8142"/>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30785"/>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16207"/>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073"/>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(MOLNAR, 2022).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9309"/>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o ranking devolvido tem de estar íntegro. Uma quinta verifica que o pedido de um ano sem dados falha com a mensagem correta.</w:t>
      </w:r>
    </w:p>
    <w:p w14:paraId="7820F8BC">
      <w:pPr>
        <w:pStyle w:val="4"/>
        <w:numPr>
          <w:ilvl w:val="1"/>
          <w:numId w:val="1"/>
        </w:numPr>
      </w:pPr>
      <w:bookmarkStart w:id="26" w:name="_Toc151"/>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 xml:space="preserve">b) Testes automatizados: a suíte tem </w:t>
      </w:r>
      <w:r>
        <w:rPr>
          <w:rFonts w:ascii="Arial" w:hAnsi="Arial" w:eastAsia="Arial" w:cs="Arial"/>
          <w:b w:val="0"/>
          <w:color w:val="1F4E9B"/>
          <w:highlight w:val="yellow"/>
        </w:rPr>
        <w:t>132 testes</w:t>
      </w:r>
      <w:r>
        <w:rPr>
          <w:rFonts w:ascii="Arial" w:hAnsi="Arial" w:eastAsia="Arial" w:cs="Arial"/>
          <w:b w:val="0"/>
        </w:rPr>
        <w:t xml:space="preserve">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23069"/>
      <w:r>
        <w:rPr>
          <w:rFonts w:ascii="Arial" w:hAnsi="Arial" w:eastAsia="Arial" w:cs="Arial"/>
          <w:b w:val="0"/>
        </w:rPr>
        <w:t>Arquitetura do Software</w:t>
      </w:r>
      <w:bookmarkEnd w:id="27"/>
    </w:p>
    <w:p w14:paraId="527CA8A8">
      <w:pPr>
        <w:pStyle w:val="4"/>
        <w:numPr>
          <w:ilvl w:val="1"/>
          <w:numId w:val="1"/>
        </w:numPr>
      </w:pPr>
      <w:bookmarkStart w:id="28" w:name="_Toc2191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4827"/>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13338"/>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9674"/>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4032"/>
      <w:r>
        <w:rPr>
          <w:rFonts w:ascii="Arial" w:hAnsi="Arial" w:eastAsia="Arial" w:cs="Arial"/>
          <w:b w:val="0"/>
        </w:rPr>
        <w:t>Tecnologias e Aspectos de Implementação</w:t>
      </w:r>
      <w:bookmarkEnd w:id="32"/>
    </w:p>
    <w:p w14:paraId="6E080A24">
      <w:pPr>
        <w:pStyle w:val="4"/>
        <w:numPr>
          <w:ilvl w:val="1"/>
          <w:numId w:val="1"/>
        </w:numPr>
      </w:pPr>
      <w:bookmarkStart w:id="33" w:name="_Toc8001"/>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(HUNTER, 2007).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27171"/>
      <w:r>
        <w:rPr>
          <w:rFonts w:ascii="Arial" w:hAnsi="Arial" w:eastAsia="Arial" w:cs="Arial"/>
          <w:b w:val="0"/>
        </w:rPr>
        <w:t>Aspectos de Implementação</w:t>
      </w:r>
      <w:bookmarkEnd w:id="34"/>
    </w:p>
    <w:p w14:paraId="1D664FD8">
      <w:pPr>
        <w:pStyle w:val="5"/>
        <w:numPr>
          <w:ilvl w:val="2"/>
          <w:numId w:val="1"/>
        </w:numPr>
      </w:pPr>
      <w:bookmarkStart w:id="35" w:name="_Toc22352"/>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2269"/>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2364"/>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20873"/>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968"/>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4823"/>
      <w:r>
        <w:rPr>
          <w:rFonts w:ascii="Arial" w:hAnsi="Arial" w:eastAsia="Arial" w:cs="Arial"/>
          <w:b w:val="0"/>
        </w:rPr>
        <w:t>Testes e Análise dos Resultados</w:t>
      </w:r>
      <w:bookmarkEnd w:id="40"/>
    </w:p>
    <w:p w14:paraId="5264F51A">
      <w:pPr>
        <w:pStyle w:val="4"/>
        <w:numPr>
          <w:ilvl w:val="1"/>
          <w:numId w:val="1"/>
        </w:numPr>
      </w:pPr>
      <w:bookmarkStart w:id="41" w:name="_Toc32051"/>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 xml:space="preserve">A corretude do sistema é garantida por uma suíte de </w:t>
      </w:r>
      <w:r>
        <w:rPr>
          <w:rFonts w:ascii="Arial" w:hAnsi="Arial" w:eastAsia="Arial" w:cs="Arial"/>
          <w:b w:val="0"/>
          <w:color w:val="1F4E9B"/>
          <w:highlight w:val="yellow"/>
        </w:rPr>
        <w:t>132 testes</w:t>
      </w:r>
      <w:r>
        <w:rPr>
          <w:rFonts w:ascii="Arial" w:hAnsi="Arial" w:eastAsia="Arial" w:cs="Arial"/>
          <w:b w:val="0"/>
        </w:rPr>
        <w:t xml:space="preserve">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7351"/>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29393"/>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8518"/>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22411"/>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referida no restante do texto e nos quadros do Apêndice A também como defasagem idade-série, é o percentual de alunos com dois anos ou mais acima da idade esperada para a série que cursam. O nível socioeconômico (INSE) é uma escala contínua calculada pelo INEP a partir do perfil das famílias dos alunos (BRASIL, 2024b), como escolaridade dos pais, renda e bens do domicílio,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a formação considerada ideal;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e a mediana é o valor que divide a rede ao meio;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pois entra no sistema como logaritmo do número de matrículas, para que escolas muito grandes não dominem a comparação; por isso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13313"/>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5182"/>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30814"/>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19560"/>
      <w:r>
        <w:rPr>
          <w:rFonts w:ascii="Arial" w:hAnsi="Arial" w:eastAsia="Arial" w:cs="Arial"/>
          <w:b w:val="0"/>
        </w:rPr>
        <w:t>Desempenho do Sistema</w:t>
      </w:r>
      <w:bookmarkEnd w:id="49"/>
    </w:p>
    <w:p w14:paraId="4805032B">
      <w:pPr>
        <w:pStyle w:val="5"/>
        <w:numPr>
          <w:ilvl w:val="2"/>
          <w:numId w:val="1"/>
        </w:numPr>
      </w:pPr>
      <w:bookmarkStart w:id="50" w:name="_Toc25144"/>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29038"/>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32401"/>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e é nelas que o modelo adotado se sai melhor no teste do ano nunca visto, o cenário que reproduz o uso real de treinar com o passado e prever um ano ainda não observado.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3" w:name="_Toc24774"/>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entre as escolas que ele coloca no topo da lista de prioridade, 63% estão de fato entre as de maior abandono; na de 2023 para 2024, esse acerto cai para 38%,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sinal de que a decomposição é coerente com o desempenho global e não efeito de um ano específico.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12155"/>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27856"/>
      <w:r>
        <w:rPr>
          <w:rFonts w:ascii="Arial" w:hAnsi="Arial" w:eastAsia="Arial" w:cs="Arial"/>
          <w:b w:val="0"/>
        </w:rPr>
        <w:t>Explicação das Indicações</w:t>
      </w:r>
      <w:bookmarkEnd w:id="55"/>
    </w:p>
    <w:p w14:paraId="4564E80B">
      <w:pPr>
        <w:pStyle w:val="5"/>
        <w:numPr>
          <w:ilvl w:val="2"/>
          <w:numId w:val="1"/>
        </w:numPr>
      </w:pPr>
      <w:bookmarkStart w:id="56" w:name="_Toc23587"/>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 xml:space="preserve">Saber que uma escola está no topo da lista não basta; é preciso saber por quê. A técnica de explicação adotada é o SHAP (LUNDBERG; LEE, 2017), apresentado no Capítulo 2, que decompõe cada previsão na contribuição de cada característica. Aplicada a todo o conjunto, ela mostra quais características mais pesam nas previsões do sistema: </w:t>
      </w:r>
      <w:r>
        <w:rPr>
          <w:rFonts w:ascii="Arial" w:hAnsi="Arial" w:eastAsia="Arial" w:cs="Arial"/>
          <w:b w:val="0"/>
          <w:color w:val="1F4E9B"/>
          <w:highlight w:val="yellow"/>
        </w:rPr>
        <w:t>o abandono do ano anterior na 2ª série é o fator de maior peso, seguido da defasagem idade-série, do abandono do Ensino Médio como um todo e do abandono na 1ª série; depois vêm a localização diferenciada — peso retomado adiante, em Erros do Modelo e Equidade — e a reprovação do ano anterior. Somadas, as medidas de abandono do ano anterior respondem pela maior parte do peso total.</w:t>
      </w:r>
      <w:r>
        <w:rPr>
          <w:rFonts w:ascii="Arial" w:hAnsi="Arial" w:eastAsia="Arial" w:cs="Arial"/>
          <w:b w:val="0"/>
        </w:rPr>
        <w:t xml:space="preserve">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7943"/>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24145"/>
      <w:r>
        <w:rPr>
          <w:rFonts w:ascii="Arial" w:hAnsi="Arial" w:eastAsia="Arial" w:cs="Arial"/>
          <w:b w:val="0"/>
        </w:rPr>
        <w:t>Explicação de Uma Escola</w:t>
      </w:r>
      <w:bookmarkEnd w:id="58"/>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6821"/>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223"/>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23677"/>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 xml:space="preserve">Cinco resultados resumem o trabalho. O sistema é confiável no que se propõe: uma suíte de </w:t>
      </w:r>
      <w:r>
        <w:rPr>
          <w:rFonts w:ascii="Arial" w:hAnsi="Arial" w:eastAsia="Arial" w:cs="Arial"/>
          <w:b w:val="0"/>
          <w:color w:val="1F4E9B"/>
          <w:highlight w:val="yellow"/>
        </w:rPr>
        <w:t>132 testes</w:t>
      </w:r>
      <w:r>
        <w:rPr>
          <w:rFonts w:ascii="Arial" w:hAnsi="Arial" w:eastAsia="Arial" w:cs="Arial"/>
          <w:b w:val="0"/>
        </w:rPr>
        <w:t xml:space="preserve">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16117"/>
      <w:r>
        <w:rPr>
          <w:rFonts w:ascii="Arial" w:hAnsi="Arial" w:eastAsia="Arial" w:cs="Arial"/>
          <w:b w:val="0"/>
        </w:rPr>
        <w:t>Conclusões e Trabalhos Futuros</w:t>
      </w:r>
      <w:bookmarkEnd w:id="62"/>
    </w:p>
    <w:p w14:paraId="2B49EC9B">
      <w:pPr>
        <w:pStyle w:val="4"/>
        <w:numPr>
          <w:ilvl w:val="1"/>
          <w:numId w:val="1"/>
        </w:numPr>
      </w:pPr>
      <w:bookmarkStart w:id="63" w:name="_Toc5896"/>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 xml:space="preserve">Sobre a engenharia: o sistema foi construído com arquitetura em camadas, dependências em sentido único, </w:t>
      </w:r>
      <w:r>
        <w:rPr>
          <w:rFonts w:ascii="Arial" w:hAnsi="Arial" w:eastAsia="Arial" w:cs="Arial"/>
          <w:b w:val="0"/>
          <w:color w:val="1F4E9B"/>
          <w:highlight w:val="yellow"/>
        </w:rPr>
        <w:t>132 testes</w:t>
      </w:r>
      <w:r>
        <w:rPr>
          <w:rFonts w:ascii="Arial" w:hAnsi="Arial" w:eastAsia="Arial" w:cs="Arial"/>
          <w:b w:val="0"/>
        </w:rPr>
        <w:t xml:space="preserve">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64" w:name="_Toc12809"/>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74A766AA">
      <w:pPr>
        <w:pStyle w:val="8"/>
        <w:rPr>
          <w:color w:val="000000"/>
        </w:rPr>
      </w:pPr>
      <w:bookmarkStart w:id="65" w:name="_Toc21065"/>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33396362">
      <w:pPr>
        <w:pStyle w:val="3"/>
        <w:ind w:firstLine="0"/>
        <w:rPr>
          <w:color w:val="2E75B5"/>
        </w:rPr>
      </w:pPr>
      <w:r>
        <w:rPr>
          <w:rFonts w:ascii="Arial" w:hAnsi="Arial" w:eastAsia="Arial" w:cs="Arial"/>
          <w:b w:val="0"/>
        </w:rPr>
        <w:t>HUNTER, J. D. Matplotlib: a 2D graphics environment. Computing in Science &amp; Engineering, v. 9, n. 3, p. 90–95, 2007.</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3DE2185E">
      <w:pPr>
        <w:pStyle w:val="3"/>
        <w:ind w:firstLine="0"/>
        <w:rPr>
          <w:color w:val="2E75B5"/>
        </w:rPr>
      </w:pPr>
      <w:r>
        <w:rPr>
          <w:rFonts w:ascii="Arial" w:hAnsi="Arial" w:eastAsia="Arial" w:cs="Arial"/>
          <w:b w:val="0"/>
        </w:rPr>
        <w:t>MOLNAR, C. Interpretable machine learning: a guide for making black box models explainable. 2. ed. [S. l.: s. n.], 2022.</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1C353865">
      <w:pPr>
        <w:pStyle w:val="3"/>
        <w:ind w:firstLine="0"/>
        <w:rPr>
          <w:color w:val="2E75B5"/>
        </w:rPr>
      </w:pPr>
      <w:r>
        <w:rPr>
          <w:rFonts w:ascii="Arial" w:hAnsi="Arial" w:eastAsia="Arial" w:cs="Arial"/>
          <w:b w:val="0"/>
        </w:rPr>
        <w:t>ROMERO, C.; VENTURA, S. Educational data mining: a review of the state of the art. IEEE Transactions on Systems, Man, and Cybernetics, Part C: Applications and Reviews, v. 40, n. 6, p. 601–618, 2010.</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7162C159">
      <w:pPr>
        <w:pStyle w:val="3"/>
        <w:ind w:firstLine="0"/>
        <w:rPr>
          <w:color w:val="2E75B5"/>
        </w:rPr>
      </w:pPr>
      <w:r>
        <w:rPr>
          <w:rFonts w:ascii="Arial" w:hAnsi="Arial" w:eastAsia="Arial" w:cs="Arial"/>
          <w:b w:val="0"/>
        </w:rPr>
        <w:t>RUMBERGER, R. W. Dropping out: why students drop out of high school and what can be done about it. Cambridge: Harvard University Press, 2011.</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2A8FD802">
      <w:pPr>
        <w:pStyle w:val="3"/>
        <w:ind w:firstLine="0"/>
        <w:rPr>
          <w:color w:val="2E75B5"/>
        </w:rPr>
      </w:pPr>
      <w:r>
        <w:rPr>
          <w:rFonts w:ascii="Arial" w:hAnsi="Arial" w:eastAsia="Arial" w:cs="Arial"/>
          <w:b w:val="0"/>
        </w:rPr>
        <w:t>TINTO, V. Dropout from higher education: a theoretical synthesis of recent research. Review of Educational Research, v. 45, n. 1, p. 89–125, 1975.</w:t>
      </w:r>
    </w:p>
    <w:p w14:paraId="6FD186B2">
      <w:pPr>
        <w:pStyle w:val="8"/>
        <w:rPr>
          <w:color w:val="000000"/>
        </w:rPr>
      </w:pPr>
      <w:bookmarkStart w:id="66" w:name="_Toc19697"/>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3B673E7-4E96-43A1-9671-3FCF1C9E13B1}"/>
  </w:font>
  <w:font w:name="Arial">
    <w:panose1 w:val="020B0604020202020204"/>
    <w:charset w:val="00"/>
    <w:family w:val="swiss"/>
    <w:pitch w:val="default"/>
    <w:sig w:usb0="E0002EFF" w:usb1="C000785B" w:usb2="00000009" w:usb3="00000000" w:csb0="400001FF" w:csb1="FFFF0000"/>
    <w:embedRegular r:id="rId2" w:fontKey="{7A430B23-0886-4768-9DCE-4F2985EC758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52C820A-DE9C-4261-B966-411099483AA5}"/>
  </w:font>
  <w:font w:name="Wingdings">
    <w:panose1 w:val="05000000000000000000"/>
    <w:charset w:val="02"/>
    <w:family w:val="auto"/>
    <w:pitch w:val="default"/>
    <w:sig w:usb0="00000000" w:usb1="00000000" w:usb2="00000000" w:usb3="00000000" w:csb0="80000000" w:csb1="00000000"/>
    <w:embedRegular r:id="rId4" w:fontKey="{CEE2F1C6-64C6-4F1C-98E6-3BE813A9F8FB}"/>
  </w:font>
  <w:font w:name="Calibri">
    <w:panose1 w:val="020F0502020204030204"/>
    <w:charset w:val="00"/>
    <w:family w:val="swiss"/>
    <w:pitch w:val="default"/>
    <w:sig w:usb0="E4002EFF" w:usb1="C200247B" w:usb2="00000009" w:usb3="00000000" w:csb0="200001FF" w:csb1="00000000"/>
    <w:embedRegular r:id="rId5" w:fontKey="{71C9085B-2DBE-4E94-9A78-087CE623621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104B4A27-FFE2-4391-B826-68AF1E0BF929}"/>
  </w:font>
  <w:font w:name="Liberation Sans">
    <w:panose1 w:val="020B0604020202020204"/>
    <w:charset w:val="00"/>
    <w:family w:val="swiss"/>
    <w:pitch w:val="default"/>
    <w:sig w:usb0="E0000AFF" w:usb1="500078FF" w:usb2="00000021" w:usb3="00000000" w:csb0="600001BF" w:csb1="DFF70000"/>
    <w:embedRegular r:id="rId7" w:fontKey="{043D4F5B-651B-4483-82F8-4A9B751B2ED1}"/>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53476BB"/>
    <w:rsid w:val="361F7A70"/>
    <w:rsid w:val="37816D17"/>
    <w:rsid w:val="46E010FE"/>
    <w:rsid w:val="54BC7DEB"/>
    <w:rsid w:val="55540C4E"/>
    <w:rsid w:val="59E678F3"/>
    <w:rsid w:val="5DFA0956"/>
    <w:rsid w:val="654C03D3"/>
    <w:rsid w:val="7195085D"/>
    <w:rsid w:val="79F53997"/>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68</Pages>
  <Words>9961</Words>
  <Characters>54488</Characters>
  <Paragraphs>463</Paragraphs>
  <TotalTime>20</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2026-07-29T23:11:08Z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eyJoZGlkIjoiNjQ3MTRlMGE1MmIzNGE3YzkxYTdhYmEwNTQ4OGQzNTIiLCJ1c2VySWQiOiIxNjY2NTk4MDEzMDg0In0=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