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23568EF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FA5D0D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_Toc23571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_Toc23571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89A8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_Toc3671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_Toc3671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D2FE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_Toc21469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_Toc21469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403D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_Toc31301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_Toc31301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7377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_Toc15955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_Toc15955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F418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_Toc14285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_Toc14285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BA7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_Toc30755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_Toc30755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91B23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_Toc30656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_Toc30656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CD6E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_Toc8759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_Toc8759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EF34D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_Toc9565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_Toc9565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A83C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_Toc22782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_Toc22782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F1A3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_Toc30928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FA98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_Toc21354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_Toc21354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F55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_Toc5849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_Toc5849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DF5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_Toc3722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376A8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_Toc28267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_Toc28267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22360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_Toc4891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_Toc4891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2F0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_Toc19588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_Toc19588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242A4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_Toc3213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_Toc3213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7D9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_Toc8083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_Toc8083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79A9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_Toc25937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_Toc25937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E043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_Toc28442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_Toc28442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B359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_Toc31333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_Toc31333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1881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_Toc29052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_Toc29052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9BA0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_Toc18558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_Toc18558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E37A2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_Toc14609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_Toc14609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089DDE">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_Toc18239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_Toc18239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6594A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_Toc31473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_Toc31473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EECD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_Toc2904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_Toc2904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4145F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_Toc17695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_Toc17695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863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_Toc20106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_Toc20106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F3273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_Toc26356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_Toc26356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27CCA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_Toc13540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_Toc13540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1A81E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_Toc9724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_Toc9724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740E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_Toc8364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_Toc8364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52819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_Toc27301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_Toc27301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D9E8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_Toc13011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_Toc13011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8AB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_Toc11113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_Toc11113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1055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_Toc17395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_Toc17395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0EC2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_Toc21093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_Toc21093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C846C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_Toc16914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77F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_Toc30833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8202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_Toc462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_Toc462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2D14E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_Toc27194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BD8B4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_Toc17821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3A21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_Toc20207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_Toc20207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43F3E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_Toc5181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_Toc5181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EA02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_Toc17781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_Toc17781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45931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_Toc32660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_Toc32660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BEB7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_Toc13392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_Toc13392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6E4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_Toc18310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_Toc18310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D12D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_Toc10643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_Toc10643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92B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_Toc24720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_Toc24720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51EB9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_Toc21402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_Toc21402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4128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_Toc25642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_Toc25642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AE5F1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_Toc8290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2F347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_Toc24887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_Toc24887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CC30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_Toc16557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_Toc16557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E66F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_Toc29975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_Toc29975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EC30F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_Toc30053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_Toc30053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03BC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_Toc6670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_Toc6670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1AC43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_Toc202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9BFF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_Toc15903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_Toc15903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CDA3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_Toc8824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_Toc8824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6C0EBA">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_Toc3471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_Toc3471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596F5B">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_Toc31825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_Toc31825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3571"/>
      <w:r>
        <w:rPr>
          <w:rFonts w:ascii="Arial" w:hAnsi="Arial" w:eastAsia="Arial" w:cs="Arial"/>
          <w:b w:val="0"/>
        </w:rPr>
        <w:t>Introdução</w:t>
      </w:r>
      <w:bookmarkEnd w:id="1"/>
    </w:p>
    <w:p w14:paraId="71BF03DA">
      <w:pPr>
        <w:pStyle w:val="4"/>
        <w:numPr>
          <w:ilvl w:val="1"/>
          <w:numId w:val="1"/>
        </w:numPr>
      </w:pPr>
      <w:bookmarkStart w:id="2" w:name="_Toc367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e raramente é um evento isolado: costuma ser o desfecho de um afastamento que se acumula entre o estudante e a escola (BOWERS; SPROTT; TAFF, 2013).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1469"/>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1301"/>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5955"/>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4285"/>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0755"/>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30656"/>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8759"/>
      <w:r>
        <w:rPr>
          <w:rFonts w:ascii="Arial" w:hAnsi="Arial" w:eastAsia="Arial" w:cs="Arial"/>
          <w:b w:val="0"/>
        </w:rPr>
        <w:t>Fundamentação Teórica</w:t>
      </w:r>
      <w:bookmarkEnd w:id="9"/>
    </w:p>
    <w:p w14:paraId="0ED2592D">
      <w:pPr>
        <w:pStyle w:val="5"/>
        <w:numPr>
          <w:ilvl w:val="2"/>
          <w:numId w:val="1"/>
        </w:numPr>
      </w:pPr>
      <w:bookmarkStart w:id="10" w:name="_Toc956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Bowers, Sprott e Taff (2013), ao comparar 110 indicadores de risco de abandono reunidos em 36 estudos, verificaram que os sinais mais precisos são os que acompanham a trajetória do estudante ao longo do tempo, e não os que registram um único momento — resultado que sustenta essa leitura processual. O fenômeno é também multinível: além das características do aluno, como desempenho, defasagem idade-série e condição socioeconômica, pesam atributos da própria escola e do território em que ela se insere,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2782"/>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 predição, agrupamento, mineração de relações, destilação de dados para julgamento humano e descoberta com modelos — e situam a predição entre as tarefas centrais da área: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3092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135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A motivação declarada do próprio LIME é essa: seus autores situam a explicação como condição para que se possa confiar tanto em uma previsão isolada quanto no modelo que a produz (RIBEIRO; SINGH; GUESTRIN, 2016). Este trabalho adota o SHAP para explicar o risco previsto de cada escola.</w:t>
      </w:r>
    </w:p>
    <w:p w14:paraId="23F01F44">
      <w:pPr>
        <w:pStyle w:val="4"/>
        <w:numPr>
          <w:ilvl w:val="1"/>
          <w:numId w:val="1"/>
        </w:numPr>
      </w:pPr>
      <w:bookmarkStart w:id="14" w:name="_Toc5849"/>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recuperaram 336 estudos e analisaram os 71 que atenderam aos critérios de inclusão,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722"/>
      <w:r>
        <w:rPr>
          <w:rFonts w:ascii="Arial" w:hAnsi="Arial" w:eastAsia="Arial" w:cs="Arial"/>
          <w:b w:val="0"/>
        </w:rPr>
        <w:t>Método de Desenvolvimento</w:t>
      </w:r>
      <w:bookmarkEnd w:id="15"/>
    </w:p>
    <w:p w14:paraId="39EFBDEF">
      <w:pPr>
        <w:pStyle w:val="4"/>
        <w:numPr>
          <w:ilvl w:val="1"/>
          <w:numId w:val="1"/>
        </w:numPr>
      </w:pPr>
      <w:bookmarkStart w:id="16" w:name="_Toc28267"/>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4891"/>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588"/>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3213"/>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808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5937"/>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8442"/>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1333"/>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9052"/>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55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4609"/>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132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8239"/>
      <w:r>
        <w:rPr>
          <w:rFonts w:ascii="Arial" w:hAnsi="Arial" w:eastAsia="Arial" w:cs="Arial"/>
          <w:b w:val="0"/>
        </w:rPr>
        <w:t>Arquitetura do Software</w:t>
      </w:r>
      <w:bookmarkEnd w:id="27"/>
    </w:p>
    <w:p w14:paraId="527CA8A8">
      <w:pPr>
        <w:pStyle w:val="4"/>
        <w:numPr>
          <w:ilvl w:val="1"/>
          <w:numId w:val="1"/>
        </w:numPr>
      </w:pPr>
      <w:bookmarkStart w:id="28" w:name="_Toc31473"/>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904"/>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7695"/>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106"/>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6356"/>
      <w:r>
        <w:rPr>
          <w:rFonts w:ascii="Arial" w:hAnsi="Arial" w:eastAsia="Arial" w:cs="Arial"/>
          <w:b w:val="0"/>
        </w:rPr>
        <w:t>Tecnologias e Aspectos de Implementação</w:t>
      </w:r>
      <w:bookmarkEnd w:id="32"/>
    </w:p>
    <w:p w14:paraId="6E080A24">
      <w:pPr>
        <w:pStyle w:val="4"/>
        <w:numPr>
          <w:ilvl w:val="1"/>
          <w:numId w:val="1"/>
        </w:numPr>
      </w:pPr>
      <w:bookmarkStart w:id="33" w:name="_Toc13540"/>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9724"/>
      <w:r>
        <w:rPr>
          <w:rFonts w:ascii="Arial" w:hAnsi="Arial" w:eastAsia="Arial" w:cs="Arial"/>
          <w:b w:val="0"/>
        </w:rPr>
        <w:t>Aspectos de Implementação</w:t>
      </w:r>
      <w:bookmarkEnd w:id="34"/>
    </w:p>
    <w:p w14:paraId="1D664FD8">
      <w:pPr>
        <w:pStyle w:val="5"/>
        <w:numPr>
          <w:ilvl w:val="2"/>
          <w:numId w:val="1"/>
        </w:numPr>
      </w:pPr>
      <w:bookmarkStart w:id="35" w:name="_Toc8364"/>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7301"/>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3011"/>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111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7395"/>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1093"/>
      <w:r>
        <w:rPr>
          <w:rFonts w:ascii="Arial" w:hAnsi="Arial" w:eastAsia="Arial" w:cs="Arial"/>
          <w:b w:val="0"/>
        </w:rPr>
        <w:t>Testes e Análise dos Resultados</w:t>
      </w:r>
      <w:bookmarkEnd w:id="40"/>
    </w:p>
    <w:p w14:paraId="5264F51A">
      <w:pPr>
        <w:pStyle w:val="4"/>
        <w:numPr>
          <w:ilvl w:val="1"/>
          <w:numId w:val="1"/>
        </w:numPr>
      </w:pPr>
      <w:bookmarkStart w:id="41" w:name="_Toc1691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132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308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62"/>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719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782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0207"/>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181"/>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778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2660"/>
      <w:r>
        <w:rPr>
          <w:rFonts w:ascii="Arial" w:hAnsi="Arial" w:eastAsia="Arial" w:cs="Arial"/>
          <w:b w:val="0"/>
        </w:rPr>
        <w:t>Desempenho do Sistema</w:t>
      </w:r>
      <w:bookmarkEnd w:id="49"/>
    </w:p>
    <w:p w14:paraId="4805032B">
      <w:pPr>
        <w:pStyle w:val="5"/>
        <w:numPr>
          <w:ilvl w:val="2"/>
          <w:numId w:val="1"/>
        </w:numPr>
      </w:pPr>
      <w:bookmarkStart w:id="50" w:name="_Toc13392"/>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18310"/>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643"/>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2472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1402"/>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5642"/>
      <w:r>
        <w:rPr>
          <w:rFonts w:ascii="Arial" w:hAnsi="Arial" w:eastAsia="Arial" w:cs="Arial"/>
          <w:b w:val="0"/>
        </w:rPr>
        <w:t>Explicação das Indicações</w:t>
      </w:r>
      <w:bookmarkEnd w:id="55"/>
    </w:p>
    <w:p w14:paraId="4564E80B">
      <w:pPr>
        <w:pStyle w:val="5"/>
        <w:numPr>
          <w:ilvl w:val="2"/>
          <w:numId w:val="1"/>
        </w:numPr>
      </w:pPr>
      <w:bookmarkStart w:id="56" w:name="_Toc8290"/>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488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6557"/>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9975"/>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3005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6670"/>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132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02"/>
      <w:r>
        <w:rPr>
          <w:rFonts w:ascii="Arial" w:hAnsi="Arial" w:eastAsia="Arial" w:cs="Arial"/>
          <w:b w:val="0"/>
        </w:rPr>
        <w:t>Conclusões e Trabalhos Futuros</w:t>
      </w:r>
      <w:bookmarkEnd w:id="62"/>
    </w:p>
    <w:p w14:paraId="2B49EC9B">
      <w:pPr>
        <w:pStyle w:val="4"/>
        <w:numPr>
          <w:ilvl w:val="1"/>
          <w:numId w:val="1"/>
        </w:numPr>
      </w:pPr>
      <w:bookmarkStart w:id="63" w:name="_Toc15903"/>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132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color w:val="1F4E9B"/>
          <w:highlight w:val="yellow"/>
        </w:rPr>
        <w:t>Sobre o que o sistema não garante: prever evasão não é o mesmo que conhecê-la. A decisão de deixar a escola é de um estudante. As razões que pesam nela — trabalho, gravidez, mudança de município, doença, violência no entorno, perda de vínculo com o estudo — não aparecem em nenhuma das 39 características, que descrevem a escola e não o aluno. O sistema aprende associações entre o perfil institucional e o abandono que veio depois. Ele não estabelece causa, não antecipa a trajetória de nenhum estudante e não assegura que uma escola apontada terá abandono alto, nem que uma escola fora da lista esteja em segurança.</w:t>
      </w:r>
    </w:p>
    <w:p w14:paraId="1AEE7B98">
      <w:pPr>
        <w:pStyle w:val="3"/>
        <w:ind w:firstLine="0"/>
        <w:rPr>
          <w:color w:val="2E75B5"/>
        </w:rPr>
      </w:pPr>
      <w:r>
        <w:rPr>
          <w:rFonts w:ascii="Arial" w:hAnsi="Arial" w:eastAsia="Arial" w:cs="Arial"/>
          <w:b w:val="0"/>
          <w:color w:val="1F4E9B"/>
          <w:highlight w:val="yellow"/>
        </w:rPr>
        <w:t>Os próprios números medem essa distância. Das escolas apontadas como prioritárias, cerca de metade não está entre as mais críticas. O acerto da lista caiu de 0,627 na transição de 2022 para 2023 para 0,381 na transição seguinte, acompanhando a queda do abandono na rede — o desempenho depende do ano, e não é estável. O viés nas escolas indígenas e quilombolas mostra o caso extremo, em que o sistema erra com confiança sobre um grupo inteiro. A leitura correta da lista é a de uma hipótese ordenada sobre onde olhar primeiro, que a visita à escola, o conselho de classe e o conhecimento de quem está na ponta confirmam ou desmentem. Não é um veredito sobre o que vai acontecer.</w:t>
      </w:r>
    </w:p>
    <w:p w14:paraId="28C353BC">
      <w:pPr>
        <w:pStyle w:val="4"/>
        <w:numPr>
          <w:ilvl w:val="1"/>
          <w:numId w:val="1"/>
        </w:numPr>
      </w:pPr>
      <w:bookmarkStart w:id="64" w:name="_Toc8824"/>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bookmarkStart w:id="67" w:name="_GoBack"/>
      <w:r>
        <w:rPr>
          <w:rFonts w:ascii="Arial" w:hAnsi="Arial" w:eastAsia="Arial" w:cs="Arial"/>
          <w:b w:val="0"/>
          <w:color w:val="1F4E9B"/>
          <w:highlight w:val="yellow"/>
        </w:rPr>
        <w:t>Medida de incerteza por escola: substituir a previsão pontual por um intervalo, de modo que o painel mostre não apenas a posição da escola, mas o quanto essa posição é confiável. Escolas pequenas, em que a saída de poucos alunos altera muito a taxa, e escolas sem séries regulares, cujos valores por série são estimados, deveriam chegar ao gestor com a incerteza declarada.</w:t>
      </w:r>
    </w:p>
    <w:p w14:paraId="3FACD3A8">
      <w:pPr>
        <w:pStyle w:val="3"/>
        <w:ind w:firstLine="0"/>
        <w:rPr>
          <w:color w:val="2E75B5"/>
        </w:rPr>
      </w:pPr>
      <w:r>
        <w:rPr>
          <w:rFonts w:ascii="Arial" w:hAnsi="Arial" w:eastAsia="Arial" w:cs="Arial"/>
          <w:b w:val="0"/>
          <w:color w:val="1F4E9B"/>
          <w:highlight w:val="yellow"/>
        </w:rPr>
        <w:t>Dados no nível do estudante: a evasão acontece na trajetória de cada aluno, e o sistema atual enxerga apenas a escola. Incorporar registros nominais de matrícula, frequência e desempenho, respeitada a proteção de dados pessoais, permitiria estimar o risco individual e explicar por que a escola inteira aparece no topo da lista.</w:t>
      </w:r>
    </w:p>
    <w:p w14:paraId="7AF06E78">
      <w:pPr>
        <w:pStyle w:val="3"/>
        <w:ind w:firstLine="0"/>
        <w:rPr>
          <w:color w:val="2E75B5"/>
        </w:rPr>
      </w:pPr>
      <w:r>
        <w:rPr>
          <w:rFonts w:ascii="Arial" w:hAnsi="Arial" w:eastAsia="Arial" w:cs="Arial"/>
          <w:b w:val="0"/>
          <w:color w:val="1F4E9B"/>
          <w:highlight w:val="yellow"/>
        </w:rPr>
        <w:t>Sinais dentro do ano letivo: as previsões dependem hoje de indicadores anuais, o que entrega ao gestor uma lista por ano. Registros de frequência e de notas ao longo dos bimestres permitiriam recalcular o risco durante o ano, quando ainda há tempo de agir sobre a turma que está se afastando.</w:t>
      </w:r>
    </w:p>
    <w:p w14:paraId="5FA7C965">
      <w:pPr>
        <w:pStyle w:val="3"/>
        <w:ind w:firstLine="0"/>
        <w:rPr>
          <w:color w:val="2E75B5"/>
        </w:rPr>
      </w:pPr>
      <w:r>
        <w:rPr>
          <w:rFonts w:ascii="Arial" w:hAnsi="Arial" w:eastAsia="Arial" w:cs="Arial"/>
          <w:b w:val="0"/>
          <w:color w:val="1F4E9B"/>
          <w:highlight w:val="yellow"/>
        </w:rPr>
        <w:t>Monitoramento de deriva: o abandono médio da rede caiu de 2,05% em 2022 para 0,96% em 2024, e foi essa mudança que degradou a previsão de magnitude. Um sistema robusto precisa detectar sozinho quando os dados novos se afastam daqueles em que foi treinado, e avisar que o modelo precisa ser reajustado antes que a lista perca qualidade em silêncio.</w:t>
      </w:r>
    </w:p>
    <w:p w14:paraId="13822144">
      <w:pPr>
        <w:pStyle w:val="3"/>
        <w:ind w:firstLine="0"/>
        <w:rPr>
          <w:color w:val="2E75B5"/>
        </w:rPr>
      </w:pPr>
      <w:r>
        <w:rPr>
          <w:rFonts w:ascii="Arial" w:hAnsi="Arial" w:eastAsia="Arial" w:cs="Arial"/>
          <w:b w:val="0"/>
          <w:color w:val="1F4E9B"/>
          <w:highlight w:val="yellow"/>
        </w:rPr>
        <w:t>Validação externa: aplicar o mesmo protocolo a outra rede estadual verificaria se o desempenho observado em Pernambuco se sustenta fora dela, separando o que é método do que é particularidade desta rede.</w:t>
      </w:r>
    </w:p>
    <w:p w14:paraId="51E336E1">
      <w:pPr>
        <w:pStyle w:val="3"/>
        <w:ind w:firstLine="0"/>
        <w:rPr>
          <w:color w:val="2E75B5"/>
        </w:rPr>
      </w:pPr>
      <w:r>
        <w:rPr>
          <w:rFonts w:ascii="Arial" w:hAnsi="Arial" w:eastAsia="Arial" w:cs="Arial"/>
          <w:b w:val="0"/>
          <w:color w:val="1F4E9B"/>
          <w:highlight w:val="yellow"/>
        </w:rPr>
        <w:t>Comparação sistemática de modelos: com os dados atuais, os três modelos avaliados ficaram estatisticamente indistinguíveis, e a escolha do modelo adotado apoia-se em critérios que vão além do desempenho medido. Com séries mais longas, essa comparação deve ser refeita, incluindo modelos que tratem explicitamente a estrutura de painel, isto é, a mesma escola observada em anos sucessivos.</w:t>
      </w:r>
    </w:p>
    <w:bookmarkEnd w:id="67"/>
    <w:p w14:paraId="74A766AA">
      <w:pPr>
        <w:pStyle w:val="8"/>
        <w:rPr>
          <w:color w:val="000000"/>
        </w:rPr>
      </w:pPr>
      <w:bookmarkStart w:id="65" w:name="_Toc347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31825"/>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A81E162-ECD6-418F-A4AA-0C4742748E72}"/>
  </w:font>
  <w:font w:name="Arial">
    <w:panose1 w:val="020B0604020202020204"/>
    <w:charset w:val="00"/>
    <w:family w:val="swiss"/>
    <w:pitch w:val="default"/>
    <w:sig w:usb0="E0002EFF" w:usb1="C000785B" w:usb2="00000009" w:usb3="00000000" w:csb0="400001FF" w:csb1="FFFF0000"/>
    <w:embedRegular r:id="rId2" w:fontKey="{43C1BEB1-2BEF-4C4E-B6D6-63B9154A05C2}"/>
  </w:font>
  <w:font w:name="Courier New">
    <w:panose1 w:val="02070309020205020404"/>
    <w:charset w:val="00"/>
    <w:family w:val="modern"/>
    <w:pitch w:val="default"/>
    <w:sig w:usb0="E0002EFF" w:usb1="C0007843" w:usb2="00000009" w:usb3="00000000" w:csb0="400001FF" w:csb1="FFFF0000"/>
    <w:embedRegular r:id="rId3" w:fontKey="{3E78F49C-C776-4019-9DD8-3252188B2F0B}"/>
  </w:font>
  <w:font w:name="Symbol">
    <w:panose1 w:val="05050102010706020507"/>
    <w:charset w:val="02"/>
    <w:family w:val="roman"/>
    <w:pitch w:val="default"/>
    <w:sig w:usb0="00000000" w:usb1="00000000" w:usb2="00000000" w:usb3="00000000" w:csb0="80000000" w:csb1="00000000"/>
    <w:embedRegular r:id="rId4" w:fontKey="{92D3CA60-C7DA-46B8-9E3C-DBF74F8B853A}"/>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8A1F2D6B-0965-44EB-AF5D-B26DA0F081F3}"/>
  </w:font>
  <w:font w:name="Georgia">
    <w:panose1 w:val="02040502050405020303"/>
    <w:charset w:val="00"/>
    <w:family w:val="roman"/>
    <w:pitch w:val="default"/>
    <w:sig w:usb0="00000287" w:usb1="00000000" w:usb2="00000000" w:usb3="00000000" w:csb0="2000009F" w:csb1="00000000"/>
    <w:embedRegular r:id="rId6" w:fontKey="{E029BD22-189C-41D0-A95B-D1088B21F7F7}"/>
  </w:font>
  <w:font w:name="Liberation Sans">
    <w:panose1 w:val="020B0604020202020204"/>
    <w:charset w:val="00"/>
    <w:family w:val="swiss"/>
    <w:pitch w:val="default"/>
    <w:sig w:usb0="E0000AFF" w:usb1="500078FF" w:usb2="00000021" w:usb3="00000000" w:csb0="600001BF" w:csb1="DFF70000"/>
    <w:embedRegular r:id="rId7" w:fontKey="{C5F121CC-070F-4DB5-85BC-DC76A0C9CB1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41E170A"/>
    <w:rsid w:val="353476BB"/>
    <w:rsid w:val="361F7A70"/>
    <w:rsid w:val="37816D17"/>
    <w:rsid w:val="46E010FE"/>
    <w:rsid w:val="4FB122AA"/>
    <w:rsid w:val="54BC7DEB"/>
    <w:rsid w:val="55540C4E"/>
    <w:rsid w:val="59E678F3"/>
    <w:rsid w:val="5DFA0956"/>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67</Pages>
  <Words>9961</Words>
  <Characters>54488</Characters>
  <Paragraphs>463</Paragraphs>
  <TotalTime>320</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2026-07-31T17:35:49Z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