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2671445</wp:posOffset>
                </wp:positionH>
                <wp:positionV relativeFrom="paragraph">
                  <wp:posOffset>102235</wp:posOffset>
                </wp:positionV>
                <wp:extent cx="3093720" cy="534035"/>
                <wp:effectExtent l="6350" t="6350" r="11430" b="18415"/>
                <wp:wrapNone/>
                <wp:docPr id="2" name="Shape 2"/>
                <wp:cNvGraphicFramePr/>
                <a:graphic xmlns:a="http://schemas.openxmlformats.org/drawingml/2006/main">
                  <a:graphicData uri="http://schemas.microsoft.com/office/word/2010/wordprocessingShape">
                    <wps:wsp>
                      <wps:cNvSpPr/>
                      <wps:spPr>
                        <a:xfrm>
                          <a:off x="0" y="0"/>
                          <a:ext cx="3093720" cy="534035"/>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txbxContent>
                      </wps:txbx>
                      <wps:bodyPr lIns="91440" tIns="91440" rIns="91440" bIns="91440" anchor="ctr">
                        <a:noAutofit/>
                      </wps:bodyPr>
                    </wps:wsp>
                  </a:graphicData>
                </a:graphic>
              </wp:anchor>
            </w:drawing>
          </mc:Choice>
          <mc:Fallback>
            <w:pict>
              <v:rect id="Shape 2" o:spid="_x0000_s1026" o:spt="1" style="position:absolute;left:0pt;margin-left:210.35pt;margin-top:8.05pt;height:42.05pt;width:243.6pt;z-index:251659264;v-text-anchor:middle;mso-width-relative:page;mso-height-relative:page;" filled="f" stroked="t" coordsize="21600,21600" o:gfxdata="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oWyIzXAAAACgEAAA8AAAAAAAAAAQAgAAAA&#10;IgAAAGRycy9kb3ducmV2LnhtbFBLAQIUABQAAAAIAIdO4kC1AYRw0wEAAMwDAAAOAAAAAAAAAAEA&#10;IAAAACYBAABkcnMvZTJvRG9jLnhtbFBLBQYAAAAABgAGAFkBAABrBQAAAAA=&#10;">
                <v:fill on="f" focussize="0,0"/>
                <v:stroke weight="1pt" color="#000000" joinstyle="miter"/>
                <v:imagedata o:title=""/>
                <o:lock v:ext="edit" aspectratio="f"/>
                <v:textbox inset="2.54mm,2.54mm,2.54mm,2.54mm">
                  <w:txbxContent>
                    <w:p w14:paraId="5039EB54"/>
                  </w:txbxContent>
                </v:textbox>
              </v:rect>
            </w:pict>
          </mc:Fallback>
        </mc:AlternateContent>
      </w: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1F4E9B"/>
          <w:position w:val="0"/>
          <w:sz w:val="24"/>
          <w:szCs w:val="24"/>
          <w:highlight w:val="yellow"/>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adotando a escola, e não o aluno, como unidade de análise. O sistema reúne dados públicos do INEP — Censo Escolar de 2022 a 2024, taxas de rendimento e quatro indicadores complementares —, deriva 39 características por escola e estima a taxa de abandono do ano seguinte com um modelo de aprendizado de máquina baseado em árvores impulsionadas por gradiente, comparado a modelos de referência sob uma validação que impede a mistura de municípios entre treino e teste e respeita a ordem dos anos. Cada previsão é decomposta na contribuição de cada característica, o que indica quais delas elevaram ou reduziram o risco daquela escola.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taking the school, not the student, as the unit of analysis. The system gathers public data from INEP — the School Census from 2022 to 2024, performance rates and four complementary indicators —, derives 39 pieces of information per school and estimates the dropout rate of the following year with a gradient boosted tree model, compared against baseline models under a validation scheme that prevents municipalities from being split across training and test sets and respects the ordering of the years. Each prediction is decomposed into the contribution of every feature, showing which ones raised or lowered the risk of that particular school.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428099E0">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7C07F5B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_Toc27120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_Toc27120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8D3F71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_Toc32561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_Toc32561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D1793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_Toc17822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_Toc17822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E76D4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_Toc7478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_Toc7478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1BC88D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_Toc7557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_Toc7557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7E6EB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_Toc12359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_Toc12359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7DF2B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_Toc546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_Toc546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7FE5F12">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_Toc24220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_Toc24220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EB010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_Toc16827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_Toc16827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6F57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_Toc8874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_Toc8874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1CB40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_Toc17706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_Toc17706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340216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_Toc8496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_Toc8496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6669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_Toc18493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_Toc18493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A8A002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_Toc20648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_Toc20648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2F9E4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_Toc29150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_Toc29150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49115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_Toc1353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_Toc1353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852D1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_Toc12950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_Toc12950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0D331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_Toc19956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_Toc19956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0510C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_Toc17462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_Toc17462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67A98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_Toc12749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_Toc12749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1479C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_Toc15266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_Toc15266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0F1C2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_Toc6985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_Toc6985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7B644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_Toc26128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_Toc26128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0D5AA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_Toc25846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_Toc25846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6CD97F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_Toc13634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_Toc13634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B7C42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_Toc23888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_Toc23888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D21C6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_Toc23168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_Toc23168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50CC5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_Toc598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_Toc598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A0266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_Toc28244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_Toc28244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D6E9A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_Toc31428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_Toc31428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EAB93C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_Toc13159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_Toc13159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49C19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_Toc16921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_Toc16921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D465E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_Toc13539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_Toc13539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84F9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_Toc26068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_Toc26068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D2B2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_Toc17735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_Toc17735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7DDB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_Toc25995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_Toc25995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5F46B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_Toc18586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_Toc18586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B016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_Toc5321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_Toc5321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3BC0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_Toc19797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_Toc19797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73AC3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_Toc5338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_Toc5338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DE688C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_Toc20863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_Toc20863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C47C61">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_Toc28136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_Toc28136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DFCD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_Toc15824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_Toc15824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5160D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_Toc18972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_Toc18972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E7ABB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_Toc11998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_Toc11998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9D118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_Toc10906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_Toc10906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EE5CB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_Toc9362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_Toc9362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A406E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_Toc28051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_Toc28051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7AB41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_Toc12930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_Toc12930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B02C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_Toc30154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_Toc30154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3F4B5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_Toc24549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_Toc24549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A045A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_Toc1840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_Toc1840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617AC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_Toc7211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_Toc7211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08ADD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_Toc18831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_Toc18831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67DA3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_Toc5527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_Toc5527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32A38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_Toc10583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_Toc10583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5E15A4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_Toc26941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_Toc26941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F2220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_Toc20491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_Toc20491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E167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_Toc8273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_Toc8273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51D5DF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_Toc30946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_Toc30946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AC0FC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_Toc19638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_Toc19638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B57561">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_Toc19347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_Toc19347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076A4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_Toc26404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_Toc26404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BBF7C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_Toc30312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_Toc30312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D9EF17">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_Toc25442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_Toc25442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56B586">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_Toc18959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_Toc18959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7120"/>
      <w:r>
        <w:rPr>
          <w:rFonts w:ascii="Arial" w:hAnsi="Arial" w:eastAsia="Arial" w:cs="Arial"/>
          <w:b w:val="0"/>
        </w:rPr>
        <w:t>Introdução</w:t>
      </w:r>
      <w:bookmarkEnd w:id="1"/>
    </w:p>
    <w:p w14:paraId="71BF03DA">
      <w:pPr>
        <w:pStyle w:val="4"/>
        <w:numPr>
          <w:ilvl w:val="1"/>
          <w:numId w:val="1"/>
        </w:numPr>
      </w:pPr>
      <w:bookmarkStart w:id="2" w:name="_Toc32561"/>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 xml:space="preserve">A evasão escolar no Ensino Médio compromete o futuro dos jovens </w:t>
      </w:r>
      <w:r>
        <w:rPr>
          <w:rFonts w:ascii="Arial" w:hAnsi="Arial" w:eastAsia="Arial" w:cs="Arial"/>
          <w:b w:val="0"/>
          <w:color w:val="1F4E9B"/>
          <w:highlight w:val="yellow"/>
        </w:rPr>
        <w:t>e o desenvolvimento do país.</w:t>
      </w:r>
      <w:r>
        <w:rPr>
          <w:rFonts w:ascii="Arial" w:hAnsi="Arial" w:eastAsia="Arial" w:cs="Arial"/>
          <w:b w:val="0"/>
        </w:rPr>
        <w:t xml:space="preserve"> No Ensino Médio público brasileiro, o abandono reflete desigualdades sociais, econômicas, geográficas e institucionais profundas, e raramente é um evento isolado: costuma ser o desfecho de um afastamento que se acumula </w:t>
      </w:r>
      <w:r>
        <w:rPr>
          <w:rFonts w:ascii="Arial" w:hAnsi="Arial" w:eastAsia="Arial" w:cs="Arial"/>
          <w:b w:val="0"/>
          <w:color w:val="1F4E9B"/>
          <w:highlight w:val="yellow"/>
        </w:rPr>
        <w:t>entre o estudante e a escola (BOWERS; SPROTT; TAFF, 2013).</w:t>
      </w:r>
      <w:r>
        <w:rPr>
          <w:rFonts w:ascii="Arial" w:hAnsi="Arial" w:eastAsia="Arial" w:cs="Arial"/>
          <w:b w:val="0"/>
        </w:rPr>
        <w:t xml:space="preserve"> Pernambuco implantou um programa pioneiro de Ensino Médio em tempo integral, cujos efeitos sobre o desempenho dos estudantes já foram avaliados (ROSA et al., 2022), e a parcela das matrículas nessa modalidade passou de 56,7% em 2022 para 64,9% em 2024 (BRASIL, 2024a). Mesmo assim a rede segue muito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 xml:space="preserve">Antecipar esse risco é o que propõe a literatura de mineração de dados educacionais, que aplica técnicas de aprendizado de máquina a dados da educação para prever desfechos como o abandono </w:t>
      </w:r>
      <w:r>
        <w:rPr>
          <w:rFonts w:ascii="Arial" w:hAnsi="Arial" w:eastAsia="Arial" w:cs="Arial"/>
          <w:b w:val="0"/>
          <w:color w:val="1F4E9B"/>
          <w:highlight w:val="yellow"/>
        </w:rPr>
        <w:t>(BAKER; YACEF, 2009)</w:t>
      </w:r>
      <w:r>
        <w:rPr>
          <w:rFonts w:ascii="Arial" w:hAnsi="Arial" w:eastAsia="Arial" w:cs="Arial"/>
          <w:b w:val="0"/>
        </w:rPr>
        <w:t>.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17822"/>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7478"/>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7557"/>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2359"/>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546"/>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4220"/>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6827"/>
      <w:r>
        <w:rPr>
          <w:rFonts w:ascii="Arial" w:hAnsi="Arial" w:eastAsia="Arial" w:cs="Arial"/>
          <w:b w:val="0"/>
        </w:rPr>
        <w:t>Fundamentação Teórica</w:t>
      </w:r>
      <w:bookmarkEnd w:id="9"/>
    </w:p>
    <w:p w14:paraId="0ED2592D">
      <w:pPr>
        <w:pStyle w:val="5"/>
        <w:numPr>
          <w:ilvl w:val="2"/>
          <w:numId w:val="1"/>
        </w:numPr>
      </w:pPr>
      <w:bookmarkStart w:id="10" w:name="_Toc8874"/>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 xml:space="preserve">A evasão escolar é entendida na literatura menos como um evento isolado e mais como o desfecho de um processo prolongado de afastamento entre o estudante e a instituição de ensino. </w:t>
      </w:r>
      <w:r>
        <w:rPr>
          <w:rFonts w:ascii="Arial" w:hAnsi="Arial" w:eastAsia="Arial" w:cs="Arial"/>
          <w:b w:val="0"/>
          <w:color w:val="1F4E9B"/>
          <w:highlight w:val="yellow"/>
        </w:rPr>
        <w:t>Bowers, Sprott e Taff (2013), ao comparar 110 indicadores de risco de abandono reunidos em 36 estudos, verificaram que os sinais mais precisos são os que acompanham a trajetória do estudante ao longo do tempo, e não os que registram um único momento — resultado que sustenta essa leitura processual. O fenômeno é também multinível: além das características do aluno, como desempenho, defasagem idade-série e condição socioeconômica, pesam atributos da própria escola e do território em que ela se insere,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7706"/>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 xml:space="preserve">A aplicação sistemática de técnicas computacionais a dados educacionais consolidou-se no campo da mineração de dados educacionais (educational data mining). </w:t>
      </w:r>
      <w:r>
        <w:rPr>
          <w:rFonts w:ascii="Arial" w:hAnsi="Arial" w:eastAsia="Arial" w:cs="Arial"/>
          <w:b w:val="0"/>
          <w:color w:val="1F4E9B"/>
          <w:highlight w:val="yellow"/>
        </w:rPr>
        <w:t>Baker e Yacef (2009), ao revisarem o estado do campo, organizam seus métodos em cinco categorias — predição, agrupamento, mineração de relações, destilação de dados para julgamento humano e descoberta com modelos — e situam a predição entre as tarefas centrais da área: estimar um resultado futuro, como desempenho ou abandono, a partir de atributos observados.</w:t>
      </w:r>
      <w:r>
        <w:rPr>
          <w:rFonts w:ascii="Arial" w:hAnsi="Arial" w:eastAsia="Arial" w:cs="Arial"/>
          <w:b w:val="0"/>
        </w:rPr>
        <w:t xml:space="preserve">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8496"/>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18493"/>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 xml:space="preserve">Modelos de alto desempenho como </w:t>
      </w:r>
      <w:r>
        <w:rPr>
          <w:rFonts w:ascii="Arial" w:hAnsi="Arial" w:eastAsia="Arial" w:cs="Arial"/>
          <w:b w:val="0"/>
          <w:color w:val="1F4E9B"/>
          <w:highlight w:val="yellow"/>
        </w:rPr>
        <w:t>as florestas e o gradiente impulsionado</w:t>
      </w:r>
      <w:r>
        <w:rPr>
          <w:rFonts w:ascii="Arial" w:hAnsi="Arial" w:eastAsia="Arial" w:cs="Arial"/>
          <w:b w:val="0"/>
        </w:rPr>
        <w:t xml:space="preserve">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w:t>
      </w:r>
      <w:r>
        <w:rPr>
          <w:rFonts w:ascii="Arial" w:hAnsi="Arial" w:eastAsia="Arial" w:cs="Arial"/>
          <w:b w:val="0"/>
          <w:color w:val="1F4E9B"/>
          <w:highlight w:val="yellow"/>
        </w:rPr>
        <w:t>A motivação declarada do próprio LIME é essa: seus autores situam a explicação como condição para que se possa confiar tanto em uma previsão isolada quanto no modelo que a produz (RIBEIRO; SINGH; GUESTRIN, 2016).</w:t>
      </w:r>
      <w:r>
        <w:rPr>
          <w:rFonts w:ascii="Arial" w:hAnsi="Arial" w:eastAsia="Arial" w:cs="Arial"/>
          <w:b w:val="0"/>
        </w:rPr>
        <w:t xml:space="preserve"> Este trabalho adota o SHAP para explicar o risco previsto de cada escola.</w:t>
      </w:r>
    </w:p>
    <w:p w14:paraId="23F01F44">
      <w:pPr>
        <w:pStyle w:val="4"/>
        <w:numPr>
          <w:ilvl w:val="1"/>
          <w:numId w:val="1"/>
        </w:numPr>
      </w:pPr>
      <w:bookmarkStart w:id="14" w:name="_Toc20648"/>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 xml:space="preserve">A predição de evasão por aprendizado de máquina é um tema ativo, inclusive no Brasil. Dois mapeamentos sistemáticos recentes ilustram o volume e a orientação da produção nacional: </w:t>
      </w:r>
      <w:r>
        <w:rPr>
          <w:rFonts w:ascii="Arial" w:hAnsi="Arial" w:eastAsia="Arial" w:cs="Arial"/>
          <w:b w:val="0"/>
          <w:color w:val="1F4E9B"/>
          <w:highlight w:val="yellow"/>
        </w:rPr>
        <w:t>Jesus e Gusmão (2024) recuperaram 336 estudos e analisaram os 71 que atenderam aos critérios de inclusão</w:t>
      </w:r>
      <w:r>
        <w:rPr>
          <w:rFonts w:ascii="Arial" w:hAnsi="Arial" w:eastAsia="Arial" w:cs="Arial"/>
          <w:b w:val="0"/>
        </w:rPr>
        <w:t>,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 xml:space="preserve">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critério adotado neste trabalho. Resta uma lacuna: a maior parte da literatura opera no nível do estudante e no ensino superior, ao passo que esta monografia toma a escola como unidade de análise na educação básica, combinando dados públicos, </w:t>
      </w:r>
      <w:r>
        <w:rPr>
          <w:rFonts w:ascii="Arial" w:hAnsi="Arial" w:eastAsia="Arial" w:cs="Arial"/>
          <w:b w:val="0"/>
          <w:color w:val="1F4E9B"/>
          <w:highlight w:val="yellow"/>
        </w:rPr>
        <w:t>um modelo de gradiente impulsionado</w:t>
      </w:r>
      <w:r>
        <w:rPr>
          <w:rFonts w:ascii="Arial" w:hAnsi="Arial" w:eastAsia="Arial" w:cs="Arial"/>
          <w:b w:val="0"/>
        </w:rPr>
        <w:t xml:space="preserve"> e explicações por SHAP para apoiar a priorização de intervenções pela gestão estadual.</w:t>
      </w:r>
    </w:p>
    <w:p w14:paraId="1319101A">
      <w:pPr>
        <w:pStyle w:val="2"/>
        <w:numPr>
          <w:ilvl w:val="0"/>
          <w:numId w:val="1"/>
        </w:numPr>
        <w:rPr>
          <w:color w:val="000000"/>
        </w:rPr>
      </w:pPr>
      <w:bookmarkStart w:id="15" w:name="_Toc29150"/>
      <w:r>
        <w:rPr>
          <w:rFonts w:ascii="Arial" w:hAnsi="Arial" w:eastAsia="Arial" w:cs="Arial"/>
          <w:b w:val="0"/>
        </w:rPr>
        <w:t>Método de Desenvolvimento</w:t>
      </w:r>
      <w:bookmarkEnd w:id="15"/>
    </w:p>
    <w:p w14:paraId="39EFBDEF">
      <w:pPr>
        <w:pStyle w:val="4"/>
        <w:numPr>
          <w:ilvl w:val="1"/>
          <w:numId w:val="1"/>
        </w:numPr>
      </w:pPr>
      <w:bookmarkStart w:id="16" w:name="_Toc1353"/>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12950"/>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19956"/>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7462"/>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12749"/>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5266"/>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w:t>
      </w:r>
      <w:bookmarkStart w:id="67" w:name="_GoBack"/>
      <w:bookmarkEnd w:id="67"/>
      <w:r>
        <w:rPr>
          <w:rFonts w:ascii="Arial" w:hAnsi="Arial" w:eastAsia="Arial" w:cs="Arial"/>
          <w:b w:val="0"/>
        </w:rPr>
        <w:t>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6985"/>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6128"/>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25846"/>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 xml:space="preserve">O painel foi definido como ferramenta de apoio à decisão, que prioriza escolas e explica o porquê, e não como recomendação automática de ações. A razão é metodológica: </w:t>
      </w:r>
      <w:r>
        <w:rPr>
          <w:rFonts w:ascii="Arial" w:hAnsi="Arial" w:eastAsia="Arial" w:cs="Arial"/>
          <w:b w:val="0"/>
          <w:color w:val="1F4E9B"/>
          <w:highlight w:val="yellow"/>
        </w:rPr>
        <w:t>o sistema identifica associações, não causas, e a literatura de validação alerta justamente para o risco de modelos que se apoiam em preditores não causais (ROBERTS et al., 2017).</w:t>
      </w:r>
      <w:r>
        <w:rPr>
          <w:rFonts w:ascii="Arial" w:hAnsi="Arial" w:eastAsia="Arial" w:cs="Arial"/>
          <w:b w:val="0"/>
        </w:rPr>
        <w:t xml:space="preserve">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13634"/>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 xml:space="preserve">Quatro verificações automatizadas protegem esse caminho, porque um erro aqui não geraria sintoma: as características de predição têm de ser idênticas às do treino, o conjunto tem de conter apenas o ano solicitado, não pode restar nenhuma ausência e </w:t>
      </w:r>
      <w:r>
        <w:rPr>
          <w:rFonts w:ascii="Arial" w:hAnsi="Arial" w:eastAsia="Arial" w:cs="Arial"/>
          <w:b w:val="0"/>
          <w:color w:val="1F4E9B"/>
          <w:highlight w:val="yellow"/>
        </w:rPr>
        <w:t>a lista devolvida tem de estar íntegra</w:t>
      </w:r>
      <w:r>
        <w:rPr>
          <w:rFonts w:ascii="Arial" w:hAnsi="Arial" w:eastAsia="Arial" w:cs="Arial"/>
          <w:b w:val="0"/>
        </w:rPr>
        <w:t>. Uma quinta verifica que o pedido de um ano sem dados falha com a mensagem correta.</w:t>
      </w:r>
    </w:p>
    <w:p w14:paraId="7820F8BC">
      <w:pPr>
        <w:pStyle w:val="4"/>
        <w:numPr>
          <w:ilvl w:val="1"/>
          <w:numId w:val="1"/>
        </w:numPr>
      </w:pPr>
      <w:bookmarkStart w:id="26" w:name="_Toc23888"/>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 xml:space="preserve">b) Testes automatizados: a suíte tem </w:t>
      </w:r>
      <w:r>
        <w:rPr>
          <w:rFonts w:ascii="Arial" w:hAnsi="Arial" w:eastAsia="Arial" w:cs="Arial"/>
          <w:b w:val="0"/>
          <w:color w:val="1F4E9B"/>
          <w:highlight w:val="yellow"/>
        </w:rPr>
        <w:t>132 testes</w:t>
      </w:r>
      <w:r>
        <w:rPr>
          <w:rFonts w:ascii="Arial" w:hAnsi="Arial" w:eastAsia="Arial" w:cs="Arial"/>
          <w:b w:val="0"/>
        </w:rPr>
        <w:t xml:space="preserve">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23168"/>
      <w:r>
        <w:rPr>
          <w:rFonts w:ascii="Arial" w:hAnsi="Arial" w:eastAsia="Arial" w:cs="Arial"/>
          <w:b w:val="0"/>
        </w:rPr>
        <w:t>Arquitetura do Software</w:t>
      </w:r>
      <w:bookmarkEnd w:id="27"/>
    </w:p>
    <w:p w14:paraId="527CA8A8">
      <w:pPr>
        <w:pStyle w:val="4"/>
        <w:numPr>
          <w:ilvl w:val="1"/>
          <w:numId w:val="1"/>
        </w:numPr>
      </w:pPr>
      <w:bookmarkStart w:id="28" w:name="_Toc598"/>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8244"/>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1428"/>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13159"/>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6921"/>
      <w:r>
        <w:rPr>
          <w:rFonts w:ascii="Arial" w:hAnsi="Arial" w:eastAsia="Arial" w:cs="Arial"/>
          <w:b w:val="0"/>
        </w:rPr>
        <w:t>Tecnologias e Aspectos de Implementação</w:t>
      </w:r>
      <w:bookmarkEnd w:id="32"/>
    </w:p>
    <w:p w14:paraId="6E080A24">
      <w:pPr>
        <w:pStyle w:val="4"/>
        <w:numPr>
          <w:ilvl w:val="1"/>
          <w:numId w:val="1"/>
        </w:numPr>
      </w:pPr>
      <w:bookmarkStart w:id="33" w:name="_Toc13539"/>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 xml:space="preserve">A explicação das previsões usa a biblioteca SHAP (LUNDBERG; LEE, 2017), otimizada para modelos baseados em árvores. </w:t>
      </w:r>
      <w:r>
        <w:rPr>
          <w:rFonts w:ascii="Arial" w:hAnsi="Arial" w:eastAsia="Arial" w:cs="Arial"/>
          <w:b w:val="0"/>
          <w:color w:val="1F4E9B"/>
          <w:highlight w:val="yellow"/>
        </w:rPr>
        <w:t>As figuras são geradas com matplotlib.</w:t>
      </w:r>
      <w:r>
        <w:rPr>
          <w:rFonts w:ascii="Arial" w:hAnsi="Arial" w:eastAsia="Arial" w:cs="Arial"/>
          <w:b w:val="0"/>
        </w:rPr>
        <w:t xml:space="preserve">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26068"/>
      <w:r>
        <w:rPr>
          <w:rFonts w:ascii="Arial" w:hAnsi="Arial" w:eastAsia="Arial" w:cs="Arial"/>
          <w:b w:val="0"/>
        </w:rPr>
        <w:t>Aspectos de Implementação</w:t>
      </w:r>
      <w:bookmarkEnd w:id="34"/>
    </w:p>
    <w:p w14:paraId="1D664FD8">
      <w:pPr>
        <w:pStyle w:val="5"/>
        <w:numPr>
          <w:ilvl w:val="2"/>
          <w:numId w:val="1"/>
        </w:numPr>
      </w:pPr>
      <w:bookmarkStart w:id="35" w:name="_Toc17735"/>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25995"/>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8586"/>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532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19797"/>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5338"/>
      <w:r>
        <w:rPr>
          <w:rFonts w:ascii="Arial" w:hAnsi="Arial" w:eastAsia="Arial" w:cs="Arial"/>
          <w:b w:val="0"/>
        </w:rPr>
        <w:t>Testes e Análise dos Resultados</w:t>
      </w:r>
      <w:bookmarkEnd w:id="40"/>
    </w:p>
    <w:p w14:paraId="5264F51A">
      <w:pPr>
        <w:pStyle w:val="4"/>
        <w:numPr>
          <w:ilvl w:val="1"/>
          <w:numId w:val="1"/>
        </w:numPr>
      </w:pPr>
      <w:bookmarkStart w:id="41" w:name="_Toc20863"/>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garantida por uma suíte de </w:t>
      </w:r>
      <w:r>
        <w:rPr>
          <w:rFonts w:ascii="Arial" w:hAnsi="Arial" w:eastAsia="Arial" w:cs="Arial"/>
          <w:b w:val="0"/>
          <w:color w:val="1F4E9B"/>
          <w:highlight w:val="yellow"/>
        </w:rPr>
        <w:t>132 testes</w:t>
      </w:r>
      <w:r>
        <w:rPr>
          <w:rFonts w:ascii="Arial" w:hAnsi="Arial" w:eastAsia="Arial" w:cs="Arial"/>
          <w:b w:val="0"/>
        </w:rPr>
        <w:t xml:space="preserve">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28136"/>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5824"/>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18972"/>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1998"/>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color w:val="1F4E9B"/>
          <w:highlight w:val="yellow"/>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color w:val="1F4E9B"/>
          <w:highlight w:val="yellow"/>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color w:val="1F4E9B"/>
          <w:highlight w:val="yellow"/>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color w:val="1F4E9B"/>
          <w:highlight w:val="yellow"/>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color w:val="1F4E9B"/>
          <w:highlight w:val="yellow"/>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e a mediana é o valor que divide a rede ao meio;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pois entra no sistema como logaritmo do número de matrículas, para que escolas muito grandes não dominem a comparação; por isso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10906"/>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936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8051"/>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12930"/>
      <w:r>
        <w:rPr>
          <w:rFonts w:ascii="Arial" w:hAnsi="Arial" w:eastAsia="Arial" w:cs="Arial"/>
          <w:b w:val="0"/>
        </w:rPr>
        <w:t>Desempenho do Sistema</w:t>
      </w:r>
      <w:bookmarkEnd w:id="49"/>
    </w:p>
    <w:p w14:paraId="4805032B">
      <w:pPr>
        <w:pStyle w:val="5"/>
        <w:numPr>
          <w:ilvl w:val="2"/>
          <w:numId w:val="1"/>
        </w:numPr>
      </w:pPr>
      <w:bookmarkStart w:id="50" w:name="_Toc30154"/>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24549"/>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840"/>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e é nelas que o modelo adotado se sai melhor no teste do ano nunca visto, o cenário que reproduz o uso real de treinar com o passado e prever um ano ainda não observado.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que informam ao gestor o porquê de cada previsão. Como as diferenças entre os três modelos permanecem dentro da margem de incerteza, a escolha não representa perda de desempenho relevante.</w:t>
      </w:r>
    </w:p>
    <w:p w14:paraId="24977E46">
      <w:pPr>
        <w:pStyle w:val="5"/>
        <w:numPr>
          <w:ilvl w:val="2"/>
          <w:numId w:val="1"/>
        </w:numPr>
      </w:pPr>
      <w:bookmarkStart w:id="53" w:name="_Toc7211"/>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entre as escolas que ele coloca no topo da lista de prioridade, 63% estão de fato entre as de maior abandono; na de 2023 para 2024, esse acerto cai para 38%,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sinal de que a decomposição é coerente com o desempenho global e não efeito de um ano específico.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18831"/>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5527"/>
      <w:r>
        <w:rPr>
          <w:rFonts w:ascii="Arial" w:hAnsi="Arial" w:eastAsia="Arial" w:cs="Arial"/>
          <w:b w:val="0"/>
        </w:rPr>
        <w:t>Explicação das Indicações</w:t>
      </w:r>
      <w:bookmarkEnd w:id="55"/>
    </w:p>
    <w:p w14:paraId="4564E80B">
      <w:pPr>
        <w:pStyle w:val="5"/>
        <w:numPr>
          <w:ilvl w:val="2"/>
          <w:numId w:val="1"/>
        </w:numPr>
      </w:pPr>
      <w:bookmarkStart w:id="56" w:name="_Toc10583"/>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 xml:space="preserve">Saber que uma escola está no topo da lista não basta; é preciso saber por quê. A técnica de explicação adotada é o SHAP (LUNDBERG; LEE, 2017), apresentado no Capítulo 2, que decompõe cada previsão na contribuição de cada característica. </w:t>
      </w:r>
      <w:r>
        <w:rPr>
          <w:rFonts w:ascii="Arial" w:hAnsi="Arial" w:eastAsia="Arial" w:cs="Arial"/>
          <w:b w:val="0"/>
          <w:color w:val="1F4E9B"/>
          <w:highlight w:val="yellow"/>
        </w:rPr>
        <w:t>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w:t>
      </w:r>
      <w:r>
        <w:rPr>
          <w:rFonts w:ascii="Arial" w:hAnsi="Arial" w:eastAsia="Arial" w:cs="Arial"/>
          <w:b w:val="0"/>
        </w:rPr>
        <w:t xml:space="preserve">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26941"/>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20491"/>
      <w:r>
        <w:rPr>
          <w:rFonts w:ascii="Arial" w:hAnsi="Arial" w:eastAsia="Arial" w:cs="Arial"/>
          <w:b w:val="0"/>
        </w:rPr>
        <w:t>Explicação de Uma Escola</w:t>
      </w:r>
      <w:bookmarkEnd w:id="58"/>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8273"/>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30946"/>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19638"/>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 xml:space="preserve">Cinco resultados resumem o trabalho. O sistema é confiável no que se propõe: uma suíte de </w:t>
      </w:r>
      <w:r>
        <w:rPr>
          <w:rFonts w:ascii="Arial" w:hAnsi="Arial" w:eastAsia="Arial" w:cs="Arial"/>
          <w:b w:val="0"/>
          <w:color w:val="1F4E9B"/>
          <w:highlight w:val="yellow"/>
        </w:rPr>
        <w:t>132 testes</w:t>
      </w:r>
      <w:r>
        <w:rPr>
          <w:rFonts w:ascii="Arial" w:hAnsi="Arial" w:eastAsia="Arial" w:cs="Arial"/>
          <w:b w:val="0"/>
        </w:rPr>
        <w:t xml:space="preserve">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19347"/>
      <w:r>
        <w:rPr>
          <w:rFonts w:ascii="Arial" w:hAnsi="Arial" w:eastAsia="Arial" w:cs="Arial"/>
          <w:b w:val="0"/>
        </w:rPr>
        <w:t>Conclusões e Trabalhos Futuros</w:t>
      </w:r>
      <w:bookmarkEnd w:id="62"/>
    </w:p>
    <w:p w14:paraId="2B49EC9B">
      <w:pPr>
        <w:pStyle w:val="4"/>
        <w:numPr>
          <w:ilvl w:val="1"/>
          <w:numId w:val="1"/>
        </w:numPr>
      </w:pPr>
      <w:bookmarkStart w:id="63" w:name="_Toc26404"/>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 xml:space="preserve">Sobre a engenharia: o sistema foi construído com arquitetura em camadas, dependências em sentido único, </w:t>
      </w:r>
      <w:r>
        <w:rPr>
          <w:rFonts w:ascii="Arial" w:hAnsi="Arial" w:eastAsia="Arial" w:cs="Arial"/>
          <w:b w:val="0"/>
          <w:color w:val="1F4E9B"/>
          <w:highlight w:val="yellow"/>
        </w:rPr>
        <w:t>132 testes</w:t>
      </w:r>
      <w:r>
        <w:rPr>
          <w:rFonts w:ascii="Arial" w:hAnsi="Arial" w:eastAsia="Arial" w:cs="Arial"/>
          <w:b w:val="0"/>
        </w:rPr>
        <w:t xml:space="preserve">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4" w:name="_Toc30312"/>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74A766AA">
      <w:pPr>
        <w:pStyle w:val="8"/>
        <w:rPr>
          <w:color w:val="000000"/>
        </w:rPr>
      </w:pPr>
      <w:bookmarkStart w:id="65" w:name="_Toc25442"/>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6" w:name="_Toc18959"/>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797CEA0-6953-4622-8A0D-9ADFB081DD96}"/>
  </w:font>
  <w:font w:name="Arial">
    <w:panose1 w:val="020B0604020202020204"/>
    <w:charset w:val="00"/>
    <w:family w:val="swiss"/>
    <w:pitch w:val="default"/>
    <w:sig w:usb0="E0002EFF" w:usb1="C000785B" w:usb2="00000009" w:usb3="00000000" w:csb0="400001FF" w:csb1="FFFF0000"/>
    <w:embedRegular r:id="rId2" w:fontKey="{CF389816-4A9B-45F2-86B9-0E339708FDF7}"/>
  </w:font>
  <w:font w:name="Courier New">
    <w:panose1 w:val="02070309020205020404"/>
    <w:charset w:val="00"/>
    <w:family w:val="modern"/>
    <w:pitch w:val="default"/>
    <w:sig w:usb0="E0002EFF" w:usb1="C0007843" w:usb2="00000009" w:usb3="00000000" w:csb0="400001FF" w:csb1="FFFF0000"/>
    <w:embedRegular r:id="rId3" w:fontKey="{9787016B-32A8-42C2-8B87-A703FFD8ED2F}"/>
  </w:font>
  <w:font w:name="Symbol">
    <w:panose1 w:val="05050102010706020507"/>
    <w:charset w:val="02"/>
    <w:family w:val="roman"/>
    <w:pitch w:val="default"/>
    <w:sig w:usb0="00000000" w:usb1="00000000" w:usb2="00000000" w:usb3="00000000" w:csb0="80000000" w:csb1="00000000"/>
    <w:embedRegular r:id="rId4" w:fontKey="{BAF7228D-59C0-4D9C-A931-D24A38DC6B4C}"/>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C261DF30-B59B-4FC4-91D0-7B673F15A1F7}"/>
  </w:font>
  <w:font w:name="Georgia">
    <w:panose1 w:val="02040502050405020303"/>
    <w:charset w:val="00"/>
    <w:family w:val="roman"/>
    <w:pitch w:val="default"/>
    <w:sig w:usb0="00000287" w:usb1="00000000" w:usb2="00000000" w:usb3="00000000" w:csb0="2000009F" w:csb1="00000000"/>
    <w:embedRegular r:id="rId6" w:fontKey="{986C74E0-A57D-455D-84CF-8EC6A57FECBA}"/>
  </w:font>
  <w:font w:name="Liberation Sans">
    <w:panose1 w:val="020B0604020202020204"/>
    <w:charset w:val="00"/>
    <w:family w:val="swiss"/>
    <w:pitch w:val="default"/>
    <w:sig w:usb0="E0000AFF" w:usb1="500078FF" w:usb2="00000021" w:usb3="00000000" w:csb0="600001BF" w:csb1="DFF70000"/>
    <w:embedRegular r:id="rId7" w:fontKey="{519387BB-0FA0-4CAC-8643-F53A3309572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E3A73C0"/>
    <w:rsid w:val="154F2ABF"/>
    <w:rsid w:val="1B1E5FE7"/>
    <w:rsid w:val="2C1B3E3D"/>
    <w:rsid w:val="311C20B6"/>
    <w:rsid w:val="341E170A"/>
    <w:rsid w:val="353476BB"/>
    <w:rsid w:val="361F7A70"/>
    <w:rsid w:val="37816D17"/>
    <w:rsid w:val="46E010FE"/>
    <w:rsid w:val="4FB122AA"/>
    <w:rsid w:val="54BC7DEB"/>
    <w:rsid w:val="55540C4E"/>
    <w:rsid w:val="59E678F3"/>
    <w:rsid w:val="5DFA0956"/>
    <w:rsid w:val="654C03D3"/>
    <w:rsid w:val="7195085D"/>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34</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2026-07-30T23:27:18Z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