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5EB1E3F3">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16016C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_Toc15543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_Toc15543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8691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_Toc30998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_Toc30998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432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_Toc12913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_Toc12913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A09F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_Toc29612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_Toc29612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6FB36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_Toc32260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_Toc32260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3C6A6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_Toc29456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_Toc29456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74B6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_Toc7458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_Toc7458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8A882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_Toc29428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_Toc29428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D50D3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_Toc26201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_Toc26201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3E28D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_Toc6861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_Toc6861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2132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_Toc18936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_Toc18936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EF77F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_Toc11669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_Toc11669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6702F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_Toc27474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_Toc27474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A99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_Toc1165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_Toc1165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F0AD3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_Toc23803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A86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_Toc21762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_Toc21762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3941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_Toc24552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_Toc24552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77F4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_Toc16751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_Toc16751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ABC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_Toc17569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_Toc17569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8AE76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_Toc30827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_Toc30827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78D27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_Toc18142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_Toc18142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2E951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_Toc30785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_Toc30785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60E7E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_Toc16207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_Toc16207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CD87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_Toc1073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C3A6F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_Toc9309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_Toc9309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3AD8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_Toc151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52FE5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_Toc23069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_Toc23069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9FEEF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_Toc21916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_Toc21916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88E302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_Toc4827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_Toc4827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A6EDF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_Toc13338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_Toc13338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60709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_Toc19674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59BD1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_Toc14032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_Toc14032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9AFC2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_Toc8001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3946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_Toc27171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_Toc27171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733E7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_Toc22352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_Toc22352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EB9C2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_Toc22269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_Toc22269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9C4B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_Toc12364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_Toc12364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A462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_Toc20873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_Toc20873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752A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_Toc968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_Toc968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9212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_Toc4823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_Toc4823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A943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_Toc32051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_Toc32051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0F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_Toc7351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_Toc7351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99A53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_Toc29393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_Toc29393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030C4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_Toc8518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_Toc8518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21EC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_Toc22411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_Toc22411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BE227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_Toc13313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_Toc13313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1274B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362E2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_Toc30814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_Toc30814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1EBB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_Toc19560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1ADDA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_Toc25144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_Toc25144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1E82A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_Toc29038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_Toc29038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E2025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_Toc32401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_Toc32401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F29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_Toc24774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_Toc24774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6912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_Toc12155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_Toc12155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9760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_Toc27856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_Toc27856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0752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_Toc23587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_Toc23587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C8A3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_Toc27943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_Toc27943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FA296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_Toc24145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_Toc24145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0398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_Toc6821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_Toc6821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AB99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_Toc223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390AF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_Toc23677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_Toc23677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F45A20">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_Toc16117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_Toc16117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DDE6E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_Toc5896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_Toc5896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678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_Toc12809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_Toc12809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7D66A6">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_Toc21065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_Toc21065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F2A16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_Toc19697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_Toc19697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5543"/>
      <w:r>
        <w:rPr>
          <w:rFonts w:ascii="Arial" w:hAnsi="Arial" w:eastAsia="Arial" w:cs="Arial"/>
          <w:b w:val="0"/>
        </w:rPr>
        <w:t>Introdução</w:t>
      </w:r>
      <w:bookmarkEnd w:id="1"/>
    </w:p>
    <w:p w14:paraId="71BF03DA">
      <w:pPr>
        <w:pStyle w:val="4"/>
        <w:numPr>
          <w:ilvl w:val="1"/>
          <w:numId w:val="1"/>
        </w:numPr>
      </w:pPr>
      <w:bookmarkStart w:id="67" w:name="_GoBack"/>
      <w:bookmarkStart w:id="2" w:name="_Toc3099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(RUMBERGER, 2011). No Ensino Médio público brasileiro, o abandono reflete desigualdades sociais, econômicas, geográficas e institucionais profundas, e raramente é um evento isolado: costuma ser o desfecho de um afastamento que se acumula entre o estudante e a escola (TINTO, 1975; RUMBERGER, 2011).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(ROMERO; VENTURA, 2010;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bookmarkEnd w:id="67"/>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291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29612"/>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32260"/>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9456"/>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745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9428"/>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6201"/>
      <w:r>
        <w:rPr>
          <w:rFonts w:ascii="Arial" w:hAnsi="Arial" w:eastAsia="Arial" w:cs="Arial"/>
          <w:b w:val="0"/>
        </w:rPr>
        <w:t>Fundamentação Teórica</w:t>
      </w:r>
      <w:bookmarkEnd w:id="9"/>
    </w:p>
    <w:p w14:paraId="0ED2592D">
      <w:pPr>
        <w:pStyle w:val="5"/>
        <w:numPr>
          <w:ilvl w:val="2"/>
          <w:numId w:val="1"/>
        </w:numPr>
      </w:pPr>
      <w:bookmarkStart w:id="10" w:name="_Toc6861"/>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como desempenho, defasagem idade-série e condição socioeconômica,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8936"/>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11669"/>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747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boosting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1165"/>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analisaram 336 estudos,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um modelo de boosting e explicações por SHAP para apoiar a priorização de intervenções pela gestão estadual.</w:t>
      </w:r>
    </w:p>
    <w:p w14:paraId="1319101A">
      <w:pPr>
        <w:pStyle w:val="2"/>
        <w:numPr>
          <w:ilvl w:val="0"/>
          <w:numId w:val="1"/>
        </w:numPr>
        <w:rPr>
          <w:color w:val="000000"/>
        </w:rPr>
      </w:pPr>
      <w:bookmarkStart w:id="15" w:name="_Toc23803"/>
      <w:r>
        <w:rPr>
          <w:rFonts w:ascii="Arial" w:hAnsi="Arial" w:eastAsia="Arial" w:cs="Arial"/>
          <w:b w:val="0"/>
        </w:rPr>
        <w:t>Método de Desenvolvimento</w:t>
      </w:r>
      <w:bookmarkEnd w:id="15"/>
    </w:p>
    <w:p w14:paraId="39EFBDEF">
      <w:pPr>
        <w:pStyle w:val="4"/>
        <w:numPr>
          <w:ilvl w:val="1"/>
          <w:numId w:val="1"/>
        </w:numPr>
      </w:pPr>
      <w:bookmarkStart w:id="16" w:name="_Toc21762"/>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24552"/>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6751"/>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7569"/>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3082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8142"/>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3078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16207"/>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07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(MOLNAR, 2022).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9309"/>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o ranking devolvido tem de estar íntegro. Uma quinta verifica que o pedido de um ano sem dados falha com a mensagem correta.</w:t>
      </w:r>
    </w:p>
    <w:p w14:paraId="7820F8BC">
      <w:pPr>
        <w:pStyle w:val="4"/>
        <w:numPr>
          <w:ilvl w:val="1"/>
          <w:numId w:val="1"/>
        </w:numPr>
      </w:pPr>
      <w:bookmarkStart w:id="26" w:name="_Toc15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120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23069"/>
      <w:r>
        <w:rPr>
          <w:rFonts w:ascii="Arial" w:hAnsi="Arial" w:eastAsia="Arial" w:cs="Arial"/>
          <w:b w:val="0"/>
        </w:rPr>
        <w:t>Arquitetura do Software</w:t>
      </w:r>
      <w:bookmarkEnd w:id="27"/>
    </w:p>
    <w:p w14:paraId="527CA8A8">
      <w:pPr>
        <w:pStyle w:val="4"/>
        <w:numPr>
          <w:ilvl w:val="1"/>
          <w:numId w:val="1"/>
        </w:numPr>
      </w:pPr>
      <w:bookmarkStart w:id="28" w:name="_Toc2191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4827"/>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3338"/>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967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4032"/>
      <w:r>
        <w:rPr>
          <w:rFonts w:ascii="Arial" w:hAnsi="Arial" w:eastAsia="Arial" w:cs="Arial"/>
          <w:b w:val="0"/>
        </w:rPr>
        <w:t>Tecnologias e Aspectos de Implementação</w:t>
      </w:r>
      <w:bookmarkEnd w:id="32"/>
    </w:p>
    <w:p w14:paraId="6E080A24">
      <w:pPr>
        <w:pStyle w:val="4"/>
        <w:numPr>
          <w:ilvl w:val="1"/>
          <w:numId w:val="1"/>
        </w:numPr>
      </w:pPr>
      <w:bookmarkStart w:id="33" w:name="_Toc80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(HUNTER, 2007).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27171"/>
      <w:r>
        <w:rPr>
          <w:rFonts w:ascii="Arial" w:hAnsi="Arial" w:eastAsia="Arial" w:cs="Arial"/>
          <w:b w:val="0"/>
        </w:rPr>
        <w:t>Aspectos de Implementação</w:t>
      </w:r>
      <w:bookmarkEnd w:id="34"/>
    </w:p>
    <w:p w14:paraId="1D664FD8">
      <w:pPr>
        <w:pStyle w:val="5"/>
        <w:numPr>
          <w:ilvl w:val="2"/>
          <w:numId w:val="1"/>
        </w:numPr>
      </w:pPr>
      <w:bookmarkStart w:id="35" w:name="_Toc22352"/>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2269"/>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2364"/>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087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968"/>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4823"/>
      <w:r>
        <w:rPr>
          <w:rFonts w:ascii="Arial" w:hAnsi="Arial" w:eastAsia="Arial" w:cs="Arial"/>
          <w:b w:val="0"/>
        </w:rPr>
        <w:t>Testes e Análise dos Resultados</w:t>
      </w:r>
      <w:bookmarkEnd w:id="40"/>
    </w:p>
    <w:p w14:paraId="5264F51A">
      <w:pPr>
        <w:pStyle w:val="4"/>
        <w:numPr>
          <w:ilvl w:val="1"/>
          <w:numId w:val="1"/>
        </w:numPr>
      </w:pPr>
      <w:bookmarkStart w:id="41" w:name="_Toc32051"/>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120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7351"/>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29393"/>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851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241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referida no restante do texto e nos quadros do Apêndice A também como defasagem idade-série, é o percentual de alunos com dois anos ou mais acima da idade esperada para a série que cursam. O nível socioeconômico (INSE) é uma escala contínua calculada pelo INEP a partir do perfil das famílias dos alunos (BRASIL, 2024b), como escolaridade dos pais, renda e bens do domicílio,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a formação considerada ideal;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3313"/>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30814"/>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9560"/>
      <w:r>
        <w:rPr>
          <w:rFonts w:ascii="Arial" w:hAnsi="Arial" w:eastAsia="Arial" w:cs="Arial"/>
          <w:b w:val="0"/>
        </w:rPr>
        <w:t>Desempenho do Sistema</w:t>
      </w:r>
      <w:bookmarkEnd w:id="49"/>
    </w:p>
    <w:p w14:paraId="4805032B">
      <w:pPr>
        <w:pStyle w:val="5"/>
        <w:numPr>
          <w:ilvl w:val="2"/>
          <w:numId w:val="1"/>
        </w:numPr>
      </w:pPr>
      <w:bookmarkStart w:id="50" w:name="_Toc25144"/>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9038"/>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32401"/>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24774"/>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2155"/>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7856"/>
      <w:r>
        <w:rPr>
          <w:rFonts w:ascii="Arial" w:hAnsi="Arial" w:eastAsia="Arial" w:cs="Arial"/>
          <w:b w:val="0"/>
        </w:rPr>
        <w:t>Explicação das Indicações</w:t>
      </w:r>
      <w:bookmarkEnd w:id="55"/>
    </w:p>
    <w:p w14:paraId="4564E80B">
      <w:pPr>
        <w:pStyle w:val="5"/>
        <w:numPr>
          <w:ilvl w:val="2"/>
          <w:numId w:val="1"/>
        </w:numPr>
      </w:pPr>
      <w:bookmarkStart w:id="56" w:name="_Toc23587"/>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7943"/>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24145"/>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6821"/>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22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3677"/>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120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16117"/>
      <w:r>
        <w:rPr>
          <w:rFonts w:ascii="Arial" w:hAnsi="Arial" w:eastAsia="Arial" w:cs="Arial"/>
          <w:b w:val="0"/>
        </w:rPr>
        <w:t>Conclusões e Trabalhos Futuros</w:t>
      </w:r>
      <w:bookmarkEnd w:id="62"/>
    </w:p>
    <w:p w14:paraId="2B49EC9B">
      <w:pPr>
        <w:pStyle w:val="4"/>
        <w:numPr>
          <w:ilvl w:val="1"/>
          <w:numId w:val="1"/>
        </w:numPr>
      </w:pPr>
      <w:bookmarkStart w:id="63" w:name="_Toc5896"/>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120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12809"/>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21065"/>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33396362">
      <w:pPr>
        <w:pStyle w:val="3"/>
        <w:ind w:firstLine="0"/>
        <w:rPr>
          <w:color w:val="2E75B5"/>
        </w:rPr>
      </w:pPr>
      <w:r>
        <w:rPr>
          <w:rFonts w:ascii="Arial" w:hAnsi="Arial" w:eastAsia="Arial" w:cs="Arial"/>
          <w:b w:val="0"/>
        </w:rPr>
        <w:t>HUNTER, J. D. Matplotlib: a 2D graphics environment. Computing in Science &amp; Engineering, v. 9, n. 3, p. 90–95, 2007.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6" w:name="_Toc19697"/>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3B673E7-4E96-43A1-9671-3FCF1C9E13B1}"/>
  </w:font>
  <w:font w:name="Arial">
    <w:panose1 w:val="020B0604020202020204"/>
    <w:charset w:val="00"/>
    <w:family w:val="swiss"/>
    <w:pitch w:val="default"/>
    <w:sig w:usb0="E0002EFF" w:usb1="C000785B" w:usb2="00000009" w:usb3="00000000" w:csb0="400001FF" w:csb1="FFFF0000"/>
    <w:embedRegular r:id="rId2" w:fontKey="{7A430B23-0886-4768-9DCE-4F2985EC758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52C820A-DE9C-4261-B966-411099483AA5}"/>
  </w:font>
  <w:font w:name="Wingdings">
    <w:panose1 w:val="05000000000000000000"/>
    <w:charset w:val="02"/>
    <w:family w:val="auto"/>
    <w:pitch w:val="default"/>
    <w:sig w:usb0="00000000" w:usb1="00000000" w:usb2="00000000" w:usb3="00000000" w:csb0="80000000" w:csb1="00000000"/>
    <w:embedRegular r:id="rId4" w:fontKey="{CEE2F1C6-64C6-4F1C-98E6-3BE813A9F8FB}"/>
  </w:font>
  <w:font w:name="Calibri">
    <w:panose1 w:val="020F0502020204030204"/>
    <w:charset w:val="00"/>
    <w:family w:val="swiss"/>
    <w:pitch w:val="default"/>
    <w:sig w:usb0="E4002EFF" w:usb1="C200247B" w:usb2="00000009" w:usb3="00000000" w:csb0="200001FF" w:csb1="00000000"/>
    <w:embedRegular r:id="rId5" w:fontKey="{71C9085B-2DBE-4E94-9A78-087CE623621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104B4A27-FFE2-4391-B826-68AF1E0BF929}"/>
  </w:font>
  <w:font w:name="Liberation Sans">
    <w:panose1 w:val="020B0604020202020204"/>
    <w:charset w:val="00"/>
    <w:family w:val="swiss"/>
    <w:pitch w:val="default"/>
    <w:sig w:usb0="E0000AFF" w:usb1="500078FF" w:usb2="00000021" w:usb3="00000000" w:csb0="600001BF" w:csb1="DFF70000"/>
    <w:embedRegular r:id="rId7" w:fontKey="{043D4F5B-651B-4483-82F8-4A9B751B2ED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53476BB"/>
    <w:rsid w:val="361F7A70"/>
    <w:rsid w:val="37816D17"/>
    <w:rsid w:val="46E010FE"/>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68</Pages>
  <Words>9961</Words>
  <Characters>54488</Characters>
  <Paragraphs>463</Paragraphs>
  <TotalTime>20</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2026-07-29T23:11:08Z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eyJoZGlkIjoiNjQ3MTRlMGE1MmIzNGE3YzkxYTdhYmEwNTQ4OGQzNTIiLCJ1c2VySWQiOiIxNjY2NTk4MDEzMDg0In0=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