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7CE" w:rsidRPr="00CC67F1" w:rsidRDefault="00454168" w:rsidP="00454168">
      <w:pPr>
        <w:pStyle w:val="Title"/>
        <w:tabs>
          <w:tab w:val="left" w:pos="8625"/>
        </w:tabs>
      </w:pPr>
      <w:bookmarkStart w:id="0" w:name="_GoBack"/>
      <w:bookmarkEnd w:id="0"/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4301490</wp:posOffset>
            </wp:positionH>
            <wp:positionV relativeFrom="paragraph">
              <wp:posOffset>-596265</wp:posOffset>
            </wp:positionV>
            <wp:extent cx="2055600" cy="14859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D2E">
        <w:t xml:space="preserve">Sergio </w:t>
      </w:r>
      <w:proofErr w:type="spellStart"/>
      <w:r w:rsidR="00C01D2E">
        <w:t>Paniagua</w:t>
      </w:r>
      <w:proofErr w:type="spellEnd"/>
      <w:r w:rsidRPr="00CC67F1">
        <w:tab/>
      </w:r>
    </w:p>
    <w:p w:rsidR="000527CE" w:rsidRPr="00CC67F1" w:rsidRDefault="00454168" w:rsidP="00454168">
      <w:pPr>
        <w:pStyle w:val="Subtitle"/>
      </w:pPr>
      <w:r w:rsidRPr="00CC67F1">
        <w:t xml:space="preserve">IDM </w:t>
      </w:r>
      <w:r w:rsidR="00A1791C">
        <w:t>CONSULTANT</w:t>
      </w:r>
    </w:p>
    <w:p w:rsidR="000527CE" w:rsidRPr="00CC67F1" w:rsidRDefault="000527CE">
      <w:pPr>
        <w:rPr>
          <w:sz w:val="20"/>
          <w:szCs w:val="20"/>
        </w:rPr>
      </w:pPr>
    </w:p>
    <w:p w:rsidR="00CC67F1" w:rsidRDefault="00CC67F1" w:rsidP="00CC67F1">
      <w:pPr>
        <w:pStyle w:val="NoSpacing"/>
      </w:pPr>
    </w:p>
    <w:p w:rsidR="00CC67F1" w:rsidRDefault="009C490D" w:rsidP="00CC67F1">
      <w:pPr>
        <w:pStyle w:val="IntenseQuote"/>
        <w:rPr>
          <w:b w:val="0"/>
          <w:sz w:val="40"/>
        </w:rPr>
      </w:pPr>
      <w:proofErr w:type="gramStart"/>
      <w:r w:rsidRPr="009C490D">
        <w:rPr>
          <w:b w:val="0"/>
          <w:sz w:val="40"/>
        </w:rPr>
        <w:t>Planning, Coordination and Execution of IT projects.</w:t>
      </w:r>
      <w:proofErr w:type="gramEnd"/>
      <w:r>
        <w:rPr>
          <w:b w:val="0"/>
          <w:sz w:val="40"/>
        </w:rPr>
        <w:t xml:space="preserve"> </w:t>
      </w:r>
      <w:proofErr w:type="gramStart"/>
      <w:r>
        <w:rPr>
          <w:b w:val="0"/>
          <w:sz w:val="40"/>
        </w:rPr>
        <w:t>Defining project scope analysis and documentation requirements identifying and providing solutions.</w:t>
      </w:r>
      <w:proofErr w:type="gramEnd"/>
    </w:p>
    <w:p w:rsidR="00787497" w:rsidRDefault="00787497" w:rsidP="00137495">
      <w:pPr>
        <w:pStyle w:val="Heading1"/>
        <w:tabs>
          <w:tab w:val="left" w:pos="4500"/>
        </w:tabs>
        <w:ind w:left="709" w:hanging="709"/>
      </w:pPr>
      <w:r>
        <w:t>Trainings</w:t>
      </w:r>
      <w:r w:rsidR="00137495">
        <w:tab/>
      </w:r>
    </w:p>
    <w:p w:rsidR="00787497" w:rsidRDefault="00787497" w:rsidP="00CC67F1"/>
    <w:p w:rsidR="005B6824" w:rsidRPr="008E6029" w:rsidRDefault="00C01D2E" w:rsidP="008E6029">
      <w:r w:rsidRPr="00C01D2E">
        <w:t>CA Access Control Administration and Implementation</w:t>
      </w:r>
    </w:p>
    <w:p w:rsidR="008E6029" w:rsidRPr="008E6029" w:rsidRDefault="008E6029" w:rsidP="008E6029">
      <w:pPr>
        <w:widowControl/>
        <w:suppressAutoHyphens w:val="0"/>
        <w:autoSpaceDE w:val="0"/>
        <w:autoSpaceDN w:val="0"/>
        <w:adjustRightInd w:val="0"/>
      </w:pPr>
      <w:r w:rsidRPr="008E6029">
        <w:t>Business Process Management - Interfacing EPC</w:t>
      </w:r>
    </w:p>
    <w:p w:rsidR="008E6029" w:rsidRPr="008E6029" w:rsidRDefault="008E6029" w:rsidP="008E6029">
      <w:pPr>
        <w:widowControl/>
        <w:suppressAutoHyphens w:val="0"/>
        <w:autoSpaceDE w:val="0"/>
        <w:autoSpaceDN w:val="0"/>
        <w:adjustRightInd w:val="0"/>
      </w:pPr>
      <w:r w:rsidRPr="008E6029">
        <w:t>Software development process based on UML</w:t>
      </w:r>
    </w:p>
    <w:p w:rsidR="000527CE" w:rsidRPr="00CC67F1" w:rsidRDefault="00CC67F1" w:rsidP="00454168">
      <w:pPr>
        <w:pStyle w:val="Heading1"/>
      </w:pPr>
      <w:r w:rsidRPr="00CC67F1">
        <w:t>Profe</w:t>
      </w:r>
      <w:r>
        <w:t>s</w:t>
      </w:r>
      <w:r w:rsidRPr="00CC67F1">
        <w:t>sional Experience</w:t>
      </w:r>
    </w:p>
    <w:p w:rsidR="00DA35F5" w:rsidRDefault="00DA35F5">
      <w:pPr>
        <w:rPr>
          <w:b/>
          <w:bCs/>
          <w:sz w:val="20"/>
          <w:szCs w:val="20"/>
        </w:rPr>
      </w:pPr>
    </w:p>
    <w:p w:rsidR="004B6045" w:rsidRPr="00CC67F1" w:rsidRDefault="004B604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PWC (2007- to date)</w:t>
      </w:r>
    </w:p>
    <w:p w:rsidR="00454168" w:rsidRDefault="00454168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0"/>
        <w:gridCol w:w="2444"/>
        <w:gridCol w:w="1110"/>
        <w:gridCol w:w="3672"/>
      </w:tblGrid>
      <w:tr w:rsidR="00DA35F5" w:rsidTr="00BE7AFD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Default="003973E7" w:rsidP="00F10FDE">
            <w:r>
              <w:t>Identity Management</w:t>
            </w:r>
          </w:p>
        </w:tc>
      </w:tr>
      <w:tr w:rsidR="00F10FDE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10FDE" w:rsidRDefault="00F10FDE" w:rsidP="00F10FDE">
            <w:r>
              <w:t>Company: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10FDE" w:rsidRDefault="003973E7" w:rsidP="00F10FDE">
            <w:r>
              <w:t>PwC México</w:t>
            </w:r>
          </w:p>
        </w:tc>
        <w:tc>
          <w:tcPr>
            <w:tcW w:w="4782" w:type="dxa"/>
            <w:gridSpan w:val="2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F10FDE" w:rsidRDefault="00F10FDE" w:rsidP="00F10FDE"/>
        </w:tc>
      </w:tr>
      <w:tr w:rsidR="00DA35F5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Client: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3973E7" w:rsidP="00F10FDE">
            <w:r>
              <w:t>Casas GEO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Date: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Default="00D16A0D" w:rsidP="00F10FDE">
            <w:r>
              <w:t>September 2011 to December 2012</w:t>
            </w:r>
          </w:p>
        </w:tc>
      </w:tr>
      <w:tr w:rsidR="00DA35F5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Role: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855AA3" w:rsidP="00132143">
            <w:r>
              <w:t>IDM Consultant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Services: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Default="003973E7" w:rsidP="00F10FDE">
            <w:r>
              <w:t>Resource Provisioning Services</w:t>
            </w:r>
          </w:p>
        </w:tc>
      </w:tr>
      <w:tr w:rsidR="00DA35F5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Default="00132143" w:rsidP="008112AB">
            <w:r>
              <w:t>One</w:t>
            </w:r>
            <w:r w:rsidR="003973E7">
              <w:t xml:space="preserve"> Identity Manager</w:t>
            </w:r>
            <w:r w:rsidR="00DA35F5">
              <w:t>,</w:t>
            </w:r>
            <w:r w:rsidR="003973E7">
              <w:t xml:space="preserve"> Oracle</w:t>
            </w:r>
            <w:r>
              <w:t xml:space="preserve"> Databases</w:t>
            </w:r>
          </w:p>
        </w:tc>
      </w:tr>
      <w:tr w:rsidR="00DA35F5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D4B9B" w:rsidRPr="00DD4B9B" w:rsidRDefault="00DD4B9B" w:rsidP="00DD4B9B">
            <w:pPr>
              <w:widowControl/>
              <w:suppressAutoHyphens w:val="0"/>
              <w:autoSpaceDE w:val="0"/>
              <w:autoSpaceDN w:val="0"/>
              <w:adjustRightInd w:val="0"/>
            </w:pPr>
            <w:r w:rsidRPr="00DD4B9B">
              <w:t>Configuration of forms for the resource provisioning in Oracle Identity Management / Configuration of process</w:t>
            </w:r>
          </w:p>
          <w:p w:rsidR="00DD4B9B" w:rsidRPr="00DD4B9B" w:rsidRDefault="00DD4B9B" w:rsidP="00DD4B9B">
            <w:pPr>
              <w:widowControl/>
              <w:suppressAutoHyphens w:val="0"/>
              <w:autoSpaceDE w:val="0"/>
              <w:autoSpaceDN w:val="0"/>
              <w:adjustRightInd w:val="0"/>
            </w:pPr>
            <w:r w:rsidRPr="00DD4B9B">
              <w:t xml:space="preserve">definitions in OIM design console / Testing of users resource provisioning from People Soft / Configuration of SIEBEL, </w:t>
            </w:r>
            <w:proofErr w:type="spellStart"/>
            <w:r w:rsidRPr="00DD4B9B">
              <w:t>Mapguide</w:t>
            </w:r>
            <w:proofErr w:type="spellEnd"/>
          </w:p>
          <w:p w:rsidR="00DD4B9B" w:rsidRPr="00DD4B9B" w:rsidRDefault="00DD4B9B" w:rsidP="00DD4B9B">
            <w:pPr>
              <w:widowControl/>
              <w:suppressAutoHyphens w:val="0"/>
              <w:autoSpaceDE w:val="0"/>
              <w:autoSpaceDN w:val="0"/>
              <w:adjustRightInd w:val="0"/>
            </w:pPr>
            <w:r w:rsidRPr="00DD4B9B">
              <w:t>and OBIEE systems for the resource provisioning / Creation of generic connectors in Oracle Identity Manager, automation and</w:t>
            </w:r>
          </w:p>
          <w:p w:rsidR="00DD4B9B" w:rsidRPr="00DD4B9B" w:rsidRDefault="00DD4B9B" w:rsidP="00DD4B9B">
            <w:pPr>
              <w:widowControl/>
              <w:suppressAutoHyphens w:val="0"/>
              <w:autoSpaceDE w:val="0"/>
              <w:autoSpaceDN w:val="0"/>
              <w:adjustRightInd w:val="0"/>
            </w:pPr>
            <w:proofErr w:type="gramStart"/>
            <w:r w:rsidRPr="00DD4B9B">
              <w:t>resource</w:t>
            </w:r>
            <w:proofErr w:type="gramEnd"/>
            <w:r w:rsidRPr="00DD4B9B">
              <w:t xml:space="preserve"> provisioning roles using Java classes. / Massive loading of users resources based on defined schemas in Oracle Identity</w:t>
            </w:r>
          </w:p>
          <w:p w:rsidR="00DA35F5" w:rsidRDefault="00DD4B9B" w:rsidP="00DD4B9B">
            <w:r w:rsidRPr="00DD4B9B">
              <w:t>Analytics.</w:t>
            </w:r>
          </w:p>
        </w:tc>
      </w:tr>
    </w:tbl>
    <w:p w:rsidR="009C490D" w:rsidRDefault="009C490D" w:rsidP="00F10FDE">
      <w:pPr>
        <w:keepNext/>
        <w:keepLines/>
      </w:pPr>
    </w:p>
    <w:p w:rsidR="009C490D" w:rsidRDefault="009C490D" w:rsidP="00F10FDE">
      <w:pPr>
        <w:keepNext/>
        <w:keepLines/>
      </w:pPr>
    </w:p>
    <w:p w:rsidR="009C490D" w:rsidRDefault="009C490D" w:rsidP="00F10FDE">
      <w:pPr>
        <w:keepNext/>
        <w:keepLines/>
      </w:pPr>
    </w:p>
    <w:p w:rsidR="009C490D" w:rsidRDefault="009C490D" w:rsidP="00F10FDE">
      <w:pPr>
        <w:keepNext/>
        <w:keepLines/>
      </w:pPr>
    </w:p>
    <w:p w:rsidR="009C490D" w:rsidRDefault="009C490D" w:rsidP="00F10FDE">
      <w:pPr>
        <w:keepNext/>
        <w:keepLines/>
      </w:pPr>
    </w:p>
    <w:p w:rsidR="009C490D" w:rsidRDefault="009C490D" w:rsidP="00F10FDE">
      <w:pPr>
        <w:keepNext/>
        <w:keepLines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0"/>
        <w:gridCol w:w="2444"/>
        <w:gridCol w:w="1110"/>
        <w:gridCol w:w="3672"/>
      </w:tblGrid>
      <w:tr w:rsidR="003973E7" w:rsidTr="004B5E12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3973E7" w:rsidRDefault="003973E7" w:rsidP="004B5E12">
            <w:r>
              <w:t>Identity Management</w:t>
            </w:r>
          </w:p>
        </w:tc>
      </w:tr>
      <w:tr w:rsidR="003973E7" w:rsidTr="004B5E12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Company: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PwC México</w:t>
            </w:r>
          </w:p>
        </w:tc>
        <w:tc>
          <w:tcPr>
            <w:tcW w:w="4782" w:type="dxa"/>
            <w:gridSpan w:val="2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3973E7" w:rsidRDefault="003973E7" w:rsidP="004B5E12"/>
        </w:tc>
      </w:tr>
      <w:tr w:rsidR="003973E7" w:rsidTr="004B5E12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Client: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proofErr w:type="spellStart"/>
            <w:r>
              <w:t>Mabe</w:t>
            </w:r>
            <w:proofErr w:type="spellEnd"/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Date: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3973E7" w:rsidRDefault="00D16A0D" w:rsidP="004B5E12">
            <w:r>
              <w:t>October</w:t>
            </w:r>
            <w:r w:rsidR="004B6045">
              <w:t xml:space="preserve"> 2010</w:t>
            </w:r>
            <w:r>
              <w:t xml:space="preserve"> – March 2011</w:t>
            </w:r>
          </w:p>
        </w:tc>
      </w:tr>
      <w:tr w:rsidR="003973E7" w:rsidTr="004B5E12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Role: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855AA3" w:rsidP="004B5E12">
            <w:r>
              <w:t>IDM Consultant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Services: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3973E7" w:rsidRDefault="003973E7" w:rsidP="004B5E12">
            <w:r>
              <w:t>Resource Provisioning Services</w:t>
            </w:r>
          </w:p>
        </w:tc>
      </w:tr>
      <w:tr w:rsidR="003973E7" w:rsidTr="004B5E12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3973E7" w:rsidRDefault="003973E7" w:rsidP="003973E7">
            <w:r>
              <w:t>SAP, SQL Server Databases</w:t>
            </w:r>
          </w:p>
        </w:tc>
      </w:tr>
      <w:tr w:rsidR="003973E7" w:rsidTr="004B5E12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3973E7" w:rsidRDefault="00DD4B9B" w:rsidP="004B5E12">
            <w:r>
              <w:t>I created web services</w:t>
            </w:r>
            <w:r w:rsidR="00100B6F">
              <w:t xml:space="preserve"> for upgrading users from </w:t>
            </w:r>
            <w:proofErr w:type="spellStart"/>
            <w:r w:rsidR="00100B6F">
              <w:t>Peoplesoft</w:t>
            </w:r>
            <w:proofErr w:type="spellEnd"/>
            <w:r w:rsidR="00100B6F">
              <w:t xml:space="preserve">. / Development of scripts </w:t>
            </w:r>
            <w:r w:rsidR="00DE30B6">
              <w:t>for the creation of SAP and AD users based on SQL functions.</w:t>
            </w:r>
          </w:p>
        </w:tc>
      </w:tr>
    </w:tbl>
    <w:p w:rsidR="000A056E" w:rsidRDefault="000A056E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0"/>
        <w:gridCol w:w="2444"/>
        <w:gridCol w:w="1110"/>
        <w:gridCol w:w="3672"/>
      </w:tblGrid>
      <w:tr w:rsidR="003973E7" w:rsidTr="004B5E12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3973E7" w:rsidRDefault="003973E7" w:rsidP="004B5E12">
            <w:r>
              <w:t>Identity Management</w:t>
            </w:r>
          </w:p>
        </w:tc>
      </w:tr>
      <w:tr w:rsidR="003973E7" w:rsidTr="004B5E12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Company: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PwC México</w:t>
            </w:r>
          </w:p>
        </w:tc>
        <w:tc>
          <w:tcPr>
            <w:tcW w:w="4782" w:type="dxa"/>
            <w:gridSpan w:val="2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3973E7" w:rsidRDefault="003973E7" w:rsidP="004B5E12"/>
        </w:tc>
      </w:tr>
      <w:tr w:rsidR="003973E7" w:rsidTr="004B5E12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Client: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KUO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Date: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3973E7" w:rsidRDefault="00D16A0D" w:rsidP="004B5E12">
            <w:r>
              <w:t>June 2012 to Present</w:t>
            </w:r>
          </w:p>
        </w:tc>
      </w:tr>
      <w:tr w:rsidR="003973E7" w:rsidTr="004B5E12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Role: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855AA3" w:rsidP="004B5E12">
            <w:r>
              <w:t>IDM Consultant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Services: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3973E7" w:rsidRDefault="003973E7" w:rsidP="004B5E12">
            <w:r>
              <w:t>Resource Provisioning Services</w:t>
            </w:r>
          </w:p>
        </w:tc>
      </w:tr>
      <w:tr w:rsidR="003973E7" w:rsidTr="004B5E12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3973E7" w:rsidRDefault="009C490D" w:rsidP="004B5E12">
            <w:r>
              <w:t>BMC, Oracle</w:t>
            </w:r>
          </w:p>
        </w:tc>
      </w:tr>
      <w:tr w:rsidR="003973E7" w:rsidTr="004B5E12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3973E7" w:rsidRDefault="003973E7" w:rsidP="004B5E12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E30B6" w:rsidRDefault="00DD4B9B" w:rsidP="00855AA3">
            <w:r>
              <w:t>User Account</w:t>
            </w:r>
            <w:r w:rsidR="00855AA3">
              <w:t>s provisioning based on scripts. / Requirement</w:t>
            </w:r>
            <w:r>
              <w:t xml:space="preserve"> analysis</w:t>
            </w:r>
            <w:r w:rsidR="00855AA3">
              <w:t xml:space="preserve"> for the user provisioning. /</w:t>
            </w:r>
            <w:r>
              <w:t xml:space="preserve"> </w:t>
            </w:r>
            <w:r w:rsidR="00855AA3">
              <w:t>Upgrading of user information based on SQL Functions.</w:t>
            </w:r>
          </w:p>
        </w:tc>
      </w:tr>
    </w:tbl>
    <w:p w:rsidR="003973E7" w:rsidRDefault="003973E7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0"/>
        <w:gridCol w:w="2444"/>
        <w:gridCol w:w="1110"/>
        <w:gridCol w:w="3672"/>
      </w:tblGrid>
      <w:tr w:rsidR="00855AA3" w:rsidTr="00D50533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855AA3" w:rsidRDefault="009C490D" w:rsidP="00D50533">
            <w:r>
              <w:t>Business Process Management</w:t>
            </w:r>
          </w:p>
        </w:tc>
      </w:tr>
      <w:tr w:rsidR="00855AA3" w:rsidTr="00D5053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855AA3" w:rsidRDefault="00855AA3" w:rsidP="00D50533">
            <w:r>
              <w:t>Company: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855AA3" w:rsidRDefault="00855AA3" w:rsidP="00D50533">
            <w:r>
              <w:t>PwC México</w:t>
            </w:r>
          </w:p>
        </w:tc>
        <w:tc>
          <w:tcPr>
            <w:tcW w:w="4782" w:type="dxa"/>
            <w:gridSpan w:val="2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855AA3" w:rsidRDefault="00855AA3" w:rsidP="00D50533"/>
        </w:tc>
      </w:tr>
      <w:tr w:rsidR="00855AA3" w:rsidTr="00D5053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855AA3" w:rsidRDefault="00855AA3" w:rsidP="00D50533">
            <w:r>
              <w:t>Client: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855AA3" w:rsidRDefault="009C490D" w:rsidP="00D50533">
            <w:r>
              <w:t>UNAM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855AA3" w:rsidRDefault="00855AA3" w:rsidP="00D50533">
            <w:r>
              <w:t>Date: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855AA3" w:rsidRDefault="00D16A0D" w:rsidP="00D50533">
            <w:r>
              <w:t>January</w:t>
            </w:r>
            <w:r w:rsidR="004B6045">
              <w:t xml:space="preserve"> 2012</w:t>
            </w:r>
            <w:r>
              <w:t xml:space="preserve"> -  September 2012</w:t>
            </w:r>
          </w:p>
        </w:tc>
      </w:tr>
      <w:tr w:rsidR="00855AA3" w:rsidTr="00D5053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855AA3" w:rsidRDefault="00855AA3" w:rsidP="00D50533">
            <w:r>
              <w:t>Role: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855AA3" w:rsidRDefault="00ED3FBE" w:rsidP="00D50533">
            <w:r>
              <w:t>Project</w:t>
            </w:r>
            <w:r w:rsidR="009C490D">
              <w:t xml:space="preserve"> Leader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855AA3" w:rsidRDefault="00855AA3" w:rsidP="00D50533">
            <w:r>
              <w:t>Services: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855AA3" w:rsidRDefault="009C490D" w:rsidP="00D50533">
            <w:r>
              <w:t>Implementation</w:t>
            </w:r>
          </w:p>
        </w:tc>
      </w:tr>
      <w:tr w:rsidR="00855AA3" w:rsidTr="00D5053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855AA3" w:rsidRDefault="00855AA3" w:rsidP="00D50533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855AA3" w:rsidRDefault="009C490D" w:rsidP="009C490D">
            <w:r>
              <w:t>BMC, Oracle</w:t>
            </w:r>
          </w:p>
        </w:tc>
      </w:tr>
      <w:tr w:rsidR="00855AA3" w:rsidTr="00D5053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855AA3" w:rsidRDefault="00855AA3" w:rsidP="00D50533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855AA3" w:rsidRPr="009C490D" w:rsidRDefault="009C490D" w:rsidP="009C490D">
            <w:r w:rsidRPr="009C490D">
              <w:t>Mapping process / Implementation and administration of EPC Interfacing tool / Web Services development for</w:t>
            </w:r>
            <w:r>
              <w:t xml:space="preserve"> </w:t>
            </w:r>
            <w:r w:rsidRPr="009C490D">
              <w:t>process automation, database management, creating functions and triggers in SQL Server. Mapping process and implementation of</w:t>
            </w:r>
            <w:r>
              <w:t xml:space="preserve"> </w:t>
            </w:r>
            <w:r w:rsidRPr="009C490D">
              <w:t>process tools. / Creation of user manuals for application use.</w:t>
            </w:r>
          </w:p>
        </w:tc>
      </w:tr>
    </w:tbl>
    <w:p w:rsidR="009C490D" w:rsidRDefault="009C490D" w:rsidP="000A056E">
      <w:pPr>
        <w:pStyle w:val="Heading1"/>
      </w:pPr>
    </w:p>
    <w:p w:rsidR="009C490D" w:rsidRDefault="009C490D" w:rsidP="009C490D"/>
    <w:p w:rsidR="009C490D" w:rsidRDefault="009C490D" w:rsidP="009C490D"/>
    <w:p w:rsidR="009C490D" w:rsidRDefault="009C490D" w:rsidP="009C490D"/>
    <w:p w:rsidR="009C490D" w:rsidRPr="009C490D" w:rsidRDefault="009C490D" w:rsidP="009C490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0"/>
        <w:gridCol w:w="2444"/>
        <w:gridCol w:w="1110"/>
        <w:gridCol w:w="3672"/>
      </w:tblGrid>
      <w:tr w:rsidR="009C490D" w:rsidTr="00D50533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9C490D" w:rsidRDefault="009C490D" w:rsidP="00D50533">
            <w:r>
              <w:lastRenderedPageBreak/>
              <w:t>Software Development</w:t>
            </w:r>
          </w:p>
        </w:tc>
      </w:tr>
      <w:tr w:rsidR="009C490D" w:rsidTr="00D5053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9C490D" w:rsidRDefault="009C490D" w:rsidP="00D50533">
            <w:r>
              <w:t>Company: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9C490D" w:rsidRDefault="009C490D" w:rsidP="00D50533">
            <w:r>
              <w:t>PwC México</w:t>
            </w:r>
          </w:p>
        </w:tc>
        <w:tc>
          <w:tcPr>
            <w:tcW w:w="4782" w:type="dxa"/>
            <w:gridSpan w:val="2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9C490D" w:rsidRDefault="009C490D" w:rsidP="00D50533"/>
        </w:tc>
      </w:tr>
      <w:tr w:rsidR="009C490D" w:rsidTr="00D5053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9C490D" w:rsidRDefault="009C490D" w:rsidP="00D50533">
            <w:r>
              <w:t>Client: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9C490D" w:rsidRDefault="009C490D" w:rsidP="00D50533">
            <w:r w:rsidRPr="009C490D">
              <w:t>Nissan Mexicana /</w:t>
            </w:r>
            <w:proofErr w:type="spellStart"/>
            <w:r w:rsidRPr="009C490D">
              <w:t>Tecnolite</w:t>
            </w:r>
            <w:proofErr w:type="spellEnd"/>
            <w:r w:rsidRPr="009C490D">
              <w:t xml:space="preserve"> </w:t>
            </w:r>
            <w:proofErr w:type="spellStart"/>
            <w:r w:rsidRPr="009C490D">
              <w:t>Iluminación</w:t>
            </w:r>
            <w:proofErr w:type="spellEnd"/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9C490D" w:rsidRDefault="009C490D" w:rsidP="00D50533">
            <w:r>
              <w:t>Date: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9C490D" w:rsidRDefault="00D16A0D" w:rsidP="00D50533">
            <w:r>
              <w:t>Aug 2010  to Present</w:t>
            </w:r>
          </w:p>
        </w:tc>
      </w:tr>
      <w:tr w:rsidR="009C490D" w:rsidTr="00D5053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9C490D" w:rsidRDefault="009C490D" w:rsidP="00D50533">
            <w:r>
              <w:t>Role: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9C490D" w:rsidRDefault="009C490D" w:rsidP="00D50533">
            <w:r>
              <w:t>Project Leader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9C490D" w:rsidRDefault="009C490D" w:rsidP="00D50533">
            <w:r>
              <w:t>Services: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9C490D" w:rsidRDefault="009C490D" w:rsidP="00D50533">
            <w:r>
              <w:t>Development</w:t>
            </w:r>
          </w:p>
        </w:tc>
      </w:tr>
      <w:tr w:rsidR="009C490D" w:rsidTr="00D5053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9C490D" w:rsidRDefault="009C490D" w:rsidP="00D50533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9C490D" w:rsidRPr="009C490D" w:rsidRDefault="009C490D" w:rsidP="00D50533">
            <w:r w:rsidRPr="009C490D">
              <w:t>ADO.NET, ASP.NET, AJAX, Web Services, SQL Server</w:t>
            </w:r>
          </w:p>
        </w:tc>
      </w:tr>
      <w:tr w:rsidR="009C490D" w:rsidTr="00D5053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9C490D" w:rsidRDefault="009C490D" w:rsidP="00D50533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9C490D" w:rsidRPr="009C490D" w:rsidRDefault="009C490D" w:rsidP="009C490D">
            <w:pPr>
              <w:widowControl/>
              <w:suppressAutoHyphens w:val="0"/>
              <w:autoSpaceDE w:val="0"/>
              <w:autoSpaceDN w:val="0"/>
              <w:adjustRightInd w:val="0"/>
            </w:pPr>
            <w:r w:rsidRPr="009C490D">
              <w:t>Negotiation, business engagement and business requirements analysis. / Human, Material and Financial</w:t>
            </w:r>
            <w:r w:rsidR="00ED3FBE">
              <w:t xml:space="preserve"> </w:t>
            </w:r>
            <w:r w:rsidRPr="009C490D">
              <w:t xml:space="preserve">resources management. / Estimation and organization requirement and scope </w:t>
            </w:r>
            <w:proofErr w:type="gramStart"/>
            <w:r w:rsidRPr="009C490D">
              <w:t>definition .</w:t>
            </w:r>
            <w:proofErr w:type="gramEnd"/>
            <w:r w:rsidRPr="009C490D">
              <w:t xml:space="preserve"> / Dependencies and change control. /</w:t>
            </w:r>
            <w:r w:rsidR="00ED3FBE">
              <w:t xml:space="preserve"> </w:t>
            </w:r>
            <w:r w:rsidRPr="009C490D">
              <w:t>Staff training and profiles definition./ Workflow</w:t>
            </w:r>
          </w:p>
          <w:p w:rsidR="009C490D" w:rsidRPr="009C490D" w:rsidRDefault="009C490D" w:rsidP="009C490D">
            <w:r w:rsidRPr="009C490D">
              <w:t>Design / Risk analysis of Information security. / Implementation and deployment of SEEC System on windows servers.</w:t>
            </w:r>
          </w:p>
        </w:tc>
      </w:tr>
    </w:tbl>
    <w:p w:rsidR="000527CE" w:rsidRDefault="000527CE" w:rsidP="000A056E">
      <w:pPr>
        <w:pStyle w:val="Heading1"/>
      </w:pPr>
      <w:r>
        <w:t>EDUCATION</w:t>
      </w:r>
    </w:p>
    <w:p w:rsidR="000527CE" w:rsidRDefault="000527CE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62"/>
      </w:tblGrid>
      <w:tr w:rsidR="000527CE" w:rsidRPr="0090276E">
        <w:tc>
          <w:tcPr>
            <w:tcW w:w="9962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Pr="00A1791C" w:rsidRDefault="00081C5B" w:rsidP="00C01D2E">
            <w:r w:rsidRPr="00A1791C">
              <w:t xml:space="preserve">Universidad </w:t>
            </w:r>
            <w:r w:rsidR="00C01D2E" w:rsidRPr="00A1791C">
              <w:t xml:space="preserve">de </w:t>
            </w:r>
            <w:proofErr w:type="spellStart"/>
            <w:r w:rsidR="00C01D2E" w:rsidRPr="00A1791C">
              <w:t>Londres</w:t>
            </w:r>
            <w:proofErr w:type="spellEnd"/>
            <w:r w:rsidR="00C01D2E" w:rsidRPr="00A1791C">
              <w:t xml:space="preserve"> (México)</w:t>
            </w:r>
          </w:p>
        </w:tc>
      </w:tr>
      <w:tr w:rsidR="00A1791C" w:rsidRPr="00454168">
        <w:tc>
          <w:tcPr>
            <w:tcW w:w="996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A1791C" w:rsidRPr="00A1791C" w:rsidRDefault="00A1791C" w:rsidP="00F10FDE">
            <w:r w:rsidRPr="00A1791C">
              <w:t>Computer Science (2003 to 2006)</w:t>
            </w:r>
          </w:p>
        </w:tc>
      </w:tr>
      <w:tr w:rsidR="00A1791C" w:rsidRPr="004B6045">
        <w:tc>
          <w:tcPr>
            <w:tcW w:w="996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A1791C" w:rsidRPr="00100B6F" w:rsidRDefault="00A1791C" w:rsidP="00F10FDE">
            <w:pPr>
              <w:rPr>
                <w:lang w:val="es-MX"/>
              </w:rPr>
            </w:pPr>
            <w:r w:rsidRPr="00D16A0D">
              <w:rPr>
                <w:lang w:val="es-MX"/>
              </w:rPr>
              <w:t xml:space="preserve">Instituto Tecnológico de Estudios Superiores de </w:t>
            </w:r>
            <w:r w:rsidRPr="00100B6F">
              <w:rPr>
                <w:lang w:val="es-MX"/>
              </w:rPr>
              <w:t>Monterrey ITESM (México)</w:t>
            </w:r>
          </w:p>
        </w:tc>
      </w:tr>
      <w:tr w:rsidR="000527CE" w:rsidRPr="00A1791C">
        <w:tc>
          <w:tcPr>
            <w:tcW w:w="996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Pr="00A1791C" w:rsidRDefault="00A1791C" w:rsidP="00A1791C">
            <w:r>
              <w:t xml:space="preserve">Post grade in </w:t>
            </w:r>
            <w:r w:rsidRPr="00A1791C">
              <w:t xml:space="preserve">Java for </w:t>
            </w:r>
            <w:r>
              <w:t>Electronic B</w:t>
            </w:r>
            <w:r w:rsidRPr="00A1791C">
              <w:t>usiness</w:t>
            </w:r>
            <w:r>
              <w:t xml:space="preserve"> (2010)</w:t>
            </w:r>
          </w:p>
        </w:tc>
      </w:tr>
    </w:tbl>
    <w:p w:rsidR="000527CE" w:rsidRPr="00A1791C" w:rsidRDefault="000527CE" w:rsidP="00F10FDE"/>
    <w:p w:rsidR="000527CE" w:rsidRPr="00A1791C" w:rsidRDefault="000527CE" w:rsidP="00F10FDE"/>
    <w:p w:rsidR="000527CE" w:rsidRDefault="000527CE" w:rsidP="000A056E">
      <w:pPr>
        <w:pStyle w:val="Heading1"/>
      </w:pPr>
      <w:r>
        <w:t>HIGHLIGHT OF QUALIFICATIONS</w:t>
      </w:r>
    </w:p>
    <w:p w:rsidR="000527CE" w:rsidRDefault="000527CE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1"/>
      </w:tblGrid>
      <w:tr w:rsidR="000527CE">
        <w:tc>
          <w:tcPr>
            <w:tcW w:w="997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Default="000527CE" w:rsidP="00F10FDE">
            <w:r>
              <w:t>Identity Management consultant</w:t>
            </w:r>
          </w:p>
        </w:tc>
      </w:tr>
      <w:tr w:rsidR="000527CE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360E86" w:rsidRPr="00A1791C" w:rsidRDefault="00A1791C" w:rsidP="00360E86">
            <w:r w:rsidRPr="00A1791C">
              <w:t>Planning, Coordination and Execution of IT projects.</w:t>
            </w:r>
          </w:p>
        </w:tc>
      </w:tr>
      <w:tr w:rsidR="000527CE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Pr="00A1791C" w:rsidRDefault="00A1791C" w:rsidP="00A1791C">
            <w:r w:rsidRPr="00A1791C">
              <w:t>Web development, standalone systems and applications powered by Windows Mobile.</w:t>
            </w:r>
          </w:p>
        </w:tc>
      </w:tr>
      <w:tr w:rsidR="000527CE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Pr="00A1791C" w:rsidRDefault="00A1791C" w:rsidP="00F10FDE">
            <w:r w:rsidRPr="00A1791C">
              <w:t xml:space="preserve">Data base management with SQL Server, MySQL, Oracle, </w:t>
            </w:r>
            <w:proofErr w:type="gramStart"/>
            <w:r w:rsidRPr="00A1791C">
              <w:t>ACL</w:t>
            </w:r>
            <w:proofErr w:type="gramEnd"/>
            <w:r w:rsidRPr="00A1791C">
              <w:t>.</w:t>
            </w:r>
          </w:p>
        </w:tc>
      </w:tr>
      <w:tr w:rsidR="00A1791C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A1791C" w:rsidRPr="00A1791C" w:rsidRDefault="00A1791C" w:rsidP="00F10FDE">
            <w:r w:rsidRPr="00A1791C">
              <w:t>Analysis and modeling of system development.</w:t>
            </w:r>
          </w:p>
        </w:tc>
      </w:tr>
      <w:tr w:rsidR="00A1791C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A1791C" w:rsidRPr="00A1791C" w:rsidRDefault="00A1791C" w:rsidP="00F10FDE">
            <w:r w:rsidRPr="00A1791C">
              <w:t>Business process management.</w:t>
            </w:r>
          </w:p>
        </w:tc>
      </w:tr>
      <w:tr w:rsidR="00A1791C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A1791C" w:rsidRPr="00A1791C" w:rsidRDefault="00A1791C" w:rsidP="00F10FDE">
            <w:r w:rsidRPr="00A1791C">
              <w:t>Management and reviewing of analysis and payment recovery projects.</w:t>
            </w:r>
          </w:p>
        </w:tc>
      </w:tr>
      <w:tr w:rsidR="000527CE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360E86" w:rsidRPr="00A1791C" w:rsidRDefault="00A1791C" w:rsidP="00F10FDE">
            <w:r w:rsidRPr="00A1791C">
              <w:t>Software development process based on UML.</w:t>
            </w:r>
          </w:p>
        </w:tc>
      </w:tr>
    </w:tbl>
    <w:p w:rsidR="000527CE" w:rsidRDefault="000527CE" w:rsidP="00F10FDE"/>
    <w:p w:rsidR="000527CE" w:rsidRDefault="000527CE" w:rsidP="00F10FDE"/>
    <w:p w:rsidR="000527CE" w:rsidRDefault="000527CE">
      <w:pPr>
        <w:rPr>
          <w:sz w:val="20"/>
          <w:szCs w:val="20"/>
        </w:rPr>
      </w:pPr>
    </w:p>
    <w:sectPr w:rsidR="000527CE" w:rsidSect="001F648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ejaVu Sans">
    <w:altName w:val="Arial Unicode MS"/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CE"/>
    <w:rsid w:val="00033D7B"/>
    <w:rsid w:val="00044527"/>
    <w:rsid w:val="000527CE"/>
    <w:rsid w:val="00081C5B"/>
    <w:rsid w:val="00084AB4"/>
    <w:rsid w:val="000A056E"/>
    <w:rsid w:val="000B2116"/>
    <w:rsid w:val="000B28E4"/>
    <w:rsid w:val="000B7C9F"/>
    <w:rsid w:val="000C3A10"/>
    <w:rsid w:val="00100B6F"/>
    <w:rsid w:val="001153F2"/>
    <w:rsid w:val="00132143"/>
    <w:rsid w:val="00135B0E"/>
    <w:rsid w:val="00137495"/>
    <w:rsid w:val="001679F6"/>
    <w:rsid w:val="001C7111"/>
    <w:rsid w:val="001E7FA9"/>
    <w:rsid w:val="001F434D"/>
    <w:rsid w:val="001F647C"/>
    <w:rsid w:val="001F6483"/>
    <w:rsid w:val="002103B8"/>
    <w:rsid w:val="00231A03"/>
    <w:rsid w:val="002362AB"/>
    <w:rsid w:val="002652A5"/>
    <w:rsid w:val="0027455D"/>
    <w:rsid w:val="0027691D"/>
    <w:rsid w:val="00284373"/>
    <w:rsid w:val="00292575"/>
    <w:rsid w:val="002B2A9C"/>
    <w:rsid w:val="002E1039"/>
    <w:rsid w:val="00336636"/>
    <w:rsid w:val="00360E86"/>
    <w:rsid w:val="003707B9"/>
    <w:rsid w:val="00382551"/>
    <w:rsid w:val="00387C67"/>
    <w:rsid w:val="003955B4"/>
    <w:rsid w:val="003973E7"/>
    <w:rsid w:val="003B6F66"/>
    <w:rsid w:val="003C34BA"/>
    <w:rsid w:val="003E643E"/>
    <w:rsid w:val="00425DDD"/>
    <w:rsid w:val="00452247"/>
    <w:rsid w:val="00452E18"/>
    <w:rsid w:val="00454168"/>
    <w:rsid w:val="004714CF"/>
    <w:rsid w:val="004B6045"/>
    <w:rsid w:val="004E25DF"/>
    <w:rsid w:val="004E646B"/>
    <w:rsid w:val="00593F5C"/>
    <w:rsid w:val="005B0538"/>
    <w:rsid w:val="005B6824"/>
    <w:rsid w:val="005E2AE7"/>
    <w:rsid w:val="005F1ADF"/>
    <w:rsid w:val="005F57D3"/>
    <w:rsid w:val="00612E6A"/>
    <w:rsid w:val="0066227F"/>
    <w:rsid w:val="00666A57"/>
    <w:rsid w:val="0069280A"/>
    <w:rsid w:val="006D1CB0"/>
    <w:rsid w:val="006E48FA"/>
    <w:rsid w:val="006F4D62"/>
    <w:rsid w:val="00700AEC"/>
    <w:rsid w:val="00730E22"/>
    <w:rsid w:val="00734BA3"/>
    <w:rsid w:val="00787497"/>
    <w:rsid w:val="008112AB"/>
    <w:rsid w:val="00833CD5"/>
    <w:rsid w:val="00855AA3"/>
    <w:rsid w:val="00887420"/>
    <w:rsid w:val="008A5ABB"/>
    <w:rsid w:val="008C5DFA"/>
    <w:rsid w:val="008E6029"/>
    <w:rsid w:val="008F5EC5"/>
    <w:rsid w:val="0090276E"/>
    <w:rsid w:val="009040D6"/>
    <w:rsid w:val="00951C98"/>
    <w:rsid w:val="00996DFC"/>
    <w:rsid w:val="009A7465"/>
    <w:rsid w:val="009C490D"/>
    <w:rsid w:val="009D474C"/>
    <w:rsid w:val="009E3E6B"/>
    <w:rsid w:val="009F42D2"/>
    <w:rsid w:val="00A01F38"/>
    <w:rsid w:val="00A065C5"/>
    <w:rsid w:val="00A1791C"/>
    <w:rsid w:val="00A30CB4"/>
    <w:rsid w:val="00A77A7A"/>
    <w:rsid w:val="00A95632"/>
    <w:rsid w:val="00AD1747"/>
    <w:rsid w:val="00AE3A40"/>
    <w:rsid w:val="00AF7DA1"/>
    <w:rsid w:val="00B26E1A"/>
    <w:rsid w:val="00B6082B"/>
    <w:rsid w:val="00B66877"/>
    <w:rsid w:val="00B700F6"/>
    <w:rsid w:val="00B932FF"/>
    <w:rsid w:val="00BA62AD"/>
    <w:rsid w:val="00BE7AFD"/>
    <w:rsid w:val="00C01D2E"/>
    <w:rsid w:val="00C06149"/>
    <w:rsid w:val="00C23651"/>
    <w:rsid w:val="00C23664"/>
    <w:rsid w:val="00C70584"/>
    <w:rsid w:val="00C93571"/>
    <w:rsid w:val="00CC67F1"/>
    <w:rsid w:val="00CE53B6"/>
    <w:rsid w:val="00D055F6"/>
    <w:rsid w:val="00D16A0D"/>
    <w:rsid w:val="00D23D7B"/>
    <w:rsid w:val="00D34A6E"/>
    <w:rsid w:val="00D50402"/>
    <w:rsid w:val="00DA2E39"/>
    <w:rsid w:val="00DA35F5"/>
    <w:rsid w:val="00DD4B9B"/>
    <w:rsid w:val="00DE30B6"/>
    <w:rsid w:val="00DF76F8"/>
    <w:rsid w:val="00E47B42"/>
    <w:rsid w:val="00E92DD8"/>
    <w:rsid w:val="00ED3FBE"/>
    <w:rsid w:val="00EE40F2"/>
    <w:rsid w:val="00F04ED6"/>
    <w:rsid w:val="00F10FDE"/>
    <w:rsid w:val="00F460FD"/>
    <w:rsid w:val="00F609BE"/>
    <w:rsid w:val="00F76B1F"/>
    <w:rsid w:val="00F77574"/>
    <w:rsid w:val="00F923A7"/>
    <w:rsid w:val="00FA4F4C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16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541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54168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68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416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54168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6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168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uiPriority w:val="1"/>
    <w:qFormat/>
    <w:rsid w:val="00CC67F1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CC67F1"/>
    <w:rPr>
      <w:rFonts w:cs="Mangal"/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CC67F1"/>
    <w:rPr>
      <w:rFonts w:eastAsia="DejaVu Sans"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7F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7F1"/>
    <w:rPr>
      <w:rFonts w:eastAsia="DejaVu Sans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16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541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54168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68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416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54168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6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168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uiPriority w:val="1"/>
    <w:qFormat/>
    <w:rsid w:val="00CC67F1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CC67F1"/>
    <w:rPr>
      <w:rFonts w:cs="Mangal"/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CC67F1"/>
    <w:rPr>
      <w:rFonts w:eastAsia="DejaVu Sans"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7F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7F1"/>
    <w:rPr>
      <w:rFonts w:eastAsia="DejaVu Sans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ILGALVEZH</cp:lastModifiedBy>
  <cp:revision>2</cp:revision>
  <cp:lastPrinted>2012-10-26T18:56:00Z</cp:lastPrinted>
  <dcterms:created xsi:type="dcterms:W3CDTF">2013-03-27T15:50:00Z</dcterms:created>
  <dcterms:modified xsi:type="dcterms:W3CDTF">2013-03-27T15:50:00Z</dcterms:modified>
</cp:coreProperties>
</file>