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FD166" w14:textId="77777777" w:rsidR="0068739E" w:rsidRPr="0068739E" w:rsidRDefault="0068739E" w:rsidP="0068739E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68739E">
        <w:rPr>
          <w:rFonts w:ascii="Arial" w:hAnsi="Arial" w:cs="Arial"/>
          <w:b/>
          <w:sz w:val="24"/>
        </w:rPr>
        <w:t>OBJETIVOS ESTRATÉGICOS</w:t>
      </w:r>
    </w:p>
    <w:p w14:paraId="28F125C6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4642F01A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  <w:r w:rsidRPr="0068739E">
        <w:rPr>
          <w:rFonts w:ascii="Arial" w:hAnsi="Arial" w:cs="Arial"/>
          <w:sz w:val="24"/>
        </w:rPr>
        <w:t>1. Incrementar la rentabilidad financiera de la taquería mediante el área</w:t>
      </w:r>
      <w:r>
        <w:rPr>
          <w:rFonts w:ascii="Arial" w:hAnsi="Arial" w:cs="Arial"/>
          <w:sz w:val="24"/>
        </w:rPr>
        <w:t xml:space="preserve"> </w:t>
      </w:r>
      <w:r w:rsidRPr="0068739E">
        <w:rPr>
          <w:rFonts w:ascii="Arial" w:hAnsi="Arial" w:cs="Arial"/>
          <w:sz w:val="24"/>
        </w:rPr>
        <w:t>administrativa, a través del control eficiente de los costos y la optimización de</w:t>
      </w:r>
      <w:r>
        <w:rPr>
          <w:rFonts w:ascii="Arial" w:hAnsi="Arial" w:cs="Arial"/>
          <w:sz w:val="24"/>
        </w:rPr>
        <w:t xml:space="preserve"> </w:t>
      </w:r>
      <w:r w:rsidRPr="0068739E">
        <w:rPr>
          <w:rFonts w:ascii="Arial" w:hAnsi="Arial" w:cs="Arial"/>
          <w:sz w:val="24"/>
        </w:rPr>
        <w:t>los ingresos.</w:t>
      </w:r>
      <w:r>
        <w:rPr>
          <w:rFonts w:ascii="Arial" w:hAnsi="Arial" w:cs="Arial"/>
          <w:sz w:val="24"/>
        </w:rPr>
        <w:t xml:space="preserve"> </w:t>
      </w:r>
      <w:r w:rsidRPr="0068739E">
        <w:rPr>
          <w:rFonts w:ascii="Arial" w:hAnsi="Arial" w:cs="Arial"/>
          <w:sz w:val="24"/>
        </w:rPr>
        <w:t>Indicadores:</w:t>
      </w:r>
    </w:p>
    <w:p w14:paraId="1101E0C0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  <w:r w:rsidRPr="0068739E">
        <w:rPr>
          <w:rFonts w:ascii="Arial" w:hAnsi="Arial" w:cs="Arial"/>
          <w:sz w:val="24"/>
        </w:rPr>
        <w:t xml:space="preserve">Margen de Utilidad Neta </w:t>
      </w:r>
      <w:r w:rsidRPr="0068739E">
        <w:rPr>
          <w:rFonts w:ascii="Cambria Math" w:hAnsi="Cambria Math" w:cs="Cambria Math"/>
          <w:sz w:val="24"/>
        </w:rPr>
        <w:t>𝑀𝑈𝑁</w:t>
      </w:r>
      <w:r w:rsidRPr="0068739E">
        <w:rPr>
          <w:rFonts w:ascii="Arial" w:hAnsi="Arial" w:cs="Arial"/>
          <w:sz w:val="24"/>
        </w:rPr>
        <w:t xml:space="preserve"> = (</w:t>
      </w:r>
      <w:r w:rsidRPr="0068739E">
        <w:rPr>
          <w:rFonts w:ascii="Cambria Math" w:hAnsi="Cambria Math" w:cs="Cambria Math"/>
          <w:sz w:val="24"/>
        </w:rPr>
        <w:t>𝑈𝑡𝑖𝑙𝑖𝑑𝑎𝑑</w:t>
      </w:r>
      <w:r w:rsidRPr="0068739E">
        <w:rPr>
          <w:rFonts w:ascii="Arial" w:hAnsi="Arial" w:cs="Arial"/>
          <w:sz w:val="24"/>
        </w:rPr>
        <w:t xml:space="preserve"> </w:t>
      </w:r>
      <w:r w:rsidRPr="0068739E">
        <w:rPr>
          <w:rFonts w:ascii="Cambria Math" w:hAnsi="Cambria Math" w:cs="Cambria Math"/>
          <w:sz w:val="24"/>
        </w:rPr>
        <w:t>𝑛𝑒𝑡𝑎</w:t>
      </w:r>
      <w:r w:rsidRPr="0068739E">
        <w:rPr>
          <w:rFonts w:ascii="Arial" w:hAnsi="Arial" w:cs="Arial"/>
          <w:sz w:val="24"/>
        </w:rPr>
        <w:t>/</w:t>
      </w:r>
      <w:r w:rsidRPr="0068739E">
        <w:rPr>
          <w:rFonts w:ascii="Cambria Math" w:hAnsi="Cambria Math" w:cs="Cambria Math"/>
          <w:sz w:val="24"/>
        </w:rPr>
        <w:t>𝐼𝑛𝑔𝑟𝑒𝑠𝑜𝑠</w:t>
      </w:r>
      <w:r w:rsidRPr="0068739E">
        <w:rPr>
          <w:rFonts w:ascii="Arial" w:hAnsi="Arial" w:cs="Arial"/>
          <w:sz w:val="24"/>
        </w:rPr>
        <w:t xml:space="preserve"> </w:t>
      </w:r>
      <w:r w:rsidRPr="0068739E">
        <w:rPr>
          <w:rFonts w:ascii="Cambria Math" w:hAnsi="Cambria Math" w:cs="Cambria Math"/>
          <w:sz w:val="24"/>
        </w:rPr>
        <w:t>𝑡𝑜𝑡𝑎𝑙𝑒𝑠</w:t>
      </w:r>
      <w:r w:rsidRPr="0068739E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  <w:r w:rsidRPr="0068739E">
        <w:rPr>
          <w:rFonts w:ascii="Cambria Math" w:hAnsi="Cambria Math" w:cs="Cambria Math"/>
          <w:sz w:val="24"/>
        </w:rPr>
        <w:t>𝑥</w:t>
      </w:r>
      <w:r w:rsidRPr="0068739E">
        <w:rPr>
          <w:rFonts w:ascii="Arial" w:hAnsi="Arial" w:cs="Arial"/>
          <w:sz w:val="24"/>
        </w:rPr>
        <w:t>100</w:t>
      </w:r>
    </w:p>
    <w:p w14:paraId="1017EE49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011D1368" w14:textId="77777777" w:rsidR="001B1623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  <w:r w:rsidRPr="0068739E">
        <w:rPr>
          <w:rFonts w:ascii="Arial" w:hAnsi="Arial" w:cs="Arial"/>
          <w:sz w:val="24"/>
        </w:rPr>
        <w:t>2. Mejorar la satisfacción del cliente con ayuda del área de ventas y atención al</w:t>
      </w:r>
      <w:r>
        <w:rPr>
          <w:rFonts w:ascii="Arial" w:hAnsi="Arial" w:cs="Arial"/>
          <w:sz w:val="24"/>
        </w:rPr>
        <w:t xml:space="preserve"> </w:t>
      </w:r>
      <w:r w:rsidRPr="0068739E">
        <w:rPr>
          <w:rFonts w:ascii="Arial" w:hAnsi="Arial" w:cs="Arial"/>
          <w:sz w:val="24"/>
        </w:rPr>
        <w:t>cliente, garantizando un servicio higiénico, rápido y de calidad.</w:t>
      </w:r>
    </w:p>
    <w:p w14:paraId="537E28B0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29EBD2B7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 </w:t>
      </w:r>
      <w:r w:rsidR="0017129F">
        <w:rPr>
          <w:rFonts w:ascii="Arial" w:hAnsi="Arial" w:cs="Arial"/>
          <w:sz w:val="24"/>
        </w:rPr>
        <w:t>Optimizar los tiempos de elaboración y despacho o entrega de los pedidos en un 15% durante los primeros seis meses de operación, aplicando la estrategia TPCP (Tiempo Promedio de Ciclo del Pedido).</w:t>
      </w:r>
    </w:p>
    <w:p w14:paraId="56FF6F33" w14:textId="77777777" w:rsid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2059E4A0" w14:textId="77777777" w:rsidR="0068739E" w:rsidRPr="0068739E" w:rsidRDefault="0068739E" w:rsidP="0068739E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4. </w:t>
      </w:r>
      <w:r w:rsidR="00A77A29">
        <w:rPr>
          <w:rFonts w:ascii="Arial" w:hAnsi="Arial" w:cs="Arial"/>
          <w:sz w:val="24"/>
        </w:rPr>
        <w:t>Completar las capacitaciones del personal operativo y el gerente de producción en un 100%, obteniendo una calificación de satisfacción laboral en sus evaluaciones, en base al Índice de Competencia y Retención (ICP).</w:t>
      </w:r>
      <w:bookmarkStart w:id="0" w:name="_GoBack"/>
      <w:bookmarkEnd w:id="0"/>
    </w:p>
    <w:sectPr w:rsidR="0068739E" w:rsidRPr="0068739E" w:rsidSect="0068739E">
      <w:pgSz w:w="12240" w:h="15840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9E"/>
    <w:rsid w:val="0017129F"/>
    <w:rsid w:val="001B1623"/>
    <w:rsid w:val="0068739E"/>
    <w:rsid w:val="00A7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5383"/>
  <w15:chartTrackingRefBased/>
  <w15:docId w15:val="{8287DB0A-04BF-4D7D-8452-EDD2F266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7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perez</dc:creator>
  <cp:keywords/>
  <dc:description/>
  <cp:lastModifiedBy>leonardo perez</cp:lastModifiedBy>
  <cp:revision>1</cp:revision>
  <dcterms:created xsi:type="dcterms:W3CDTF">2025-11-20T05:35:00Z</dcterms:created>
  <dcterms:modified xsi:type="dcterms:W3CDTF">2025-11-20T06:13:00Z</dcterms:modified>
</cp:coreProperties>
</file>