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ED25" w14:textId="2AB0176A" w:rsidR="001978A6" w:rsidRPr="001978A6" w:rsidRDefault="001978A6" w:rsidP="001978A6">
      <w:r w:rsidRPr="001978A6">
        <w:t>Determinación del lugar de operaciones</w:t>
      </w:r>
    </w:p>
    <w:p w14:paraId="2D666E06" w14:textId="567DEB06" w:rsidR="001978A6" w:rsidRDefault="00B4056E" w:rsidP="001978A6">
      <w:r>
        <w:t>L</w:t>
      </w:r>
      <w:r w:rsidR="001978A6" w:rsidRPr="001978A6">
        <w:t xml:space="preserve">a ubicación más conveniente para la Taquería “El Rey Arturo” </w:t>
      </w:r>
      <w:r>
        <w:t xml:space="preserve">es </w:t>
      </w:r>
      <w:r w:rsidR="001978A6" w:rsidRPr="001978A6">
        <w:t>en la zona centro de Córdoba, Veracruz, debido a su alta concentración de personas, excelente conectividad y la presencia de una gran cantidad de potenciales clientes como estudiantes, oficinistas y familias locales.</w:t>
      </w:r>
    </w:p>
    <w:p w14:paraId="7DCA0188" w14:textId="670E96CD" w:rsidR="007F27E7" w:rsidRDefault="009D6FBD" w:rsidP="001978A6">
      <w:r>
        <w:t xml:space="preserve">La ubicación es algo con lo que ya contamos y esta es en </w:t>
      </w:r>
      <w:r w:rsidR="007F27E7">
        <w:t>la zona centro de Córdoba, Ver., La dirección es la siguiente:</w:t>
      </w:r>
      <w:r w:rsidR="00DC7115" w:rsidRPr="00DC7115">
        <w:t xml:space="preserve"> Calle 13 esq. Av.</w:t>
      </w:r>
      <w:r w:rsidR="00D35350">
        <w:t>3</w:t>
      </w:r>
      <w:r w:rsidR="00DC7115" w:rsidRPr="00DC7115">
        <w:t>, Col. Centro</w:t>
      </w:r>
      <w:r w:rsidR="003821DA">
        <w:t>, 94500</w:t>
      </w:r>
      <w:r w:rsidR="00DC7115" w:rsidRPr="00DC7115">
        <w:t>, Córdoba, Veracruz.</w:t>
      </w:r>
    </w:p>
    <w:p w14:paraId="2F2358FD" w14:textId="77777777" w:rsidR="003821DA" w:rsidRDefault="003821DA" w:rsidP="001978A6"/>
    <w:p w14:paraId="153038FA" w14:textId="72B7EE75" w:rsidR="003A5081" w:rsidRDefault="005678AF" w:rsidP="001978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3F86A" wp14:editId="3C6F20EC">
                <wp:simplePos x="0" y="0"/>
                <wp:positionH relativeFrom="column">
                  <wp:posOffset>2889885</wp:posOffset>
                </wp:positionH>
                <wp:positionV relativeFrom="paragraph">
                  <wp:posOffset>899160</wp:posOffset>
                </wp:positionV>
                <wp:extent cx="152400" cy="259080"/>
                <wp:effectExtent l="19050" t="0" r="19050" b="45720"/>
                <wp:wrapNone/>
                <wp:docPr id="974581088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59080"/>
                        </a:xfrm>
                        <a:prstGeom prst="downArrow">
                          <a:avLst>
                            <a:gd name="adj1" fmla="val 36207"/>
                            <a:gd name="adj2" fmla="val 69672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C40F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227.55pt;margin-top:70.8pt;width:12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" adj="12748,6890" fillcolor="#e00" strokecolor="#e00" strokeweight="1pt"/>
            </w:pict>
          </mc:Fallback>
        </mc:AlternateContent>
      </w:r>
      <w:r w:rsidRPr="005678AF">
        <w:drawing>
          <wp:inline distT="0" distB="0" distL="0" distR="0" wp14:anchorId="46270BA6" wp14:editId="62996B85">
            <wp:extent cx="5318760" cy="2928907"/>
            <wp:effectExtent l="0" t="0" r="0" b="5080"/>
            <wp:docPr id="1761407127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7127" name="Imagen 1" descr="Mapa&#10;&#10;El contenido generado por IA puede ser incorrecto."/>
                    <pic:cNvPicPr/>
                  </pic:nvPicPr>
                  <pic:blipFill rotWithShape="1">
                    <a:blip r:embed="rId5"/>
                    <a:srcRect l="21181" t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821" cy="2933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088C4" w14:textId="77777777" w:rsidR="005678AF" w:rsidRDefault="005678AF" w:rsidP="001978A6"/>
    <w:p w14:paraId="77D3CE83" w14:textId="77777777" w:rsidR="00DC7115" w:rsidRPr="001978A6" w:rsidRDefault="00DC7115" w:rsidP="001978A6"/>
    <w:p w14:paraId="4C911921" w14:textId="1A6F719E" w:rsidR="001978A6" w:rsidRPr="001978A6" w:rsidRDefault="001978A6" w:rsidP="001978A6">
      <w:r w:rsidRPr="001978A6">
        <w:t>Fundamentación de la decisión</w:t>
      </w:r>
    </w:p>
    <w:p w14:paraId="757DF701" w14:textId="77777777" w:rsidR="001978A6" w:rsidRPr="001978A6" w:rsidRDefault="001978A6" w:rsidP="001978A6">
      <w:r w:rsidRPr="001978A6">
        <w:t>1. Aspectos sociodemográficos</w:t>
      </w:r>
    </w:p>
    <w:p w14:paraId="7C79D067" w14:textId="77777777" w:rsidR="001978A6" w:rsidRPr="001978A6" w:rsidRDefault="001978A6" w:rsidP="00B4056E">
      <w:pPr>
        <w:numPr>
          <w:ilvl w:val="0"/>
          <w:numId w:val="4"/>
        </w:numPr>
      </w:pPr>
      <w:r w:rsidRPr="001978A6">
        <w:t>Alta densidad poblacional: el centro de Córdoba es una zona con flujo constante de personas durante todo el día.</w:t>
      </w:r>
    </w:p>
    <w:p w14:paraId="683D071C" w14:textId="77777777" w:rsidR="001978A6" w:rsidRPr="001978A6" w:rsidRDefault="001978A6" w:rsidP="00B4056E">
      <w:pPr>
        <w:numPr>
          <w:ilvl w:val="0"/>
          <w:numId w:val="4"/>
        </w:numPr>
      </w:pPr>
      <w:r w:rsidRPr="001978A6">
        <w:t>Diversidad de clientes potenciales: estudiantes, trabajadores y visitantes transitan constantemente por la zona.</w:t>
      </w:r>
    </w:p>
    <w:p w14:paraId="0846BB94" w14:textId="77777777" w:rsidR="001978A6" w:rsidRPr="001978A6" w:rsidRDefault="001978A6" w:rsidP="00B4056E">
      <w:pPr>
        <w:numPr>
          <w:ilvl w:val="0"/>
          <w:numId w:val="4"/>
        </w:numPr>
      </w:pPr>
      <w:r w:rsidRPr="001978A6">
        <w:t>Preferencia por comida rápida y económica: los tacos al vapor son un alimento tradicional y accesible, lo cual se ajusta al estilo de vida urbano.</w:t>
      </w:r>
    </w:p>
    <w:p w14:paraId="63352FDF" w14:textId="6E23EC93" w:rsidR="001978A6" w:rsidRDefault="001978A6" w:rsidP="00B4056E">
      <w:pPr>
        <w:numPr>
          <w:ilvl w:val="0"/>
          <w:numId w:val="4"/>
        </w:numPr>
      </w:pPr>
      <w:r w:rsidRPr="001978A6">
        <w:t>Facilidad de acceso: la ubicación cuenta con rutas de transporte público y estacionamientos cercanos, lo que facilita la llegada de clientes.</w:t>
      </w:r>
    </w:p>
    <w:p w14:paraId="0EE0EFAA" w14:textId="77777777" w:rsidR="007A0C7E" w:rsidRDefault="007A0C7E" w:rsidP="007A0C7E"/>
    <w:p w14:paraId="320A16F9" w14:textId="77777777" w:rsidR="007A0C7E" w:rsidRPr="001978A6" w:rsidRDefault="007A0C7E" w:rsidP="007A0C7E"/>
    <w:p w14:paraId="0A7A699D" w14:textId="77777777" w:rsidR="001978A6" w:rsidRPr="001978A6" w:rsidRDefault="001978A6" w:rsidP="001978A6">
      <w:r w:rsidRPr="001978A6">
        <w:lastRenderedPageBreak/>
        <w:t>2. Aspectos institucionales</w:t>
      </w:r>
    </w:p>
    <w:p w14:paraId="15325938" w14:textId="77777777" w:rsidR="001978A6" w:rsidRPr="001978A6" w:rsidRDefault="001978A6" w:rsidP="00B4056E">
      <w:pPr>
        <w:numPr>
          <w:ilvl w:val="0"/>
          <w:numId w:val="5"/>
        </w:numPr>
      </w:pPr>
      <w:r w:rsidRPr="001978A6">
        <w:t>Disponibilidad de servicios básicos (agua, luz, gas y drenaje) ya existentes en el local.</w:t>
      </w:r>
    </w:p>
    <w:p w14:paraId="47958120" w14:textId="77777777" w:rsidR="001978A6" w:rsidRPr="001978A6" w:rsidRDefault="001978A6" w:rsidP="00B4056E">
      <w:pPr>
        <w:numPr>
          <w:ilvl w:val="0"/>
          <w:numId w:val="5"/>
        </w:numPr>
      </w:pPr>
      <w:r w:rsidRPr="001978A6">
        <w:t>Zona con permisos comerciales vigentes, lo cual facilita el trámite de licencias de funcionamiento y salubridad.</w:t>
      </w:r>
    </w:p>
    <w:p w14:paraId="4D8782EA" w14:textId="77777777" w:rsidR="001978A6" w:rsidRPr="001978A6" w:rsidRDefault="001978A6" w:rsidP="00B4056E">
      <w:pPr>
        <w:numPr>
          <w:ilvl w:val="0"/>
          <w:numId w:val="5"/>
        </w:numPr>
      </w:pPr>
      <w:r w:rsidRPr="001978A6">
        <w:t>Seguridad y limpieza aceptables, gracias a la supervisión municipal en el primer cuadro de la ciudad.</w:t>
      </w:r>
    </w:p>
    <w:p w14:paraId="7FFB52A6" w14:textId="2C096BCD" w:rsidR="001978A6" w:rsidRPr="001978A6" w:rsidRDefault="001978A6" w:rsidP="00B4056E">
      <w:pPr>
        <w:numPr>
          <w:ilvl w:val="0"/>
          <w:numId w:val="5"/>
        </w:numPr>
      </w:pPr>
      <w:r w:rsidRPr="001978A6">
        <w:t>Apoyo de programas municipales que fomentan el emprendimiento local y los negocios de comida tradicional.</w:t>
      </w:r>
    </w:p>
    <w:p w14:paraId="679EA124" w14:textId="77777777" w:rsidR="001978A6" w:rsidRPr="001978A6" w:rsidRDefault="001978A6" w:rsidP="001978A6">
      <w:r w:rsidRPr="001978A6">
        <w:t>3. Aspectos económicos</w:t>
      </w:r>
    </w:p>
    <w:p w14:paraId="3DEC725A" w14:textId="239AB9F0" w:rsidR="001978A6" w:rsidRPr="001978A6" w:rsidRDefault="001978A6" w:rsidP="00B4056E">
      <w:pPr>
        <w:numPr>
          <w:ilvl w:val="0"/>
          <w:numId w:val="6"/>
        </w:numPr>
      </w:pPr>
      <w:r w:rsidRPr="001978A6">
        <w:t>Proximidad con proveedores locales de carne, tortillas y verduras, lo que reduce los costos de transporte</w:t>
      </w:r>
      <w:r w:rsidR="003A5081">
        <w:t>.</w:t>
      </w:r>
    </w:p>
    <w:p w14:paraId="32EBCA93" w14:textId="31E7645F" w:rsidR="001978A6" w:rsidRPr="001978A6" w:rsidRDefault="001978A6" w:rsidP="00B4056E">
      <w:pPr>
        <w:numPr>
          <w:ilvl w:val="0"/>
          <w:numId w:val="6"/>
        </w:numPr>
      </w:pPr>
      <w:r w:rsidRPr="001978A6">
        <w:t>Posibilidad de crecimiento, ya que el centro es una zona estratégica para atraer más cliente</w:t>
      </w:r>
      <w:r w:rsidR="003A5081">
        <w:t>s</w:t>
      </w:r>
      <w:r w:rsidRPr="001978A6">
        <w:t xml:space="preserve"> y abrir futuras sucursales.</w:t>
      </w:r>
    </w:p>
    <w:p w14:paraId="1AC7481D" w14:textId="77777777" w:rsidR="001978A6" w:rsidRPr="001978A6" w:rsidRDefault="001978A6" w:rsidP="00B4056E">
      <w:pPr>
        <w:numPr>
          <w:ilvl w:val="0"/>
          <w:numId w:val="6"/>
        </w:numPr>
      </w:pPr>
      <w:r w:rsidRPr="001978A6">
        <w:t>Alto potencial de ventas por la combinación de un producto de bajo costo, alta rotación y sabor tradicional.</w:t>
      </w:r>
    </w:p>
    <w:p w14:paraId="6A264AC9" w14:textId="089780F3" w:rsidR="001978A6" w:rsidRPr="00B4056E" w:rsidRDefault="001978A6" w:rsidP="001978A6"/>
    <w:p w14:paraId="60DC4E99" w14:textId="77777777" w:rsidR="001978A6" w:rsidRPr="001978A6" w:rsidRDefault="001978A6" w:rsidP="001978A6"/>
    <w:p w14:paraId="5A100172" w14:textId="15F51FD9" w:rsidR="001978A6" w:rsidRPr="001978A6" w:rsidRDefault="001978A6" w:rsidP="001978A6">
      <w:r w:rsidRPr="001978A6">
        <w:t>Método Cualitativo por Puntos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67"/>
        <w:gridCol w:w="1538"/>
        <w:gridCol w:w="1820"/>
        <w:gridCol w:w="1635"/>
        <w:gridCol w:w="1768"/>
      </w:tblGrid>
      <w:tr w:rsidR="001978A6" w:rsidRPr="001978A6" w14:paraId="783CB746" w14:textId="77777777" w:rsidTr="00197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458FE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Criterios de evaluación</w:t>
            </w:r>
          </w:p>
        </w:tc>
        <w:tc>
          <w:tcPr>
            <w:tcW w:w="0" w:type="auto"/>
            <w:hideMark/>
          </w:tcPr>
          <w:p w14:paraId="2EA6D54D" w14:textId="77777777" w:rsidR="001978A6" w:rsidRPr="001978A6" w:rsidRDefault="001978A6" w:rsidP="001978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Ponderación (%)</w:t>
            </w:r>
          </w:p>
        </w:tc>
        <w:tc>
          <w:tcPr>
            <w:tcW w:w="0" w:type="auto"/>
            <w:hideMark/>
          </w:tcPr>
          <w:p w14:paraId="5151BA52" w14:textId="77777777" w:rsidR="001978A6" w:rsidRPr="001978A6" w:rsidRDefault="001978A6" w:rsidP="001978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Zona Centro de Córdoba</w:t>
            </w:r>
          </w:p>
        </w:tc>
        <w:tc>
          <w:tcPr>
            <w:tcW w:w="0" w:type="auto"/>
            <w:hideMark/>
          </w:tcPr>
          <w:p w14:paraId="4765C357" w14:textId="77777777" w:rsidR="001978A6" w:rsidRPr="001978A6" w:rsidRDefault="001978A6" w:rsidP="001978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Zona Sur de Córdoba</w:t>
            </w:r>
          </w:p>
        </w:tc>
        <w:tc>
          <w:tcPr>
            <w:tcW w:w="0" w:type="auto"/>
            <w:hideMark/>
          </w:tcPr>
          <w:p w14:paraId="2603BB7F" w14:textId="77777777" w:rsidR="001978A6" w:rsidRPr="001978A6" w:rsidRDefault="001978A6" w:rsidP="001978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Zona Norte de Córdoba</w:t>
            </w:r>
          </w:p>
        </w:tc>
      </w:tr>
      <w:tr w:rsidR="001978A6" w:rsidRPr="001978A6" w14:paraId="3B43F30D" w14:textId="77777777" w:rsidTr="00197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FE4DA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Flujo de personas</w:t>
            </w:r>
          </w:p>
        </w:tc>
        <w:tc>
          <w:tcPr>
            <w:tcW w:w="0" w:type="auto"/>
            <w:hideMark/>
          </w:tcPr>
          <w:p w14:paraId="300B52BE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25%</w:t>
            </w:r>
          </w:p>
        </w:tc>
        <w:tc>
          <w:tcPr>
            <w:tcW w:w="0" w:type="auto"/>
            <w:hideMark/>
          </w:tcPr>
          <w:p w14:paraId="3D720ACE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10</w:t>
            </w:r>
          </w:p>
        </w:tc>
        <w:tc>
          <w:tcPr>
            <w:tcW w:w="0" w:type="auto"/>
            <w:hideMark/>
          </w:tcPr>
          <w:p w14:paraId="5B155B20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7</w:t>
            </w:r>
          </w:p>
        </w:tc>
        <w:tc>
          <w:tcPr>
            <w:tcW w:w="0" w:type="auto"/>
            <w:hideMark/>
          </w:tcPr>
          <w:p w14:paraId="5D55AFBE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6</w:t>
            </w:r>
          </w:p>
        </w:tc>
      </w:tr>
      <w:tr w:rsidR="001978A6" w:rsidRPr="001978A6" w14:paraId="464D2603" w14:textId="77777777" w:rsidTr="00197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00A32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Accesibilidad y transporte</w:t>
            </w:r>
          </w:p>
        </w:tc>
        <w:tc>
          <w:tcPr>
            <w:tcW w:w="0" w:type="auto"/>
            <w:hideMark/>
          </w:tcPr>
          <w:p w14:paraId="2023FD27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20%</w:t>
            </w:r>
          </w:p>
        </w:tc>
        <w:tc>
          <w:tcPr>
            <w:tcW w:w="0" w:type="auto"/>
            <w:hideMark/>
          </w:tcPr>
          <w:p w14:paraId="1FB3849B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9</w:t>
            </w:r>
          </w:p>
        </w:tc>
        <w:tc>
          <w:tcPr>
            <w:tcW w:w="0" w:type="auto"/>
            <w:hideMark/>
          </w:tcPr>
          <w:p w14:paraId="44F2F411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378A0E23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6</w:t>
            </w:r>
          </w:p>
        </w:tc>
      </w:tr>
      <w:tr w:rsidR="001978A6" w:rsidRPr="001978A6" w14:paraId="47B86281" w14:textId="77777777" w:rsidTr="00197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81E01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Costo de renta</w:t>
            </w:r>
          </w:p>
        </w:tc>
        <w:tc>
          <w:tcPr>
            <w:tcW w:w="0" w:type="auto"/>
            <w:hideMark/>
          </w:tcPr>
          <w:p w14:paraId="6A63C8D4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15%</w:t>
            </w:r>
          </w:p>
        </w:tc>
        <w:tc>
          <w:tcPr>
            <w:tcW w:w="0" w:type="auto"/>
            <w:hideMark/>
          </w:tcPr>
          <w:p w14:paraId="111C5D43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08328A91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9</w:t>
            </w:r>
          </w:p>
        </w:tc>
        <w:tc>
          <w:tcPr>
            <w:tcW w:w="0" w:type="auto"/>
            <w:hideMark/>
          </w:tcPr>
          <w:p w14:paraId="15FA8B22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10</w:t>
            </w:r>
          </w:p>
        </w:tc>
      </w:tr>
      <w:tr w:rsidR="001978A6" w:rsidRPr="001978A6" w14:paraId="275FC7C2" w14:textId="77777777" w:rsidTr="00197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7CFD3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Servicios disponibles</w:t>
            </w:r>
          </w:p>
        </w:tc>
        <w:tc>
          <w:tcPr>
            <w:tcW w:w="0" w:type="auto"/>
            <w:hideMark/>
          </w:tcPr>
          <w:p w14:paraId="4BDC86C7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15%</w:t>
            </w:r>
          </w:p>
        </w:tc>
        <w:tc>
          <w:tcPr>
            <w:tcW w:w="0" w:type="auto"/>
            <w:hideMark/>
          </w:tcPr>
          <w:p w14:paraId="662B51D0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10</w:t>
            </w:r>
          </w:p>
        </w:tc>
        <w:tc>
          <w:tcPr>
            <w:tcW w:w="0" w:type="auto"/>
            <w:hideMark/>
          </w:tcPr>
          <w:p w14:paraId="26EE8A61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283F81B5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7</w:t>
            </w:r>
          </w:p>
        </w:tc>
      </w:tr>
      <w:tr w:rsidR="001978A6" w:rsidRPr="001978A6" w14:paraId="4D78BE61" w14:textId="77777777" w:rsidTr="00197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F3080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Competencia directa</w:t>
            </w:r>
          </w:p>
        </w:tc>
        <w:tc>
          <w:tcPr>
            <w:tcW w:w="0" w:type="auto"/>
            <w:hideMark/>
          </w:tcPr>
          <w:p w14:paraId="4A745BDE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10%</w:t>
            </w:r>
          </w:p>
        </w:tc>
        <w:tc>
          <w:tcPr>
            <w:tcW w:w="0" w:type="auto"/>
            <w:hideMark/>
          </w:tcPr>
          <w:p w14:paraId="6CF5246B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138315BC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7</w:t>
            </w:r>
          </w:p>
        </w:tc>
        <w:tc>
          <w:tcPr>
            <w:tcW w:w="0" w:type="auto"/>
            <w:hideMark/>
          </w:tcPr>
          <w:p w14:paraId="26E58053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8</w:t>
            </w:r>
          </w:p>
        </w:tc>
      </w:tr>
      <w:tr w:rsidR="001978A6" w:rsidRPr="001978A6" w14:paraId="3422CA1C" w14:textId="77777777" w:rsidTr="00197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C5AFE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Cercanía a proveedores</w:t>
            </w:r>
          </w:p>
        </w:tc>
        <w:tc>
          <w:tcPr>
            <w:tcW w:w="0" w:type="auto"/>
            <w:hideMark/>
          </w:tcPr>
          <w:p w14:paraId="3CAB8E40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10%</w:t>
            </w:r>
          </w:p>
        </w:tc>
        <w:tc>
          <w:tcPr>
            <w:tcW w:w="0" w:type="auto"/>
            <w:hideMark/>
          </w:tcPr>
          <w:p w14:paraId="1C7D0E23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9</w:t>
            </w:r>
          </w:p>
        </w:tc>
        <w:tc>
          <w:tcPr>
            <w:tcW w:w="0" w:type="auto"/>
            <w:hideMark/>
          </w:tcPr>
          <w:p w14:paraId="049402E0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3D3EFAA8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7</w:t>
            </w:r>
          </w:p>
        </w:tc>
      </w:tr>
      <w:tr w:rsidR="001978A6" w:rsidRPr="001978A6" w14:paraId="3C528798" w14:textId="77777777" w:rsidTr="00197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06E29" w14:textId="77777777" w:rsidR="001978A6" w:rsidRPr="001978A6" w:rsidRDefault="001978A6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Seguridad y limpieza</w:t>
            </w:r>
          </w:p>
        </w:tc>
        <w:tc>
          <w:tcPr>
            <w:tcW w:w="0" w:type="auto"/>
            <w:hideMark/>
          </w:tcPr>
          <w:p w14:paraId="4C7EFA81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5%</w:t>
            </w:r>
          </w:p>
        </w:tc>
        <w:tc>
          <w:tcPr>
            <w:tcW w:w="0" w:type="auto"/>
            <w:hideMark/>
          </w:tcPr>
          <w:p w14:paraId="3E5CF803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9</w:t>
            </w:r>
          </w:p>
        </w:tc>
        <w:tc>
          <w:tcPr>
            <w:tcW w:w="0" w:type="auto"/>
            <w:hideMark/>
          </w:tcPr>
          <w:p w14:paraId="0FA35A11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8</w:t>
            </w:r>
          </w:p>
        </w:tc>
        <w:tc>
          <w:tcPr>
            <w:tcW w:w="0" w:type="auto"/>
            <w:hideMark/>
          </w:tcPr>
          <w:p w14:paraId="08C302E4" w14:textId="77777777" w:rsidR="001978A6" w:rsidRPr="001978A6" w:rsidRDefault="001978A6" w:rsidP="001978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78A6">
              <w:t>7</w:t>
            </w:r>
          </w:p>
        </w:tc>
      </w:tr>
      <w:tr w:rsidR="001978A6" w:rsidRPr="001978A6" w14:paraId="3D15E56B" w14:textId="77777777" w:rsidTr="00197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8B6D9" w14:textId="7382D847" w:rsidR="001978A6" w:rsidRPr="001978A6" w:rsidRDefault="007A0C7E" w:rsidP="001978A6">
            <w:pPr>
              <w:spacing w:after="160" w:line="259" w:lineRule="auto"/>
              <w:rPr>
                <w:b w:val="0"/>
                <w:bCs w:val="0"/>
              </w:rPr>
            </w:pPr>
            <w:r w:rsidRPr="001978A6">
              <w:rPr>
                <w:b w:val="0"/>
                <w:bCs w:val="0"/>
              </w:rPr>
              <w:t>Total</w:t>
            </w:r>
            <w:r w:rsidRPr="001978A6">
              <w:t>,</w:t>
            </w:r>
            <w:r w:rsidR="001978A6" w:rsidRPr="001978A6">
              <w:rPr>
                <w:b w:val="0"/>
                <w:bCs w:val="0"/>
              </w:rPr>
              <w:t xml:space="preserve"> ponderado</w:t>
            </w:r>
          </w:p>
        </w:tc>
        <w:tc>
          <w:tcPr>
            <w:tcW w:w="0" w:type="auto"/>
            <w:hideMark/>
          </w:tcPr>
          <w:p w14:paraId="45FB7A80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100%</w:t>
            </w:r>
          </w:p>
        </w:tc>
        <w:tc>
          <w:tcPr>
            <w:tcW w:w="0" w:type="auto"/>
            <w:hideMark/>
          </w:tcPr>
          <w:p w14:paraId="5B9747E8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9.1</w:t>
            </w:r>
          </w:p>
        </w:tc>
        <w:tc>
          <w:tcPr>
            <w:tcW w:w="0" w:type="auto"/>
            <w:hideMark/>
          </w:tcPr>
          <w:p w14:paraId="55AE6D17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8.0</w:t>
            </w:r>
          </w:p>
        </w:tc>
        <w:tc>
          <w:tcPr>
            <w:tcW w:w="0" w:type="auto"/>
            <w:hideMark/>
          </w:tcPr>
          <w:p w14:paraId="1F9BF515" w14:textId="77777777" w:rsidR="001978A6" w:rsidRPr="001978A6" w:rsidRDefault="001978A6" w:rsidP="001978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8A6">
              <w:t>7.6</w:t>
            </w:r>
          </w:p>
        </w:tc>
      </w:tr>
    </w:tbl>
    <w:p w14:paraId="3AF04956" w14:textId="56A6061C" w:rsidR="004A4363" w:rsidRPr="00B4056E" w:rsidRDefault="001978A6">
      <w:r w:rsidRPr="001978A6">
        <w:t>Resultado:</w:t>
      </w:r>
      <w:r w:rsidRPr="001978A6">
        <w:br/>
        <w:t>La Zona Centro de Córdoba obtuvo el puntaje más alto (9.1 puntos), por lo que se considera la mejor ubicación para instalar la Taquería “El Rey Arturo”.</w:t>
      </w:r>
    </w:p>
    <w:sectPr w:rsidR="004A4363" w:rsidRPr="00B405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3F8"/>
    <w:multiLevelType w:val="multilevel"/>
    <w:tmpl w:val="17D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619F0"/>
    <w:multiLevelType w:val="multilevel"/>
    <w:tmpl w:val="AC98D5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B452D"/>
    <w:multiLevelType w:val="multilevel"/>
    <w:tmpl w:val="F6F239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67121"/>
    <w:multiLevelType w:val="multilevel"/>
    <w:tmpl w:val="805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F5014"/>
    <w:multiLevelType w:val="multilevel"/>
    <w:tmpl w:val="C3B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F34D2"/>
    <w:multiLevelType w:val="multilevel"/>
    <w:tmpl w:val="9138A2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0368">
    <w:abstractNumId w:val="4"/>
  </w:num>
  <w:num w:numId="2" w16cid:durableId="1090276296">
    <w:abstractNumId w:val="3"/>
  </w:num>
  <w:num w:numId="3" w16cid:durableId="1274478801">
    <w:abstractNumId w:val="0"/>
  </w:num>
  <w:num w:numId="4" w16cid:durableId="512694828">
    <w:abstractNumId w:val="5"/>
  </w:num>
  <w:num w:numId="5" w16cid:durableId="279453450">
    <w:abstractNumId w:val="2"/>
  </w:num>
  <w:num w:numId="6" w16cid:durableId="86155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A6"/>
    <w:rsid w:val="000138D1"/>
    <w:rsid w:val="000D51ED"/>
    <w:rsid w:val="001978A6"/>
    <w:rsid w:val="002A749E"/>
    <w:rsid w:val="003821DA"/>
    <w:rsid w:val="003A5081"/>
    <w:rsid w:val="004564FD"/>
    <w:rsid w:val="004A4363"/>
    <w:rsid w:val="004B6771"/>
    <w:rsid w:val="005678AF"/>
    <w:rsid w:val="007A0C7E"/>
    <w:rsid w:val="007F27E7"/>
    <w:rsid w:val="009D6FBD"/>
    <w:rsid w:val="00B4056E"/>
    <w:rsid w:val="00D35350"/>
    <w:rsid w:val="00DC7115"/>
    <w:rsid w:val="00EA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EB87"/>
  <w15:chartTrackingRefBased/>
  <w15:docId w15:val="{14AF9425-F8C8-4BB3-93DF-E223B618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8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8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8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8A6"/>
    <w:rPr>
      <w:b/>
      <w:bCs/>
      <w:smallCaps/>
      <w:color w:val="2F5496" w:themeColor="accent1" w:themeShade="BF"/>
      <w:spacing w:val="5"/>
    </w:rPr>
  </w:style>
  <w:style w:type="table" w:styleId="Tablanormal1">
    <w:name w:val="Plain Table 1"/>
    <w:basedOn w:val="Tablanormal"/>
    <w:uiPriority w:val="41"/>
    <w:rsid w:val="001978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376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 perez</dc:creator>
  <cp:keywords/>
  <dc:description/>
  <cp:lastModifiedBy>sua perez</cp:lastModifiedBy>
  <cp:revision>12</cp:revision>
  <dcterms:created xsi:type="dcterms:W3CDTF">2025-11-12T14:40:00Z</dcterms:created>
  <dcterms:modified xsi:type="dcterms:W3CDTF">2025-11-14T16:50:00Z</dcterms:modified>
</cp:coreProperties>
</file>