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Correcciones del perfil de proyecto</w:t>
      </w:r>
    </w:p>
    <w:p>
      <w:r>
        <w:rPr>
          <w:b/>
          <w:color w:val="285378"/>
          <w:sz w:val="26"/>
        </w:rPr>
        <w:t>Tutoría T2 · Entregable E1</w:t>
      </w:r>
    </w:p>
    <w:p>
      <w:pPr>
        <w:spacing w:after="40"/>
      </w:pPr>
      <w:r>
        <w:rPr>
          <w:b/>
        </w:rPr>
        <w:t xml:space="preserve">Diplomante: </w:t>
      </w:r>
      <w:r>
        <w:t>Cristian Arturo Vedia Salazar · Grupo 4</w:t>
      </w:r>
    </w:p>
    <w:p>
      <w:pPr>
        <w:spacing w:after="40"/>
      </w:pPr>
      <w:r>
        <w:rPr>
          <w:b/>
        </w:rPr>
        <w:t xml:space="preserve">Proyecto: </w:t>
      </w:r>
      <w:r>
        <w:t>Veterinaria Eivet — propietarios, mascotas e historial clínico</w:t>
      </w:r>
    </w:p>
    <w:p>
      <w:pPr>
        <w:spacing w:after="40"/>
      </w:pPr>
      <w:r>
        <w:rPr>
          <w:b/>
        </w:rPr>
        <w:t xml:space="preserve">Docente: </w:t>
      </w:r>
      <w:r>
        <w:t>M.Sc. Ing. Isaac Lange Aguilar</w:t>
      </w:r>
    </w:p>
    <w:p>
      <w:pPr>
        <w:spacing w:after="40"/>
      </w:pPr>
      <w:r>
        <w:rPr>
          <w:b/>
        </w:rPr>
        <w:t xml:space="preserve">Fecha de observaciones: </w:t>
      </w:r>
      <w:r>
        <w:t>22 de septiembre de 2026</w:t>
      </w:r>
    </w:p>
    <w:p>
      <w:pPr>
        <w:pStyle w:val="Heading1"/>
      </w:pPr>
      <w:r>
        <w:t>Síntesis de la evaluación</w:t>
      </w:r>
    </w:p>
    <w:p>
      <w:r>
        <w:t>La tutoría considera adecuado el alcance: dos roles, ocho requisitos funcionales con criterios de éxito y error, cuatro requisitos Must (50 %) y siete entidades. También destaca la calidad de los wireframes y su comportamiento adaptativo. Las correcciones prioritarias son incorporar evidencia real de EIVET en el Capítulo 1, alinear el diseño con Supabase y retirar los campos de plantilla pendientes.</w:t>
      </w:r>
    </w:p>
    <w:p>
      <w:r>
        <w:t>Esta guía organiza las observaciones del docente. Los datos que dependen de información real del proyecto se señalan como pendientes de confirmar; no deben reemplazarse por cifras inventadas.</w:t>
      </w:r>
    </w:p>
    <w:p>
      <w:pPr>
        <w:pStyle w:val="Heading1"/>
      </w:pPr>
      <w:r>
        <w:t>1. Repositorio y seguridad</w:t>
      </w:r>
    </w:p>
    <w:p>
      <w:pPr>
        <w:spacing w:after="100"/>
        <w:ind w:left="259" w:hanging="259"/>
      </w:pPr>
      <w:r>
        <w:rPr>
          <w:b/>
          <w:color w:val="285378"/>
        </w:rPr>
        <w:t xml:space="preserve">• </w:t>
      </w:r>
      <w:r>
        <w:rPr>
          <w:b/>
        </w:rPr>
        <w:t xml:space="preserve">Hacer accesible el repositorio: </w:t>
      </w:r>
      <w:r>
        <w:t>El enlace informado solicita usuario y contraseña al clonarlo. Configurar el repositorio como público o invitar al docente como colaborador y comprobar que pueda acceder.</w:t>
      </w:r>
    </w:p>
    <w:p>
      <w:pPr>
        <w:spacing w:after="100"/>
        <w:ind w:left="259" w:hanging="259"/>
      </w:pPr>
      <w:r>
        <w:rPr>
          <w:b/>
          <w:color w:val="285378"/>
        </w:rPr>
        <w:t xml:space="preserve">• </w:t>
      </w:r>
      <w:r>
        <w:rPr>
          <w:b/>
        </w:rPr>
        <w:t xml:space="preserve">Completar los archivos básicos: </w:t>
      </w:r>
      <w:r>
        <w:t>Verificar que exista un README de al menos 200 palabras, además de .gitignore y .env.example.</w:t>
      </w:r>
    </w:p>
    <w:p>
      <w:pPr>
        <w:spacing w:after="100"/>
        <w:ind w:left="259" w:hanging="259"/>
      </w:pPr>
      <w:r>
        <w:rPr>
          <w:b/>
          <w:color w:val="285378"/>
        </w:rPr>
        <w:t xml:space="preserve">• </w:t>
      </w:r>
      <w:r>
        <w:rPr>
          <w:b/>
        </w:rPr>
        <w:t xml:space="preserve">Revisar secretos en todo el historial: </w:t>
      </w:r>
      <w:r>
        <w:t>Confirmar que la clave service_role de Supabase no aparezca en ningún commit. Nunca incluirla en Flutter, en el repositorio ni en capturas.</w:t>
      </w:r>
    </w:p>
    <w:p>
      <w:pPr>
        <w:pStyle w:val="Heading1"/>
      </w:pPr>
      <w:r>
        <w:t>2. Capítulo 1 y delimitación del proyecto</w:t>
      </w:r>
    </w:p>
    <w:p>
      <w:pPr>
        <w:spacing w:after="100"/>
        <w:ind w:left="259" w:hanging="259"/>
      </w:pPr>
      <w:r>
        <w:rPr>
          <w:b/>
          <w:color w:val="285378"/>
        </w:rPr>
        <w:t xml:space="preserve">• </w:t>
      </w:r>
      <w:r>
        <w:rPr>
          <w:b/>
        </w:rPr>
        <w:t xml:space="preserve">Aportar datos reales de EIVET en la Tabla 3: </w:t>
      </w:r>
      <w:r>
        <w:t>Reemplazar las explicaciones repetidas por datos del contexto: mascotas atendidas por día, cantidad de fichas físicas, tiempo para encontrar un historial y controles o vacunas que se olvidan. Medir o consultar estos datos en la veterinaria.</w:t>
      </w:r>
    </w:p>
    <w:p>
      <w:pPr>
        <w:spacing w:after="100"/>
        <w:ind w:left="259" w:hanging="259"/>
      </w:pPr>
      <w:r>
        <w:rPr>
          <w:b/>
          <w:color w:val="285378"/>
        </w:rPr>
        <w:t xml:space="preserve">• </w:t>
      </w:r>
      <w:r>
        <w:rPr>
          <w:b/>
        </w:rPr>
        <w:t xml:space="preserve">Delimitar el objetivo general: </w:t>
      </w:r>
      <w:r>
        <w:t>Indicar la ciudad de la Veterinaria EIVET en el objetivo general. Completar el dato solo después de confirmar la ubicación.</w:t>
      </w:r>
    </w:p>
    <w:p>
      <w:pPr>
        <w:spacing w:after="100"/>
        <w:ind w:left="259" w:hanging="259"/>
      </w:pPr>
      <w:r>
        <w:rPr>
          <w:b/>
          <w:color w:val="285378"/>
        </w:rPr>
        <w:t xml:space="preserve">• </w:t>
      </w:r>
      <w:r>
        <w:rPr>
          <w:b/>
        </w:rPr>
        <w:t xml:space="preserve">Completar los antecedentes de la Tabla 2: </w:t>
      </w:r>
      <w:r>
        <w:t>Agregar referencias citables en formato Harvard o ISO 690-2, con URL y fecha de consulta. La fila de “Registros manuales” no corresponde a una solución informática: eliminarla o sustituirla por un producto real, preferiblemente regional.</w:t>
      </w:r>
    </w:p>
    <w:p>
      <w:pPr>
        <w:spacing w:after="100"/>
        <w:ind w:left="259" w:hanging="259"/>
      </w:pPr>
      <w:r>
        <w:rPr>
          <w:b/>
          <w:color w:val="285378"/>
        </w:rPr>
        <w:t xml:space="preserve">• </w:t>
      </w:r>
      <w:r>
        <w:rPr>
          <w:b/>
        </w:rPr>
        <w:t xml:space="preserve">Unificar la descripción del producto: </w:t>
      </w:r>
      <w:r>
        <w:t>El título dice “web y móvil”, mientras que la introducción habla de aplicación móvil. Definir el producto y usar la misma descripción en todo el perfil, incluido el alcance y el despliegue.</w:t>
      </w:r>
    </w:p>
    <w:p>
      <w:pPr>
        <w:pStyle w:val="Heading1"/>
      </w:pPr>
      <w:r>
        <w:t>3. Metodología, requisitos y planificación</w:t>
      </w:r>
    </w:p>
    <w:p>
      <w:pPr>
        <w:spacing w:after="100"/>
        <w:ind w:left="259" w:hanging="259"/>
      </w:pPr>
      <w:r>
        <w:rPr>
          <w:b/>
          <w:color w:val="285378"/>
        </w:rPr>
        <w:t xml:space="preserve">• </w:t>
      </w:r>
      <w:r>
        <w:rPr>
          <w:b/>
        </w:rPr>
        <w:t xml:space="preserve">Ajustar el nombre de la metodología: </w:t>
      </w:r>
      <w:r>
        <w:t>Kanban no trabaja con sprints. Mantener Kanban y llamar “iteraciones” a los periodos semanales, o declarar Scrumban si se combinará el tablero Kanban con iteraciones semanales.</w:t>
      </w:r>
    </w:p>
    <w:p>
      <w:pPr>
        <w:spacing w:after="100"/>
        <w:ind w:left="259" w:hanging="259"/>
      </w:pPr>
      <w:r>
        <w:rPr>
          <w:b/>
          <w:color w:val="285378"/>
        </w:rPr>
        <w:t xml:space="preserve">• </w:t>
      </w:r>
      <w:r>
        <w:rPr>
          <w:b/>
        </w:rPr>
        <w:t xml:space="preserve">Corregir la Tabla 5 con los ID de la Tabla 7: </w:t>
      </w:r>
      <w:r>
        <w:t>RF-05 corresponde a tratamientos y vacunas; RF-06 a la consulta del propietario sobre sus mascotas; RF-07 a la actualización de registros; RF-08 a la solicitud de cita. Rehacer la planificación usando estas funciones reales.</w:t>
      </w:r>
    </w:p>
    <w:p>
      <w:pPr>
        <w:spacing w:after="100"/>
        <w:ind w:left="259" w:hanging="259"/>
      </w:pPr>
      <w:r>
        <w:rPr>
          <w:b/>
          <w:color w:val="285378"/>
        </w:rPr>
        <w:t xml:space="preserve">• </w:t>
      </w:r>
      <w:r>
        <w:rPr>
          <w:b/>
        </w:rPr>
        <w:t xml:space="preserve">Completar evidencia del tablero: </w:t>
      </w:r>
      <w:r>
        <w:t>Elegir la herramienta, incluir el enlace y agregar una captura fechada. La recomendación sugiere crear un GitHub Project con el backlog cargado.</w:t>
      </w:r>
    </w:p>
    <w:p>
      <w:pPr>
        <w:spacing w:after="100"/>
        <w:ind w:left="259" w:hanging="259"/>
      </w:pPr>
      <w:r>
        <w:rPr>
          <w:b/>
          <w:color w:val="285378"/>
        </w:rPr>
        <w:t xml:space="preserve">• </w:t>
      </w:r>
      <w:r>
        <w:rPr>
          <w:b/>
        </w:rPr>
        <w:t xml:space="preserve">Resolver el alta de cuentas de propietarios: </w:t>
      </w:r>
      <w:r>
        <w:t>El actor A-02 indica que el propietario registra sus datos, pero no existe un requisito funcional para hacerlo y CU-01 exige una cuenta previa. Definir quién crea la cuenta y ajustar los actores, requisitos y casos de uso.</w:t>
      </w:r>
    </w:p>
    <w:p>
      <w:pPr>
        <w:spacing w:after="100"/>
        <w:ind w:left="259" w:hanging="259"/>
      </w:pPr>
      <w:r>
        <w:rPr>
          <w:b/>
          <w:color w:val="285378"/>
        </w:rPr>
        <w:t xml:space="preserve">• </w:t>
      </w:r>
      <w:r>
        <w:rPr>
          <w:b/>
        </w:rPr>
        <w:t xml:space="preserve">Corregir prioridades de capacidades fuera de alcance: </w:t>
      </w:r>
      <w:r>
        <w:t>En la Tabla 9, cambiar las capacidades listadas como Could a Won’t, dado que esta tabla declara elementos fuera del alcance.</w:t>
      </w:r>
    </w:p>
    <w:p>
      <w:pPr>
        <w:spacing w:after="100"/>
        <w:ind w:left="259" w:hanging="259"/>
      </w:pPr>
      <w:r>
        <w:rPr>
          <w:b/>
          <w:color w:val="285378"/>
        </w:rPr>
        <w:t xml:space="preserve">• </w:t>
      </w:r>
      <w:r>
        <w:rPr>
          <w:b/>
        </w:rPr>
        <w:t xml:space="preserve">Añadir métricas a RNF-02 y RNF-04: </w:t>
      </w:r>
      <w:r>
        <w:t>Ejemplos sugeridos por el docente: rechazar el 100 % de los accesos no autorizados a datos de otro propietario en pruebas; verificar funcionamiento en Android 8.0 (API 26) o superior y Chrome 120 o superior. Ajustar las métricas al entorno que realmente se soportará.</w:t>
      </w:r>
    </w:p>
    <w:p>
      <w:pPr>
        <w:spacing w:after="100"/>
        <w:ind w:left="259" w:hanging="259"/>
      </w:pPr>
      <w:r>
        <w:rPr>
          <w:b/>
          <w:color w:val="285378"/>
        </w:rPr>
        <w:t xml:space="preserve">• </w:t>
      </w:r>
      <w:r>
        <w:rPr>
          <w:b/>
        </w:rPr>
        <w:t xml:space="preserve">Unificar la numeración de casos de uso: </w:t>
      </w:r>
      <w:r>
        <w:t>El diagrama y el texto asignan distintos casos al identificador CU-02. Alinear todos los ID entre diagrama, títulos y descripciones.</w:t>
      </w:r>
    </w:p>
    <w:p>
      <w:pPr>
        <w:pStyle w:val="Heading1"/>
      </w:pPr>
      <w:r>
        <w:t>4. Diseño técnico y correspondencia con Supabase</w:t>
      </w:r>
    </w:p>
    <w:p>
      <w:pPr>
        <w:spacing w:after="100"/>
        <w:ind w:left="259" w:hanging="259"/>
      </w:pPr>
      <w:r>
        <w:rPr>
          <w:b/>
          <w:color w:val="285378"/>
        </w:rPr>
        <w:t xml:space="preserve">• </w:t>
      </w:r>
      <w:r>
        <w:rPr>
          <w:b/>
        </w:rPr>
        <w:t xml:space="preserve">Redibujar la arquitectura de la sección 2.4.1: </w:t>
      </w:r>
      <w:r>
        <w:t>El documento describe un backend propio con módulos y comunicación TCP/SQL, pero el stack elegido es Supabase. Representar Flutter comunicándose por HTTPS/JSON con Supabase Auth y PostgREST, y estos con PostgreSQL. Ubicar las reglas de acceso en RLS y restricciones de la base de datos; no incluir un servidor intermedio si no se construirá.</w:t>
      </w:r>
    </w:p>
    <w:p>
      <w:pPr>
        <w:spacing w:after="100"/>
        <w:ind w:left="259" w:hanging="259"/>
      </w:pPr>
      <w:r>
        <w:rPr>
          <w:b/>
          <w:color w:val="285378"/>
        </w:rPr>
        <w:t xml:space="preserve">• </w:t>
      </w:r>
      <w:r>
        <w:rPr>
          <w:b/>
        </w:rPr>
        <w:t xml:space="preserve">Completar o retirar los corchetes de la Tabla 10: </w:t>
      </w:r>
      <w:r>
        <w:t>Sustituir los textos de plantilla para frameworks, motor de base de datos y servicios. Resolver también si se usará Supabase Storage para fotos de mascotas; si no forma parte del alcance, dejarlo fuera.</w:t>
      </w:r>
    </w:p>
    <w:p>
      <w:pPr>
        <w:spacing w:after="100"/>
        <w:ind w:left="259" w:hanging="259"/>
      </w:pPr>
      <w:r>
        <w:rPr>
          <w:b/>
          <w:color w:val="285378"/>
        </w:rPr>
        <w:t xml:space="preserve">• </w:t>
      </w:r>
      <w:r>
        <w:rPr>
          <w:b/>
        </w:rPr>
        <w:t xml:space="preserve">Alinear el despliegue con web y móvil: </w:t>
      </w:r>
      <w:r>
        <w:t>La entrega descrita solo contempla un APK, aunque el título promete web y móvil y E2 pide una URL pública. Publicar Flutter Web en un servicio como Firebase Hosting, Netlify o GitHub Pages, y distribuir el APK mediante GitHub Releases, si ese es el alcance acordado.</w:t>
      </w:r>
    </w:p>
    <w:p>
      <w:pPr>
        <w:spacing w:after="100"/>
        <w:ind w:left="259" w:hanging="259"/>
      </w:pPr>
      <w:r>
        <w:rPr>
          <w:b/>
          <w:color w:val="285378"/>
        </w:rPr>
        <w:t xml:space="preserve">• </w:t>
      </w:r>
      <w:r>
        <w:rPr>
          <w:b/>
        </w:rPr>
        <w:t xml:space="preserve">Vincular propietario y cuenta autenticada: </w:t>
      </w:r>
      <w:r>
        <w:t>Agregar id_usuario a PROPIETARIO para que RF-06 pueda limitar los datos a la cuenta correspondiente. La contraseña debe permanecer en auth.users de Supabase; en la tabla de perfil usar un id relacionado con auth.users.id y no almacenar una contraseña propia.</w:t>
      </w:r>
    </w:p>
    <w:p>
      <w:pPr>
        <w:spacing w:after="100"/>
        <w:ind w:left="259" w:hanging="259"/>
      </w:pPr>
      <w:r>
        <w:rPr>
          <w:b/>
          <w:color w:val="285378"/>
        </w:rPr>
        <w:t xml:space="preserve">• </w:t>
      </w:r>
      <w:r>
        <w:rPr>
          <w:b/>
        </w:rPr>
        <w:t xml:space="preserve">Completar el diccionario de datos: </w:t>
      </w:r>
      <w:r>
        <w:t>El diccionario solo documenta USUARIO y el título conserva “[nombre]”. Agregar, como mínimo, las entidades PROPIETARIO, MASCOTA y CONSULTA, con sus campos, tipos, obligatoriedad, restricciones y descripción.</w:t>
      </w:r>
    </w:p>
    <w:p>
      <w:pPr>
        <w:spacing w:after="100"/>
        <w:ind w:left="259" w:hanging="259"/>
      </w:pPr>
      <w:r>
        <w:rPr>
          <w:b/>
          <w:color w:val="285378"/>
        </w:rPr>
        <w:t xml:space="preserve">• </w:t>
      </w:r>
      <w:r>
        <w:rPr>
          <w:b/>
        </w:rPr>
        <w:t xml:space="preserve">Aclarar cómo se validan las citas: </w:t>
      </w:r>
      <w:r>
        <w:t>CA-08.2 depende de horarios disponibles, pero no hay entidad ni regla que los defina. Definir cómo se ofrecen y reservan los horarios, o simplificar RF-08 para que describa únicamente una solicitud de cita.</w:t>
      </w:r>
    </w:p>
    <w:p>
      <w:pPr>
        <w:spacing w:after="100"/>
        <w:ind w:left="259" w:hanging="259"/>
      </w:pPr>
      <w:r>
        <w:rPr>
          <w:b/>
          <w:color w:val="285378"/>
        </w:rPr>
        <w:t xml:space="preserve">• </w:t>
      </w:r>
      <w:r>
        <w:rPr>
          <w:b/>
        </w:rPr>
        <w:t xml:space="preserve">Completar el contrato de API: </w:t>
      </w:r>
      <w:r>
        <w:t>Incluir las operaciones necesarias para consultas, historial, tratamientos, vacunas y citas. Para PostgREST usar PATCH en actualizaciones parciales, no PUT. Quitar el permiso de borrar mascotas al propietario si contradice A-02. Ajustar errores considerando que RLS puede devolver 200 con una lista vacía para una consulta sin filas visibles.</w:t>
      </w:r>
    </w:p>
    <w:p>
      <w:pPr>
        <w:spacing w:after="100"/>
        <w:ind w:left="259" w:hanging="259"/>
      </w:pPr>
      <w:r>
        <w:rPr>
          <w:b/>
          <w:color w:val="285378"/>
        </w:rPr>
        <w:t xml:space="preserve">• </w:t>
      </w:r>
      <w:r>
        <w:rPr>
          <w:b/>
        </w:rPr>
        <w:t xml:space="preserve">Completar los wireframes del veterinario: </w:t>
      </w:r>
      <w:r>
        <w:t>Los wireframes actuales corresponden al propietario. Agregar las pantallas del personal veterinario para registrar consultas y revisar historiales, que cubren funciones Must. Retirar o reasignar el botón “Registrar mascota” del propietario porque RF-02 atribuye ese registro al personal veterinario.</w:t>
      </w:r>
    </w:p>
    <w:p>
      <w:pPr>
        <w:pStyle w:val="Heading1"/>
      </w:pPr>
      <w:r>
        <w:t>5. Riesgos técnicos y datos personales</w:t>
      </w:r>
    </w:p>
    <w:p>
      <w:pPr>
        <w:spacing w:after="100"/>
        <w:ind w:left="259" w:hanging="259"/>
      </w:pPr>
      <w:r>
        <w:rPr>
          <w:b/>
          <w:color w:val="285378"/>
        </w:rPr>
        <w:t xml:space="preserve">• </w:t>
      </w:r>
      <w:r>
        <w:rPr>
          <w:b/>
        </w:rPr>
        <w:t xml:space="preserve">Diseñar de forma segura la creación de cuentas: </w:t>
      </w:r>
      <w:r>
        <w:t>La app no puede crear cuentas de propietarios con la clave anon si el flujo requiere privilegios administrativos. Implementar una Edge Function segura o un flujo de invitación gestionado por servidor. La clave service_role nunca debe incluirse en la app ni en el repositorio.</w:t>
      </w:r>
    </w:p>
    <w:p>
      <w:pPr>
        <w:spacing w:after="100"/>
        <w:ind w:left="259" w:hanging="259"/>
      </w:pPr>
      <w:r>
        <w:rPr>
          <w:b/>
          <w:color w:val="285378"/>
        </w:rPr>
        <w:t xml:space="preserve">• </w:t>
      </w:r>
      <w:r>
        <w:rPr>
          <w:b/>
        </w:rPr>
        <w:t xml:space="preserve">Activar RLS en todas las tablas expuestas: </w:t>
      </w:r>
      <w:r>
        <w:t>La clave anon estará dentro del APK y puede ser inspeccionada. Aplicar políticas de Row Level Security a todas las tablas para impedir el acceso a información ajena.</w:t>
      </w:r>
    </w:p>
    <w:p>
      <w:pPr>
        <w:spacing w:after="100"/>
        <w:ind w:left="259" w:hanging="259"/>
      </w:pPr>
      <w:r>
        <w:rPr>
          <w:b/>
          <w:color w:val="285378"/>
        </w:rPr>
        <w:t xml:space="preserve">• </w:t>
      </w:r>
      <w:r>
        <w:rPr>
          <w:b/>
        </w:rPr>
        <w:t xml:space="preserve">Revisar la disponibilidad de Supabase gratuito: </w:t>
      </w:r>
      <w:r>
        <w:t>El proyecto gratuito puede pausarse tras siete días sin actividad, lo que puede entrar en conflicto con el 95 % de disponibilidad de RNF-05. Declarar esta limitación o definir una medida para prevenirla y revisar si la métrica sigue siendo alcanzable.</w:t>
      </w:r>
    </w:p>
    <w:p>
      <w:pPr>
        <w:spacing w:after="100"/>
        <w:ind w:left="259" w:hanging="259"/>
      </w:pPr>
      <w:r>
        <w:rPr>
          <w:b/>
          <w:color w:val="285378"/>
        </w:rPr>
        <w:t xml:space="preserve">• </w:t>
      </w:r>
      <w:r>
        <w:rPr>
          <w:b/>
        </w:rPr>
        <w:t xml:space="preserve">Registrar versiones concretas: </w:t>
      </w:r>
      <w:r>
        <w:t>Reemplazar “Flutter 3.x” y “Supabase 2.x” con las versiones verificadas en el entorno. Usar la salida de flutter --version y la versión instalada del paquete supabase_flutter.</w:t>
      </w:r>
    </w:p>
    <w:p>
      <w:pPr>
        <w:spacing w:after="100"/>
        <w:ind w:left="259" w:hanging="259"/>
      </w:pPr>
      <w:r>
        <w:rPr>
          <w:b/>
          <w:color w:val="285378"/>
        </w:rPr>
        <w:t xml:space="preserve">• </w:t>
      </w:r>
      <w:r>
        <w:rPr>
          <w:b/>
        </w:rPr>
        <w:t xml:space="preserve">Proteger datos personales en evidencias: </w:t>
      </w:r>
      <w:r>
        <w:t>Usar únicamente datos ficticios de teléfono y dirección en pruebas y capturas.</w:t>
      </w:r>
    </w:p>
    <w:p>
      <w:pPr>
        <w:pStyle w:val="Heading1"/>
      </w:pPr>
      <w:r>
        <w:t>6. Limpieza editorial y de plantilla</w:t>
      </w:r>
    </w:p>
    <w:p>
      <w:pPr>
        <w:spacing w:after="100"/>
        <w:ind w:left="259" w:hanging="259"/>
      </w:pPr>
      <w:r>
        <w:rPr>
          <w:b/>
          <w:color w:val="285378"/>
        </w:rPr>
        <w:t xml:space="preserve">• </w:t>
      </w:r>
      <w:r>
        <w:rPr>
          <w:b/>
        </w:rPr>
        <w:t xml:space="preserve">Completar la Tabla 1: </w:t>
      </w:r>
      <w:r>
        <w:t>Resolver “Tipo de solución” y “Decisión de la tutoría T1”, que conservan opciones de plantilla. Completar también “Alcance acordado” y el enlace del tablero.</w:t>
      </w:r>
    </w:p>
    <w:p>
      <w:pPr>
        <w:spacing w:after="100"/>
        <w:ind w:left="259" w:hanging="259"/>
      </w:pPr>
      <w:r>
        <w:rPr>
          <w:b/>
          <w:color w:val="285378"/>
        </w:rPr>
        <w:t xml:space="preserve">• </w:t>
      </w:r>
      <w:r>
        <w:rPr>
          <w:b/>
        </w:rPr>
        <w:t xml:space="preserve">Corregir rotulación y texto: </w:t>
      </w:r>
      <w:r>
        <w:t>Agregar el título “1.1 Antecedentes”; corregir “CP / SQL” y el texto truncado “dirección públic” en la Tabla 10; mantener la Figura 2 junto con su título.</w:t>
      </w:r>
    </w:p>
    <w:p>
      <w:pPr>
        <w:spacing w:after="100"/>
        <w:ind w:left="259" w:hanging="259"/>
      </w:pPr>
      <w:r>
        <w:rPr>
          <w:b/>
          <w:color w:val="285378"/>
        </w:rPr>
        <w:t xml:space="preserve">• </w:t>
      </w:r>
      <w:r>
        <w:rPr>
          <w:b/>
        </w:rPr>
        <w:t xml:space="preserve">Retirar la hoja de verificación: </w:t>
      </w:r>
      <w:r>
        <w:t>Eliminar del documento final la página “Verificación previa a la entrega”.</w:t>
      </w:r>
    </w:p>
    <w:p>
      <w:pPr>
        <w:pStyle w:val="Heading1"/>
      </w:pPr>
      <w:r>
        <w:t>7. Prioridad para el E2</w:t>
      </w:r>
    </w:p>
    <w:p>
      <w:pPr>
        <w:spacing w:after="100"/>
        <w:ind w:left="259" w:hanging="259"/>
      </w:pPr>
      <w:r>
        <w:rPr>
          <w:b/>
          <w:color w:val="285378"/>
        </w:rPr>
        <w:t xml:space="preserve">• </w:t>
      </w:r>
      <w:r>
        <w:rPr>
          <w:b/>
        </w:rPr>
        <w:t xml:space="preserve">Demostración mínima solicitada: </w:t>
      </w:r>
      <w:r>
        <w:t>Para el sábado 26 de septiembre a las 23:59, la recomendación pide una versión Flutter Web en URL pública conectada a Supabase con RLS, que permita iniciar sesión como veterinario, registrar un propietario y una mascota, registrar una consulta y ver el historial de esa mascota.</w:t>
      </w:r>
    </w:p>
    <w:p>
      <w:pPr>
        <w:spacing w:after="100"/>
        <w:ind w:left="259" w:hanging="259"/>
      </w:pPr>
      <w:r>
        <w:rPr>
          <w:b/>
          <w:color w:val="285378"/>
        </w:rPr>
        <w:t xml:space="preserve">• </w:t>
      </w:r>
      <w:r>
        <w:rPr>
          <w:b/>
        </w:rPr>
        <w:t xml:space="preserve">Acceso al repositorio: </w:t>
      </w:r>
      <w:r>
        <w:t>El repositorio debe estar accesible al docente para que pueda revisar el código y verificar la entrega.</w:t>
      </w:r>
    </w:p>
    <w:p>
      <w:pPr>
        <w:pStyle w:val="Heading1"/>
      </w:pPr>
      <w:r>
        <w:t>Datos que debes confirmar antes de cerrar las correcciones</w:t>
      </w:r>
    </w:p>
    <w:p>
      <w:pPr>
        <w:spacing w:after="60"/>
        <w:ind w:left="288" w:hanging="288"/>
      </w:pPr>
      <w:r>
        <w:rPr>
          <w:b/>
        </w:rPr>
        <w:t xml:space="preserve">☐ </w:t>
      </w:r>
      <w:r>
        <w:t>Ciudad donde está la Veterinaria EIVET.</w:t>
      </w:r>
    </w:p>
    <w:p>
      <w:pPr>
        <w:spacing w:after="60"/>
        <w:ind w:left="288" w:hanging="288"/>
      </w:pPr>
      <w:r>
        <w:rPr>
          <w:b/>
        </w:rPr>
        <w:t xml:space="preserve">☐ </w:t>
      </w:r>
      <w:r>
        <w:t>Cantidad real de atenciones, fichas y tiempo de búsqueda de historiales; frecuencia de controles o vacunas olvidados, si existe registro.</w:t>
      </w:r>
    </w:p>
    <w:p>
      <w:pPr>
        <w:spacing w:after="60"/>
        <w:ind w:left="288" w:hanging="288"/>
      </w:pPr>
      <w:r>
        <w:rPr>
          <w:b/>
        </w:rPr>
        <w:t xml:space="preserve">☐ </w:t>
      </w:r>
      <w:r>
        <w:t>Alcance final: aplicación móvil, aplicación web y móvil, o web como prioridad para E2.</w:t>
      </w:r>
    </w:p>
    <w:p>
      <w:pPr>
        <w:spacing w:after="60"/>
        <w:ind w:left="288" w:hanging="288"/>
      </w:pPr>
      <w:r>
        <w:rPr>
          <w:b/>
        </w:rPr>
        <w:t xml:space="preserve">☐ </w:t>
      </w:r>
      <w:r>
        <w:t>Versiones instaladas de Flutter y supabase_flutter.</w:t>
      </w:r>
    </w:p>
    <w:p>
      <w:pPr>
        <w:spacing w:after="60"/>
        <w:ind w:left="288" w:hanging="288"/>
      </w:pPr>
      <w:r>
        <w:rPr>
          <w:b/>
        </w:rPr>
        <w:t xml:space="preserve">☐ </w:t>
      </w:r>
      <w:r>
        <w:t>Herramienta y enlace del tablero, URL pública de la aplicación y acceso del docente al repositorio.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C74"/>
        <w:sz w:val="16"/>
      </w:rPr>
      <w:t xml:space="preserve">Correcciones del perfil · Tutoría T2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D34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Correcciones del perfil de proyecto - Tutoría T2</dc:title>
  <dc:subject>Guía organizada de recomendaciones docentes para el perfil de proyecto E1</dc:subject>
  <dc:creator>Cristian Arturo Vedia Salazar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