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7618" w14:textId="3DFAF311" w:rsidR="0084354E" w:rsidRDefault="0084354E" w:rsidP="0084354E">
      <w:pPr>
        <w:jc w:val="center"/>
        <w:rPr>
          <w:rFonts w:ascii="Arial" w:hAnsi="Arial"/>
          <w:b/>
          <w:sz w:val="28"/>
        </w:rPr>
      </w:pPr>
      <w:bookmarkStart w:id="0" w:name="_Hlk98400738"/>
      <w:r>
        <w:rPr>
          <w:rFonts w:ascii="Arial" w:hAnsi="Arial"/>
          <w:b/>
          <w:sz w:val="28"/>
        </w:rPr>
        <w:t>WRITTEN EXERCISE</w:t>
      </w:r>
    </w:p>
    <w:p w14:paraId="2EC35428" w14:textId="77777777" w:rsidR="0084354E" w:rsidRDefault="0084354E" w:rsidP="0084354E">
      <w:pPr>
        <w:jc w:val="center"/>
        <w:rPr>
          <w:rFonts w:ascii="Arial" w:hAnsi="Arial"/>
          <w:b/>
          <w:sz w:val="28"/>
        </w:rPr>
      </w:pPr>
    </w:p>
    <w:p w14:paraId="1680496B" w14:textId="77777777" w:rsidR="0084354E" w:rsidRPr="00C3097B" w:rsidRDefault="0084354E" w:rsidP="008435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528D3AE7" w14:textId="77777777" w:rsidR="0084354E" w:rsidRDefault="0084354E" w:rsidP="0084354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Instructions:</w:t>
      </w:r>
    </w:p>
    <w:p w14:paraId="0F199021" w14:textId="77777777" w:rsidR="0084354E" w:rsidRDefault="0084354E" w:rsidP="0084354E">
      <w:pPr>
        <w:rPr>
          <w:rFonts w:ascii="Arial" w:hAnsi="Arial"/>
          <w:b/>
          <w:sz w:val="24"/>
        </w:rPr>
      </w:pPr>
    </w:p>
    <w:p w14:paraId="62BAFE27" w14:textId="1FF348EF" w:rsidR="0084354E" w:rsidRDefault="0084354E" w:rsidP="0084354E">
      <w:pPr>
        <w:rPr>
          <w:rFonts w:ascii="Arial" w:hAnsi="Arial"/>
          <w:sz w:val="24"/>
        </w:rPr>
      </w:pPr>
      <w:r w:rsidRPr="007D360B">
        <w:rPr>
          <w:rFonts w:ascii="Arial" w:hAnsi="Arial"/>
          <w:sz w:val="24"/>
        </w:rPr>
        <w:t xml:space="preserve">It’s your first day at </w:t>
      </w:r>
      <w:r w:rsidRPr="00392DCA">
        <w:rPr>
          <w:rFonts w:ascii="Arial" w:hAnsi="Arial"/>
          <w:sz w:val="24"/>
          <w:highlight w:val="black"/>
        </w:rPr>
        <w:t>Refinitiv, LSEG</w:t>
      </w:r>
      <w:r>
        <w:rPr>
          <w:rFonts w:ascii="Arial" w:hAnsi="Arial"/>
          <w:sz w:val="24"/>
        </w:rPr>
        <w:t>. Y</w:t>
      </w:r>
      <w:r w:rsidRPr="007D360B">
        <w:rPr>
          <w:rFonts w:ascii="Arial" w:hAnsi="Arial"/>
          <w:sz w:val="24"/>
        </w:rPr>
        <w:t xml:space="preserve">our manager has </w:t>
      </w:r>
      <w:r>
        <w:rPr>
          <w:rFonts w:ascii="Arial" w:hAnsi="Arial"/>
          <w:sz w:val="24"/>
        </w:rPr>
        <w:t xml:space="preserve">given you some data (see accompanying data file) and </w:t>
      </w:r>
      <w:r>
        <w:rPr>
          <w:rFonts w:ascii="Arial" w:hAnsi="Arial"/>
          <w:b/>
          <w:sz w:val="24"/>
        </w:rPr>
        <w:t>one hour</w:t>
      </w:r>
      <w:r>
        <w:rPr>
          <w:rFonts w:ascii="Arial" w:hAnsi="Arial"/>
          <w:sz w:val="24"/>
        </w:rPr>
        <w:t xml:space="preserve"> </w:t>
      </w:r>
      <w:r w:rsidRPr="007D360B">
        <w:rPr>
          <w:rFonts w:ascii="Arial" w:hAnsi="Arial"/>
          <w:sz w:val="24"/>
        </w:rPr>
        <w:t xml:space="preserve">to write a </w:t>
      </w:r>
      <w:r>
        <w:rPr>
          <w:rFonts w:ascii="Arial" w:hAnsi="Arial"/>
          <w:sz w:val="24"/>
        </w:rPr>
        <w:t>short report for clients</w:t>
      </w:r>
      <w:r w:rsidRPr="007D360B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(up to</w:t>
      </w:r>
      <w:r w:rsidRPr="00C3097B">
        <w:rPr>
          <w:rFonts w:ascii="Arial" w:hAnsi="Arial"/>
          <w:sz w:val="24"/>
        </w:rPr>
        <w:t xml:space="preserve"> 300 words</w:t>
      </w:r>
      <w:r>
        <w:rPr>
          <w:rFonts w:ascii="Arial" w:hAnsi="Arial"/>
          <w:sz w:val="24"/>
        </w:rPr>
        <w:t>) on</w:t>
      </w:r>
      <w:r w:rsidRPr="007D360B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the state of US LNG exports</w:t>
      </w:r>
      <w:r w:rsidR="00FF2D45">
        <w:rPr>
          <w:rFonts w:ascii="Arial" w:hAnsi="Arial"/>
          <w:sz w:val="24"/>
        </w:rPr>
        <w:t xml:space="preserve">. You will also need to </w:t>
      </w:r>
      <w:r>
        <w:rPr>
          <w:rFonts w:ascii="Arial" w:hAnsi="Arial"/>
          <w:sz w:val="24"/>
        </w:rPr>
        <w:t>create one chart</w:t>
      </w:r>
      <w:r w:rsidR="00333EC3">
        <w:rPr>
          <w:rFonts w:ascii="Arial" w:hAnsi="Arial"/>
          <w:sz w:val="24"/>
        </w:rPr>
        <w:t xml:space="preserve"> that illustrates your written content.</w:t>
      </w:r>
      <w:r w:rsidR="00A92D0F">
        <w:rPr>
          <w:rFonts w:ascii="Arial" w:hAnsi="Arial"/>
          <w:sz w:val="24"/>
        </w:rPr>
        <w:t xml:space="preserve"> Use the following page to write your report.</w:t>
      </w:r>
    </w:p>
    <w:p w14:paraId="3AB518E7" w14:textId="77777777" w:rsidR="0084354E" w:rsidRDefault="0084354E" w:rsidP="0084354E">
      <w:pPr>
        <w:rPr>
          <w:rFonts w:ascii="Arial" w:hAnsi="Arial"/>
          <w:sz w:val="24"/>
        </w:rPr>
      </w:pPr>
    </w:p>
    <w:p w14:paraId="50891DA0" w14:textId="77777777" w:rsidR="0084354E" w:rsidRDefault="0084354E" w:rsidP="008435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Clients will expect a clear and concise summary of the key points and trends from the data, as well some fact-based opinion and analysis. Please come up with a title for your briefing that will attract reader attention.</w:t>
      </w:r>
    </w:p>
    <w:p w14:paraId="37425672" w14:textId="77777777" w:rsidR="0084354E" w:rsidRDefault="0084354E" w:rsidP="0084354E">
      <w:pPr>
        <w:rPr>
          <w:rFonts w:ascii="Arial" w:hAnsi="Arial"/>
          <w:sz w:val="24"/>
        </w:rPr>
      </w:pPr>
    </w:p>
    <w:p w14:paraId="06FB2CA8" w14:textId="77777777" w:rsidR="0084354E" w:rsidRDefault="0084354E" w:rsidP="008435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We aim for our writing to be:</w:t>
      </w:r>
    </w:p>
    <w:p w14:paraId="6CECE951" w14:textId="77777777" w:rsidR="0084354E" w:rsidRDefault="0084354E" w:rsidP="0084354E">
      <w:pPr>
        <w:rPr>
          <w:rFonts w:ascii="Arial" w:hAnsi="Arial"/>
          <w:sz w:val="24"/>
        </w:rPr>
      </w:pPr>
    </w:p>
    <w:p w14:paraId="57BFC2C8" w14:textId="77777777" w:rsidR="0084354E" w:rsidRDefault="0084354E" w:rsidP="0084354E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Clear and concise</w:t>
      </w:r>
    </w:p>
    <w:p w14:paraId="72A06452" w14:textId="77777777" w:rsidR="0084354E" w:rsidRDefault="0084354E" w:rsidP="0084354E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Professional and accessible</w:t>
      </w:r>
    </w:p>
    <w:p w14:paraId="0E358CB0" w14:textId="77777777" w:rsidR="0084354E" w:rsidRDefault="0084354E" w:rsidP="0084354E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Confident and balanced</w:t>
      </w:r>
    </w:p>
    <w:p w14:paraId="3762E8D2" w14:textId="77777777" w:rsidR="0084354E" w:rsidRDefault="0084354E" w:rsidP="0084354E">
      <w:pPr>
        <w:rPr>
          <w:rFonts w:ascii="Arial" w:hAnsi="Arial"/>
          <w:sz w:val="24"/>
        </w:rPr>
      </w:pPr>
    </w:p>
    <w:p w14:paraId="688A928F" w14:textId="77777777" w:rsidR="0084354E" w:rsidRDefault="0084354E" w:rsidP="008435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Useful terms: </w:t>
      </w:r>
    </w:p>
    <w:p w14:paraId="272562B9" w14:textId="77777777" w:rsidR="0084354E" w:rsidRDefault="0084354E" w:rsidP="0084354E">
      <w:pPr>
        <w:rPr>
          <w:rFonts w:ascii="Arial" w:hAnsi="Arial"/>
          <w:sz w:val="24"/>
        </w:rPr>
      </w:pPr>
    </w:p>
    <w:p w14:paraId="604926D3" w14:textId="77777777" w:rsidR="0084354E" w:rsidRDefault="0084354E" w:rsidP="0084354E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Bcf – billion cubic feet of gas</w:t>
      </w:r>
    </w:p>
    <w:p w14:paraId="716361C3" w14:textId="77777777" w:rsidR="0084354E" w:rsidRDefault="0084354E" w:rsidP="0084354E">
      <w:pPr>
        <w:numPr>
          <w:ilvl w:val="0"/>
          <w:numId w:val="2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Bcm</w:t>
      </w:r>
      <w:proofErr w:type="spellEnd"/>
      <w:r>
        <w:rPr>
          <w:rFonts w:ascii="Arial" w:hAnsi="Arial"/>
          <w:sz w:val="24"/>
        </w:rPr>
        <w:t xml:space="preserve"> – billion cubic metres of gas</w:t>
      </w:r>
    </w:p>
    <w:p w14:paraId="0CAA7260" w14:textId="77777777" w:rsidR="0084354E" w:rsidRDefault="0084354E" w:rsidP="0084354E">
      <w:pPr>
        <w:numPr>
          <w:ilvl w:val="0"/>
          <w:numId w:val="2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MMt</w:t>
      </w:r>
      <w:proofErr w:type="spellEnd"/>
      <w:r>
        <w:rPr>
          <w:rFonts w:ascii="Arial" w:hAnsi="Arial"/>
          <w:sz w:val="24"/>
        </w:rPr>
        <w:t xml:space="preserve"> – million tonnes of LNG</w:t>
      </w:r>
    </w:p>
    <w:p w14:paraId="01F27C29" w14:textId="77777777" w:rsidR="0084354E" w:rsidRDefault="0084354E" w:rsidP="0084354E">
      <w:pPr>
        <w:numPr>
          <w:ilvl w:val="0"/>
          <w:numId w:val="2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Mmbbl</w:t>
      </w:r>
      <w:proofErr w:type="spellEnd"/>
      <w:r>
        <w:rPr>
          <w:rFonts w:ascii="Arial" w:hAnsi="Arial"/>
          <w:sz w:val="24"/>
        </w:rPr>
        <w:t xml:space="preserve"> = million barrels of oil</w:t>
      </w:r>
    </w:p>
    <w:p w14:paraId="4E91D59C" w14:textId="77777777" w:rsidR="0084354E" w:rsidRDefault="0084354E" w:rsidP="0084354E">
      <w:pPr>
        <w:numPr>
          <w:ilvl w:val="0"/>
          <w:numId w:val="2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Mmboe</w:t>
      </w:r>
      <w:proofErr w:type="spellEnd"/>
      <w:r>
        <w:rPr>
          <w:rFonts w:ascii="Arial" w:hAnsi="Arial"/>
          <w:sz w:val="24"/>
        </w:rPr>
        <w:t xml:space="preserve"> = million barrels of oil equivalent</w:t>
      </w:r>
    </w:p>
    <w:p w14:paraId="4BBC9BAA" w14:textId="77777777" w:rsidR="0084354E" w:rsidRDefault="0084354E" w:rsidP="0084354E">
      <w:pPr>
        <w:numPr>
          <w:ilvl w:val="0"/>
          <w:numId w:val="2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Bnboe</w:t>
      </w:r>
      <w:proofErr w:type="spellEnd"/>
      <w:r>
        <w:rPr>
          <w:rFonts w:ascii="Arial" w:hAnsi="Arial"/>
          <w:sz w:val="24"/>
        </w:rPr>
        <w:t xml:space="preserve"> = billion barrels of oil equivalent</w:t>
      </w:r>
    </w:p>
    <w:p w14:paraId="1DAC9902" w14:textId="77777777" w:rsidR="0084354E" w:rsidRDefault="0084354E" w:rsidP="0084354E">
      <w:pPr>
        <w:rPr>
          <w:rFonts w:ascii="Arial" w:hAnsi="Arial"/>
          <w:sz w:val="24"/>
        </w:rPr>
      </w:pPr>
    </w:p>
    <w:p w14:paraId="0176A9D0" w14:textId="77777777" w:rsidR="0084354E" w:rsidRDefault="0084354E" w:rsidP="0084354E">
      <w:pPr>
        <w:rPr>
          <w:rFonts w:ascii="Arial" w:hAnsi="Arial"/>
          <w:sz w:val="24"/>
        </w:rPr>
      </w:pPr>
    </w:p>
    <w:p w14:paraId="405D3A00" w14:textId="77777777" w:rsidR="0084354E" w:rsidRDefault="0084354E" w:rsidP="0084354E">
      <w:pPr>
        <w:rPr>
          <w:rFonts w:ascii="Arial" w:hAnsi="Arial"/>
          <w:sz w:val="24"/>
        </w:rPr>
      </w:pPr>
    </w:p>
    <w:bookmarkEnd w:id="0"/>
    <w:p w14:paraId="5318B315" w14:textId="080180E3" w:rsidR="00BE6874" w:rsidRDefault="00BE6874"/>
    <w:p w14:paraId="3CBA3D1C" w14:textId="4CB9394C" w:rsidR="0084354E" w:rsidRDefault="0084354E"/>
    <w:p w14:paraId="78D7FDE9" w14:textId="1134C3AA" w:rsidR="0084354E" w:rsidRDefault="0084354E"/>
    <w:p w14:paraId="30431984" w14:textId="19369EBE" w:rsidR="0084354E" w:rsidRDefault="0084354E"/>
    <w:p w14:paraId="5F74A4EE" w14:textId="18E82A5C" w:rsidR="0084354E" w:rsidRDefault="0084354E"/>
    <w:p w14:paraId="1DADD47B" w14:textId="30BD29FB" w:rsidR="0084354E" w:rsidRDefault="0084354E"/>
    <w:p w14:paraId="64005DF8" w14:textId="7D21E07C" w:rsidR="0084354E" w:rsidRDefault="0084354E"/>
    <w:p w14:paraId="17ADFCBF" w14:textId="08C5DD11" w:rsidR="0084354E" w:rsidRDefault="0084354E"/>
    <w:p w14:paraId="29BE9910" w14:textId="1002C405" w:rsidR="0084354E" w:rsidRDefault="0084354E"/>
    <w:p w14:paraId="5526B90D" w14:textId="4995FB44" w:rsidR="0084354E" w:rsidRDefault="0084354E"/>
    <w:p w14:paraId="19D54DDA" w14:textId="2718581F" w:rsidR="0084354E" w:rsidRDefault="0084354E"/>
    <w:p w14:paraId="6BF97261" w14:textId="5BA5DA43" w:rsidR="0084354E" w:rsidRDefault="0084354E"/>
    <w:p w14:paraId="04B33341" w14:textId="69C20234" w:rsidR="0084354E" w:rsidRDefault="0084354E"/>
    <w:p w14:paraId="52DB6A91" w14:textId="4694292C" w:rsidR="0084354E" w:rsidRDefault="0084354E"/>
    <w:p w14:paraId="3CFC576C" w14:textId="37B2AD4A" w:rsidR="0084354E" w:rsidRDefault="0084354E"/>
    <w:p w14:paraId="5CAECEAA" w14:textId="393B4758" w:rsidR="0084354E" w:rsidRDefault="0084354E"/>
    <w:p w14:paraId="322CD0EA" w14:textId="7C576198" w:rsidR="0084354E" w:rsidRDefault="0084354E"/>
    <w:p w14:paraId="3F47F416" w14:textId="466BD12D" w:rsidR="0084354E" w:rsidRDefault="0084354E"/>
    <w:p w14:paraId="31447561" w14:textId="2A57CF66" w:rsidR="0084354E" w:rsidRDefault="0084354E"/>
    <w:p w14:paraId="05BC48A3" w14:textId="233B3AC2" w:rsidR="0084354E" w:rsidRDefault="0084354E"/>
    <w:p w14:paraId="3249D807" w14:textId="55F15D2F" w:rsidR="0084354E" w:rsidRDefault="0084354E"/>
    <w:p w14:paraId="2790A958" w14:textId="73BD6391" w:rsidR="0084354E" w:rsidRDefault="0084354E"/>
    <w:p w14:paraId="5E3476EF" w14:textId="6C0D59BF" w:rsidR="0084354E" w:rsidRDefault="0084354E" w:rsidP="008435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Candidate name:</w:t>
      </w:r>
      <w:r w:rsidR="00742A75">
        <w:rPr>
          <w:rFonts w:ascii="Arial" w:hAnsi="Arial"/>
          <w:sz w:val="24"/>
        </w:rPr>
        <w:t xml:space="preserve"> Artur Piszczatowski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Date:</w:t>
      </w:r>
      <w:r w:rsidR="00742A75">
        <w:rPr>
          <w:rFonts w:ascii="Arial" w:hAnsi="Arial"/>
          <w:sz w:val="24"/>
        </w:rPr>
        <w:t>27.10.2022</w:t>
      </w:r>
    </w:p>
    <w:p w14:paraId="1DC38871" w14:textId="77777777" w:rsidR="0084354E" w:rsidRDefault="0084354E" w:rsidP="0084354E">
      <w:pPr>
        <w:rPr>
          <w:rFonts w:ascii="Arial" w:hAnsi="Arial"/>
          <w:b/>
          <w:sz w:val="24"/>
        </w:rPr>
      </w:pPr>
    </w:p>
    <w:p w14:paraId="715613D1" w14:textId="77777777" w:rsidR="0084354E" w:rsidRDefault="0084354E" w:rsidP="0084354E">
      <w:pPr>
        <w:rPr>
          <w:rFonts w:ascii="Arial" w:hAnsi="Arial"/>
          <w:b/>
          <w:sz w:val="24"/>
        </w:rPr>
      </w:pPr>
    </w:p>
    <w:p w14:paraId="0E431EAF" w14:textId="3F8B6B9D" w:rsidR="0084354E" w:rsidRDefault="0084354E" w:rsidP="0084354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Report title:</w:t>
      </w:r>
      <w:r w:rsidR="00742A75">
        <w:rPr>
          <w:rFonts w:ascii="Arial" w:hAnsi="Arial"/>
          <w:b/>
          <w:sz w:val="24"/>
        </w:rPr>
        <w:t xml:space="preserve"> Korea </w:t>
      </w:r>
      <w:r w:rsidR="00667CBF">
        <w:rPr>
          <w:rFonts w:ascii="Arial" w:hAnsi="Arial"/>
          <w:b/>
          <w:sz w:val="24"/>
        </w:rPr>
        <w:t>takes us</w:t>
      </w:r>
      <w:r w:rsidR="00742A75">
        <w:rPr>
          <w:rFonts w:ascii="Arial" w:hAnsi="Arial"/>
          <w:b/>
          <w:sz w:val="24"/>
        </w:rPr>
        <w:t xml:space="preserve"> “North”</w:t>
      </w:r>
    </w:p>
    <w:p w14:paraId="3FFCC676" w14:textId="77777777" w:rsidR="0084354E" w:rsidRDefault="0084354E" w:rsidP="0084354E">
      <w:pPr>
        <w:rPr>
          <w:rFonts w:ascii="Arial" w:hAnsi="Arial"/>
          <w:b/>
          <w:sz w:val="24"/>
        </w:rPr>
      </w:pPr>
    </w:p>
    <w:p w14:paraId="5F56811F" w14:textId="77777777" w:rsidR="0084354E" w:rsidRDefault="0084354E" w:rsidP="0084354E">
      <w:pPr>
        <w:rPr>
          <w:rFonts w:ascii="Arial" w:hAnsi="Arial"/>
          <w:b/>
          <w:sz w:val="24"/>
        </w:rPr>
      </w:pPr>
    </w:p>
    <w:p w14:paraId="14A45D74" w14:textId="42DB57B4" w:rsidR="0084354E" w:rsidRDefault="0084354E" w:rsidP="0084354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Report text:</w:t>
      </w:r>
      <w:r w:rsidR="00D41BBD">
        <w:rPr>
          <w:rFonts w:ascii="Arial" w:hAnsi="Arial"/>
          <w:b/>
          <w:sz w:val="24"/>
        </w:rPr>
        <w:t xml:space="preserve"> </w:t>
      </w:r>
      <w:r w:rsidR="00D41BBD">
        <w:rPr>
          <w:rFonts w:ascii="Arial" w:hAnsi="Arial"/>
          <w:b/>
          <w:sz w:val="24"/>
        </w:rPr>
        <w:tab/>
      </w:r>
    </w:p>
    <w:p w14:paraId="73C07C8A" w14:textId="76F0F0E0" w:rsidR="00D41BBD" w:rsidRDefault="00D41BBD" w:rsidP="0084354E">
      <w:pPr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ab/>
      </w:r>
    </w:p>
    <w:p w14:paraId="1455B478" w14:textId="5B64F6ED" w:rsidR="00D41BBD" w:rsidRDefault="00D41BBD" w:rsidP="00D13F75">
      <w:pPr>
        <w:spacing w:before="120"/>
        <w:jc w:val="both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 w:rsidR="00047583">
        <w:rPr>
          <w:rFonts w:ascii="Arial" w:hAnsi="Arial"/>
          <w:bCs/>
          <w:sz w:val="24"/>
        </w:rPr>
        <w:t>The purpose of this report is highlight importance of Korean LNG import of LNG as well as identify the sudden trend reversal regarding overall export of LNG from U.S.</w:t>
      </w:r>
    </w:p>
    <w:p w14:paraId="00A1E0CB" w14:textId="667E9DFB" w:rsidR="0084354E" w:rsidRDefault="00803159" w:rsidP="00D13F75">
      <w:pPr>
        <w:spacing w:before="120"/>
        <w:jc w:val="both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  <w:t xml:space="preserve">As a result of </w:t>
      </w:r>
      <w:r w:rsidR="000400CA">
        <w:rPr>
          <w:rFonts w:ascii="Arial" w:hAnsi="Arial"/>
          <w:bCs/>
          <w:sz w:val="24"/>
        </w:rPr>
        <w:t xml:space="preserve">commencing exportation of LNG to Korea there is a noticeable increase in Mcf exported from U.S. to Northeast Asia in December of 2016, which contributed to 72,5% of overall LNG exported to this region that year. </w:t>
      </w:r>
      <w:r w:rsidR="00BD652E">
        <w:rPr>
          <w:rFonts w:ascii="Arial" w:hAnsi="Arial"/>
          <w:bCs/>
          <w:sz w:val="24"/>
        </w:rPr>
        <w:t>Northeast</w:t>
      </w:r>
      <w:r w:rsidR="000400CA">
        <w:rPr>
          <w:rFonts w:ascii="Arial" w:hAnsi="Arial"/>
          <w:bCs/>
          <w:sz w:val="24"/>
        </w:rPr>
        <w:t xml:space="preserve"> Asia has become</w:t>
      </w:r>
      <w:r w:rsidR="00667CBF">
        <w:rPr>
          <w:rFonts w:ascii="Arial" w:hAnsi="Arial"/>
          <w:bCs/>
          <w:sz w:val="24"/>
        </w:rPr>
        <w:t xml:space="preserve"> the</w:t>
      </w:r>
      <w:r w:rsidR="000400CA">
        <w:rPr>
          <w:rFonts w:ascii="Arial" w:hAnsi="Arial"/>
          <w:bCs/>
          <w:sz w:val="24"/>
        </w:rPr>
        <w:t xml:space="preserve"> biggest customer</w:t>
      </w:r>
      <w:r w:rsidR="00667CBF">
        <w:rPr>
          <w:rFonts w:ascii="Arial" w:hAnsi="Arial"/>
          <w:bCs/>
          <w:sz w:val="24"/>
        </w:rPr>
        <w:t xml:space="preserve"> </w:t>
      </w:r>
      <w:r w:rsidR="000400CA">
        <w:rPr>
          <w:rFonts w:ascii="Arial" w:hAnsi="Arial"/>
          <w:bCs/>
          <w:sz w:val="24"/>
        </w:rPr>
        <w:t xml:space="preserve">making up </w:t>
      </w:r>
      <w:r w:rsidR="00BD652E">
        <w:rPr>
          <w:rFonts w:ascii="Arial" w:hAnsi="Arial"/>
          <w:bCs/>
          <w:sz w:val="24"/>
        </w:rPr>
        <w:t xml:space="preserve">37,25% of overall LNG demand ever since </w:t>
      </w:r>
      <w:r w:rsidR="00667CBF">
        <w:rPr>
          <w:rFonts w:ascii="Arial" w:hAnsi="Arial"/>
          <w:bCs/>
          <w:sz w:val="24"/>
        </w:rPr>
        <w:t>- with</w:t>
      </w:r>
      <w:r w:rsidR="00BD652E">
        <w:rPr>
          <w:rFonts w:ascii="Arial" w:hAnsi="Arial"/>
          <w:bCs/>
          <w:sz w:val="24"/>
        </w:rPr>
        <w:t xml:space="preserve"> Korea contributing 36,86% to its regio</w:t>
      </w:r>
      <w:r w:rsidR="00667CBF">
        <w:rPr>
          <w:rFonts w:ascii="Arial" w:hAnsi="Arial"/>
          <w:bCs/>
          <w:sz w:val="24"/>
        </w:rPr>
        <w:t>n</w:t>
      </w:r>
      <w:r w:rsidR="00BD652E">
        <w:rPr>
          <w:rFonts w:ascii="Arial" w:hAnsi="Arial"/>
          <w:bCs/>
          <w:sz w:val="24"/>
        </w:rPr>
        <w:t>. LNG’s amount imported to Korea shows a stable, increasing trend, which shows a promising future.</w:t>
      </w:r>
    </w:p>
    <w:p w14:paraId="7648D664" w14:textId="3421A4BB" w:rsidR="00BD652E" w:rsidRDefault="00BD652E" w:rsidP="00D13F75">
      <w:pPr>
        <w:spacing w:before="120"/>
        <w:jc w:val="both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  <w:t>Unfortunately, it did not prevent the overall trend reversal displayed on the chart below.</w:t>
      </w:r>
      <w:r w:rsidR="00D13F75">
        <w:rPr>
          <w:rFonts w:ascii="Arial" w:hAnsi="Arial"/>
          <w:bCs/>
          <w:sz w:val="24"/>
        </w:rPr>
        <w:t xml:space="preserve"> With a small exception of year 2018 there was a yearly increase in demand for LNG being exported from U.S. which stopped in 2020. The cause of which was</w:t>
      </w:r>
      <w:r w:rsidR="00667CBF">
        <w:rPr>
          <w:rFonts w:ascii="Arial" w:hAnsi="Arial"/>
          <w:bCs/>
          <w:sz w:val="24"/>
        </w:rPr>
        <w:t xml:space="preserve"> most likely</w:t>
      </w:r>
      <w:r w:rsidR="00D13F75">
        <w:rPr>
          <w:rFonts w:ascii="Arial" w:hAnsi="Arial"/>
          <w:bCs/>
          <w:sz w:val="24"/>
        </w:rPr>
        <w:t xml:space="preserve"> COVID-19 outbreak which led to myriad of lockdowns. Hence LNG was not as </w:t>
      </w:r>
      <w:r w:rsidR="00667CBF">
        <w:rPr>
          <w:rFonts w:ascii="Arial" w:hAnsi="Arial"/>
          <w:bCs/>
          <w:sz w:val="24"/>
        </w:rPr>
        <w:t>required</w:t>
      </w:r>
      <w:r w:rsidR="00D13F75">
        <w:rPr>
          <w:rFonts w:ascii="Arial" w:hAnsi="Arial"/>
          <w:bCs/>
          <w:sz w:val="24"/>
        </w:rPr>
        <w:t xml:space="preserve"> due to limited transportation needs.</w:t>
      </w:r>
    </w:p>
    <w:p w14:paraId="7449A82F" w14:textId="4387B64D" w:rsidR="00667CBF" w:rsidRDefault="00D13F75" w:rsidP="00667CBF">
      <w:pPr>
        <w:spacing w:before="120"/>
        <w:jc w:val="both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  <w:t>In conclusion, despite the sudden drop in demand it seems the positive skew should follow</w:t>
      </w:r>
      <w:r w:rsidR="00667CBF">
        <w:rPr>
          <w:rFonts w:ascii="Arial" w:hAnsi="Arial"/>
          <w:bCs/>
          <w:sz w:val="24"/>
        </w:rPr>
        <w:t xml:space="preserve">, which is displayed by median and average relationship change in 2021 in conjunction with the recent distribution of vaccines which should prevent further lockdowns. </w:t>
      </w:r>
    </w:p>
    <w:p w14:paraId="0A9F06E2" w14:textId="02EECD8C" w:rsidR="00667CBF" w:rsidRPr="00667CBF" w:rsidRDefault="00667CBF" w:rsidP="00667CBF">
      <w:pPr>
        <w:spacing w:before="120"/>
        <w:jc w:val="both"/>
        <w:rPr>
          <w:rFonts w:ascii="Arial" w:hAnsi="Arial"/>
          <w:bCs/>
          <w:sz w:val="24"/>
        </w:rPr>
      </w:pPr>
    </w:p>
    <w:p w14:paraId="1D9817A2" w14:textId="636F07F6" w:rsidR="003A5900" w:rsidRPr="0084354E" w:rsidRDefault="00667CBF">
      <w:pPr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83ABE" wp14:editId="063B0650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5267325" cy="3648075"/>
            <wp:effectExtent l="0" t="0" r="0" b="0"/>
            <wp:wrapThrough wrapText="bothSides">
              <wp:wrapPolygon edited="0">
                <wp:start x="0" y="0"/>
                <wp:lineTo x="0" y="21431"/>
                <wp:lineTo x="21483" y="21431"/>
                <wp:lineTo x="21483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74826B-3750-67D7-E929-890F2380F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54E">
        <w:rPr>
          <w:rFonts w:ascii="Arial" w:hAnsi="Arial"/>
          <w:b/>
          <w:sz w:val="24"/>
        </w:rPr>
        <w:t>Chart title:</w:t>
      </w:r>
      <w:r w:rsidR="003A5900">
        <w:rPr>
          <w:rFonts w:ascii="Arial" w:hAnsi="Arial"/>
          <w:b/>
          <w:sz w:val="24"/>
        </w:rPr>
        <w:t xml:space="preserve"> Trend reversal </w:t>
      </w:r>
    </w:p>
    <w:sectPr w:rsidR="003A5900" w:rsidRPr="0084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608D" w14:textId="77777777" w:rsidR="00AC1621" w:rsidRDefault="00AC1621" w:rsidP="00A85B33">
      <w:r>
        <w:separator/>
      </w:r>
    </w:p>
  </w:endnote>
  <w:endnote w:type="continuationSeparator" w:id="0">
    <w:p w14:paraId="4F536C5C" w14:textId="77777777" w:rsidR="00AC1621" w:rsidRDefault="00AC1621" w:rsidP="00A8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E4F0" w14:textId="77777777" w:rsidR="00AC1621" w:rsidRDefault="00AC1621" w:rsidP="00A85B33">
      <w:r>
        <w:separator/>
      </w:r>
    </w:p>
  </w:footnote>
  <w:footnote w:type="continuationSeparator" w:id="0">
    <w:p w14:paraId="43F74131" w14:textId="77777777" w:rsidR="00AC1621" w:rsidRDefault="00AC1621" w:rsidP="00A85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6E3"/>
    <w:multiLevelType w:val="hybridMultilevel"/>
    <w:tmpl w:val="70A00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61B10"/>
    <w:multiLevelType w:val="hybridMultilevel"/>
    <w:tmpl w:val="ECE00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842A2"/>
    <w:multiLevelType w:val="hybridMultilevel"/>
    <w:tmpl w:val="7C60FBBC"/>
    <w:lvl w:ilvl="0" w:tplc="36A01B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643C"/>
    <w:multiLevelType w:val="hybridMultilevel"/>
    <w:tmpl w:val="59044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1817">
    <w:abstractNumId w:val="0"/>
  </w:num>
  <w:num w:numId="2" w16cid:durableId="609433475">
    <w:abstractNumId w:val="1"/>
  </w:num>
  <w:num w:numId="3" w16cid:durableId="1612784018">
    <w:abstractNumId w:val="2"/>
  </w:num>
  <w:num w:numId="4" w16cid:durableId="1602907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4E"/>
    <w:rsid w:val="000400CA"/>
    <w:rsid w:val="00047583"/>
    <w:rsid w:val="002640E6"/>
    <w:rsid w:val="002A6665"/>
    <w:rsid w:val="002B2900"/>
    <w:rsid w:val="00333EC3"/>
    <w:rsid w:val="00392882"/>
    <w:rsid w:val="00392DCA"/>
    <w:rsid w:val="003A5900"/>
    <w:rsid w:val="00592F1D"/>
    <w:rsid w:val="005D2495"/>
    <w:rsid w:val="00667CBF"/>
    <w:rsid w:val="006A24E0"/>
    <w:rsid w:val="00742A75"/>
    <w:rsid w:val="00803159"/>
    <w:rsid w:val="0084354E"/>
    <w:rsid w:val="008B2E1B"/>
    <w:rsid w:val="00923C9D"/>
    <w:rsid w:val="00A72559"/>
    <w:rsid w:val="00A85B33"/>
    <w:rsid w:val="00A92D0F"/>
    <w:rsid w:val="00AC1621"/>
    <w:rsid w:val="00AE2CDA"/>
    <w:rsid w:val="00B566E7"/>
    <w:rsid w:val="00B91E32"/>
    <w:rsid w:val="00BD652E"/>
    <w:rsid w:val="00BE6874"/>
    <w:rsid w:val="00D13F75"/>
    <w:rsid w:val="00D41BBD"/>
    <w:rsid w:val="00D765A7"/>
    <w:rsid w:val="00F93A1E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2E7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B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B33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85B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B33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91E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32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3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9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szc\OneDrive\Desktop\LSEG%20codes\Written%20exercise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Tables!$M$13</c:f>
              <c:strCache>
                <c:ptCount val="1"/>
                <c:pt idx="0">
                  <c:v>SUM[Mcf]</c:v>
                </c:pt>
              </c:strCache>
            </c:strRef>
          </c:tx>
          <c:spPr>
            <a:solidFill>
              <a:srgbClr val="52B665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D13B3B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07E-4859-8815-05793446F3BC}"/>
              </c:ext>
            </c:extLst>
          </c:dPt>
          <c:dPt>
            <c:idx val="4"/>
            <c:invertIfNegative val="0"/>
            <c:bubble3D val="0"/>
            <c:spPr>
              <a:solidFill>
                <a:srgbClr val="D13B3B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07E-4859-8815-05793446F3BC}"/>
              </c:ext>
            </c:extLst>
          </c:dPt>
          <c:dPt>
            <c:idx val="5"/>
            <c:invertIfNegative val="0"/>
            <c:bubble3D val="0"/>
            <c:spPr>
              <a:solidFill>
                <a:srgbClr val="D13B3B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07E-4859-8815-05793446F3BC}"/>
              </c:ext>
            </c:extLst>
          </c:dPt>
          <c:cat>
            <c:numRef>
              <c:f>Tables!$N$12:$S$12</c:f>
              <c:numCache>
                <c:formatCode>General</c:formatCode>
                <c:ptCount val="6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</c:numCache>
            </c:numRef>
          </c:cat>
          <c:val>
            <c:numRef>
              <c:f>Tables!$N$13:$S$13</c:f>
              <c:numCache>
                <c:formatCode>#,##0</c:formatCode>
                <c:ptCount val="6"/>
                <c:pt idx="0">
                  <c:v>182510652</c:v>
                </c:pt>
                <c:pt idx="1">
                  <c:v>694978799</c:v>
                </c:pt>
                <c:pt idx="2">
                  <c:v>1054273067.8199999</c:v>
                </c:pt>
                <c:pt idx="3">
                  <c:v>1819035962</c:v>
                </c:pt>
                <c:pt idx="4">
                  <c:v>2379304168</c:v>
                </c:pt>
                <c:pt idx="5">
                  <c:v>2581721330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07E-4859-8815-05793446F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632051423"/>
        <c:axId val="1632052671"/>
      </c:barChart>
      <c:lineChart>
        <c:grouping val="standard"/>
        <c:varyColors val="0"/>
        <c:ser>
          <c:idx val="1"/>
          <c:order val="1"/>
          <c:tx>
            <c:strRef>
              <c:f>Tables!$M$16</c:f>
              <c:strCache>
                <c:ptCount val="1"/>
                <c:pt idx="0">
                  <c:v>AVG[%](AVG/SUM)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Tables!$N$12:$S$12</c:f>
              <c:numCache>
                <c:formatCode>General</c:formatCode>
                <c:ptCount val="6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</c:numCache>
            </c:numRef>
          </c:cat>
          <c:val>
            <c:numRef>
              <c:f>Tables!$N$16:$S$16</c:f>
              <c:numCache>
                <c:formatCode>0.00%</c:formatCode>
                <c:ptCount val="6"/>
                <c:pt idx="0">
                  <c:v>9.8907949219314617E-2</c:v>
                </c:pt>
                <c:pt idx="1">
                  <c:v>8.3333333333333329E-2</c:v>
                </c:pt>
                <c:pt idx="2">
                  <c:v>8.3333333333333343E-2</c:v>
                </c:pt>
                <c:pt idx="3">
                  <c:v>8.3333333333333329E-2</c:v>
                </c:pt>
                <c:pt idx="4">
                  <c:v>8.3333333333333343E-2</c:v>
                </c:pt>
                <c:pt idx="5">
                  <c:v>0.11111111111111112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07E-4859-8815-05793446F3BC}"/>
            </c:ext>
          </c:extLst>
        </c:ser>
        <c:ser>
          <c:idx val="2"/>
          <c:order val="2"/>
          <c:tx>
            <c:strRef>
              <c:f>Tables!$M$17</c:f>
              <c:strCache>
                <c:ptCount val="1"/>
                <c:pt idx="0">
                  <c:v>MED[%](MED/SUM)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Tables!$N$12:$S$12</c:f>
              <c:numCache>
                <c:formatCode>General</c:formatCode>
                <c:ptCount val="6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</c:numCache>
            </c:numRef>
          </c:cat>
          <c:val>
            <c:numRef>
              <c:f>Tables!$N$17:$S$17</c:f>
              <c:numCache>
                <c:formatCode>0.00%</c:formatCode>
                <c:ptCount val="6"/>
                <c:pt idx="0">
                  <c:v>8.6038150803384339E-2</c:v>
                </c:pt>
                <c:pt idx="1">
                  <c:v>7.4110753556958509E-2</c:v>
                </c:pt>
                <c:pt idx="2">
                  <c:v>8.4189464873206929E-2</c:v>
                </c:pt>
                <c:pt idx="3">
                  <c:v>7.8785241740042075E-2</c:v>
                </c:pt>
                <c:pt idx="4">
                  <c:v>9.0940421956172524E-2</c:v>
                </c:pt>
                <c:pt idx="5">
                  <c:v>0.11684028384271822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07E-4859-8815-05793446F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5936495"/>
        <c:axId val="1525937743"/>
      </c:lineChart>
      <c:catAx>
        <c:axId val="1632051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052671"/>
        <c:crosses val="autoZero"/>
        <c:auto val="1"/>
        <c:lblAlgn val="ctr"/>
        <c:lblOffset val="100"/>
        <c:noMultiLvlLbl val="0"/>
      </c:catAx>
      <c:valAx>
        <c:axId val="163205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051423"/>
        <c:crosses val="autoZero"/>
        <c:crossBetween val="between"/>
      </c:valAx>
      <c:valAx>
        <c:axId val="1525937743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936495"/>
        <c:crosses val="max"/>
        <c:crossBetween val="between"/>
      </c:valAx>
      <c:catAx>
        <c:axId val="152593649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2593774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2022-03-18T09:16:00Z</dcterms:created>
  <dcterms:modified xsi:type="dcterms:W3CDTF">2023-01-10T22:37:00Z</dcterms:modified>
</cp:coreProperties>
</file>