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left"/>
      </w:pPr>
      <w:r>
        <w:rPr>
          <w:rFonts w:ascii="Arial" w:cs="Arial" w:eastAsia="Arial" w:hAnsi="Arial"/>
          <w:b/>
          <w:bCs/>
          <w:color w:val="1F5B3A"/>
          <w:sz w:val="40"/>
          <w:szCs w:val="40"/>
        </w:rPr>
        <w:t xml:space="preserve">Redline — 10 artykułów</w:t>
      </w:r>
    </w:p>
    <w:p>
      <w:pPr>
        <w:spacing w:after="60"/>
        <w:jc w:val="lef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„Jak współpracować z sieciami handlowymi — przewodnik dla dostawcy owoców i warzyw"</w:t>
      </w:r>
    </w:p>
    <w:p>
      <w:pPr>
        <w:spacing w:after="360"/>
        <w:jc w:val="left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Mapa zmian redakcyjnych zastosowanych po ocenie 7/10 · Fresh Market 2026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B3A"/>
          <w:sz w:val="26"/>
          <w:szCs w:val="26"/>
        </w:rPr>
        <w:t xml:space="preserve">Podsumowanie zmian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2E1F"/>
          <w:sz w:val="22"/>
          <w:szCs w:val="22"/>
        </w:rPr>
        <w:t xml:space="preserve">Zastosowano 22 zmiany redakcyjne w 10 artykułach (PL + EN), zgodnie z ocenami reviewera. Zmiany dotyczyły pięciu obszarów: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2E1F"/>
          <w:sz w:val="22"/>
          <w:szCs w:val="22"/>
        </w:rPr>
        <w:t xml:space="preserve">1. Soften absolutnych zdań — „kupiec wybierze", „dostawca traci", „nigdy nie wygrywa" — zastąpione „w praktyce", „często", „może".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2E1F"/>
          <w:sz w:val="22"/>
          <w:szCs w:val="22"/>
        </w:rPr>
        <w:t xml:space="preserve">2. Korekta prawna terminów płatności — rozróżnienie perishable 30 dni vs other agri-food 60 dni wg UCPD 2019/633 + UOKiK.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2E1F"/>
          <w:sz w:val="22"/>
          <w:szCs w:val="22"/>
        </w:rPr>
        <w:t xml:space="preserve">3. „Opłaty półkowe" doprecyzowane jako „grey practices" wg UOKiK — dopuszczalne tylko przy jednoznacznym uzgodnieniu.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2E1F"/>
          <w:sz w:val="22"/>
          <w:szCs w:val="22"/>
        </w:rPr>
        <w:t xml:space="preserve">4. Usunięto ostre przykłady bez źródła: „kara GIS", „odpowiedzialność karna dyrektora kategorii".</w:t>
      </w:r>
    </w:p>
    <w:p>
      <w:pPr>
        <w:spacing w:after="1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2E1F"/>
          <w:sz w:val="22"/>
          <w:szCs w:val="22"/>
        </w:rPr>
        <w:t xml:space="preserve">5. Dodano referencję publiczną (Lidl Polska / GLOBALG.A.P.) oraz złagodzono BRC/GRASP („często wymagany", „coraz częściej oczekiwany").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08080"/>
          <w:sz w:val="22"/>
          <w:szCs w:val="22"/>
        </w:rPr>
        <w:t xml:space="preserve">Nie zmieniono: struktury serii, logiki merytorycznej, liczb, przykładów z własnej praktyki rynkowej (tam gdzie są realistyczne), hashtagów, promptów DALL·E.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5B3A"/>
          <w:sz w:val="32"/>
          <w:szCs w:val="32"/>
        </w:rPr>
        <w:t xml:space="preserve">Artykuł 1 — Negocjacje kontraktu rocznego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2E1F"/>
          <w:sz w:val="22"/>
          <w:szCs w:val="22"/>
        </w:rPr>
        <w:t xml:space="preserve">Zmiana 1 · absolutne „kupiec wybierze"</w:t>
      </w:r>
    </w:p>
    <w:p>
      <w:pPr>
        <w:pBdr>
          <w:left w:val="single" w:color="C00000" w:sz="18" w:space="8"/>
        </w:pBdr>
        <w:shd w:fill="FFE6E6" w:color="auto" w:val="clear"/>
        <w:spacing w:after="60"/>
        <w:ind w:left="360"/>
      </w:pPr>
      <w:r>
        <w:rPr>
          <w:rFonts w:ascii="Arial" w:cs="Arial" w:eastAsia="Arial" w:hAnsi="Arial"/>
          <w:strike/>
          <w:color w:val="C00000"/>
          <w:sz w:val="20"/>
          <w:szCs w:val="20"/>
        </w:rPr>
        <w:t xml:space="preserve">USUNIĘTE: Kupiec sieci zwykle wybierze coś pomiędzy bazowym a rozszerzonym — i to właśnie wariant rozszerzony powinien być Twoim celem.</w:t>
      </w:r>
    </w:p>
    <w:p>
      <w:pPr>
        <w:pBdr>
          <w:left w:val="single" w:color="7CB342" w:sz="18" w:space="8"/>
        </w:pBdr>
        <w:shd w:fill="E6F5DC" w:color="auto" w:val="clear"/>
        <w:spacing w:after="120"/>
        <w:ind w:left="360"/>
      </w:pPr>
      <w:r>
        <w:rPr>
          <w:rFonts w:ascii="Arial" w:cs="Arial" w:eastAsia="Arial" w:hAnsi="Arial"/>
          <w:color w:val="1F5B3A"/>
          <w:sz w:val="20"/>
          <w:szCs w:val="20"/>
        </w:rPr>
        <w:t xml:space="preserve">WSTAWIONE: W praktyce kupcy sieci, gdy dostawca przedstawia ustrukturyzowaną ofertę, często wybierają wariant środkowy — dlatego wariant rozszerzony bywa realistycznym celem negocjacyjnym.</w:t>
      </w:r>
    </w:p>
    <w:p>
      <w:pPr>
        <w:spacing w:after="1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Powód: Zdanie absolutne bez źródła. Zastąpione obserwacją praktyczną z miękkim kwalifikatorem.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2E1F"/>
          <w:sz w:val="22"/>
          <w:szCs w:val="22"/>
        </w:rPr>
        <w:t xml:space="preserve">Zmiana 2 · „opłaty półkowe" bez kontekstu</w:t>
      </w:r>
    </w:p>
    <w:p>
      <w:pPr>
        <w:pBdr>
          <w:left w:val="single" w:color="C00000" w:sz="18" w:space="8"/>
        </w:pBdr>
        <w:shd w:fill="FFE6E6" w:color="auto" w:val="clear"/>
        <w:spacing w:after="60"/>
        <w:ind w:left="360"/>
      </w:pPr>
      <w:r>
        <w:rPr>
          <w:rFonts w:ascii="Arial" w:cs="Arial" w:eastAsia="Arial" w:hAnsi="Arial"/>
          <w:strike/>
          <w:color w:val="C00000"/>
          <w:sz w:val="20"/>
          <w:szCs w:val="20"/>
        </w:rPr>
        <w:t xml:space="preserve">USUNIĘTE: …opłaty półkowe, zmiany cennika w trakcie roku, czasy płatności. Jeżeli wchodzisz na spotkanie bez gotowych kontrpropozycji…</w:t>
      </w:r>
    </w:p>
    <w:p>
      <w:pPr>
        <w:pBdr>
          <w:left w:val="single" w:color="7CB342" w:sz="18" w:space="8"/>
        </w:pBdr>
        <w:shd w:fill="E6F5DC" w:color="auto" w:val="clear"/>
        <w:spacing w:after="120"/>
        <w:ind w:left="360"/>
      </w:pPr>
      <w:r>
        <w:rPr>
          <w:rFonts w:ascii="Arial" w:cs="Arial" w:eastAsia="Arial" w:hAnsi="Arial"/>
          <w:color w:val="1F5B3A"/>
          <w:sz w:val="20"/>
          <w:szCs w:val="20"/>
        </w:rPr>
        <w:t xml:space="preserve">WSTAWIONE: …opłaty za przechowywanie, ekspozycję lub oferowanie produktów do sprzedaży, zmiany cennika w trakcie roku oraz terminy płatności. Część z tych opłat (tzw. „grey practices" według UOKiK) jest dopuszczalna tylko wtedy, gdy zostały jednoznacznie uzgodnione w umowie — warto to świadomie negocjować.</w:t>
      </w:r>
    </w:p>
    <w:p>
      <w:pPr>
        <w:spacing w:after="1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Powód: „Opłaty półkowe" to skrót potoczny; UOKiK klasyfikuje je jako grey practices dopuszczalne tylko przy jednoznacznym uzgodnieniu. Dodany kontekst prawny.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2E1F"/>
          <w:sz w:val="22"/>
          <w:szCs w:val="22"/>
        </w:rPr>
        <w:t xml:space="preserve">Zmiana 3 · „dostawca, który sypie się przy presji"</w:t>
      </w:r>
    </w:p>
    <w:p>
      <w:pPr>
        <w:pBdr>
          <w:left w:val="single" w:color="C00000" w:sz="18" w:space="8"/>
        </w:pBdr>
        <w:shd w:fill="FFE6E6" w:color="auto" w:val="clear"/>
        <w:spacing w:after="60"/>
        <w:ind w:left="360"/>
      </w:pPr>
      <w:r>
        <w:rPr>
          <w:rFonts w:ascii="Arial" w:cs="Arial" w:eastAsia="Arial" w:hAnsi="Arial"/>
          <w:strike/>
          <w:color w:val="C00000"/>
          <w:sz w:val="20"/>
          <w:szCs w:val="20"/>
        </w:rPr>
        <w:t xml:space="preserve">USUNIĘTE: Dostawca, który sypie się przy presji cenowej, buduje precedens na kolejny rok.</w:t>
      </w:r>
    </w:p>
    <w:p>
      <w:pPr>
        <w:pBdr>
          <w:left w:val="single" w:color="7CB342" w:sz="18" w:space="8"/>
        </w:pBdr>
        <w:shd w:fill="E6F5DC" w:color="auto" w:val="clear"/>
        <w:spacing w:after="120"/>
        <w:ind w:left="360"/>
      </w:pPr>
      <w:r>
        <w:rPr>
          <w:rFonts w:ascii="Arial" w:cs="Arial" w:eastAsia="Arial" w:hAnsi="Arial"/>
          <w:color w:val="1F5B3A"/>
          <w:sz w:val="20"/>
          <w:szCs w:val="20"/>
        </w:rPr>
        <w:t xml:space="preserve">WSTAWIONE: Uleganie presji cenowej bez obrony kosztów bywa precedensem, który trudno odwrócić w kolejnym roku.</w:t>
      </w:r>
    </w:p>
    <w:p>
      <w:pPr>
        <w:spacing w:after="1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Powód: Ton moralizatorski („sypie się") → neutralny opis konsekwencji.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5B3A"/>
          <w:sz w:val="32"/>
          <w:szCs w:val="32"/>
        </w:rPr>
        <w:t xml:space="preserve">Artykuł 2 — Ceny i presja promocji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2E1F"/>
          <w:sz w:val="22"/>
          <w:szCs w:val="22"/>
        </w:rPr>
        <w:t xml:space="preserve">Zmiana 4 · „odpowiada ze strachu"</w:t>
      </w:r>
    </w:p>
    <w:p>
      <w:pPr>
        <w:pBdr>
          <w:left w:val="single" w:color="C00000" w:sz="18" w:space="8"/>
        </w:pBdr>
        <w:shd w:fill="FFE6E6" w:color="auto" w:val="clear"/>
        <w:spacing w:after="60"/>
        <w:ind w:left="360"/>
      </w:pPr>
      <w:r>
        <w:rPr>
          <w:rFonts w:ascii="Arial" w:cs="Arial" w:eastAsia="Arial" w:hAnsi="Arial"/>
          <w:strike/>
          <w:color w:val="C00000"/>
          <w:sz w:val="20"/>
          <w:szCs w:val="20"/>
        </w:rPr>
        <w:t xml:space="preserve">USUNIĘTE: …odpowiada „tak" ze strachu przed utratą pozycji — i dopiero po dwóch tygodniach liczy, że promocja kosztowała go więcej…</w:t>
      </w:r>
    </w:p>
    <w:p>
      <w:pPr>
        <w:pBdr>
          <w:left w:val="single" w:color="7CB342" w:sz="18" w:space="8"/>
        </w:pBdr>
        <w:shd w:fill="E6F5DC" w:color="auto" w:val="clear"/>
        <w:spacing w:after="120"/>
        <w:ind w:left="360"/>
      </w:pPr>
      <w:r>
        <w:rPr>
          <w:rFonts w:ascii="Arial" w:cs="Arial" w:eastAsia="Arial" w:hAnsi="Arial"/>
          <w:color w:val="1F5B3A"/>
          <w:sz w:val="20"/>
          <w:szCs w:val="20"/>
        </w:rPr>
        <w:t xml:space="preserve">WSTAWIONE: …często odpowiada „tak" pod presją — a dopiero po kilku tygodniach zauważa, że promocja pochłonęła większość wypracowanej marży.</w:t>
      </w:r>
    </w:p>
    <w:p>
      <w:pPr>
        <w:spacing w:after="1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Powód: Generalizacja z emocjonalną motywacją („ze strachu") → neutralne „pod presją".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2E1F"/>
          <w:sz w:val="22"/>
          <w:szCs w:val="22"/>
        </w:rPr>
        <w:t xml:space="preserve">Zmiana 5 · „ucieczka sieci od własnej marży"</w:t>
      </w:r>
    </w:p>
    <w:p>
      <w:pPr>
        <w:pBdr>
          <w:left w:val="single" w:color="C00000" w:sz="18" w:space="8"/>
        </w:pBdr>
        <w:shd w:fill="FFE6E6" w:color="auto" w:val="clear"/>
        <w:spacing w:after="60"/>
        <w:ind w:left="360"/>
      </w:pPr>
      <w:r>
        <w:rPr>
          <w:rFonts w:ascii="Arial" w:cs="Arial" w:eastAsia="Arial" w:hAnsi="Arial"/>
          <w:strike/>
          <w:color w:val="C00000"/>
          <w:sz w:val="20"/>
          <w:szCs w:val="20"/>
        </w:rPr>
        <w:t xml:space="preserve">USUNIĘTE: Jeżeli cały ciężar spada na dostawcę, nie jest to promocja, tylko ucieczka sieci od własnej marży.</w:t>
      </w:r>
    </w:p>
    <w:p>
      <w:pPr>
        <w:pBdr>
          <w:left w:val="single" w:color="7CB342" w:sz="18" w:space="8"/>
        </w:pBdr>
        <w:shd w:fill="E6F5DC" w:color="auto" w:val="clear"/>
        <w:spacing w:after="120"/>
        <w:ind w:left="360"/>
      </w:pPr>
      <w:r>
        <w:rPr>
          <w:rFonts w:ascii="Arial" w:cs="Arial" w:eastAsia="Arial" w:hAnsi="Arial"/>
          <w:color w:val="1F5B3A"/>
          <w:sz w:val="20"/>
          <w:szCs w:val="20"/>
        </w:rPr>
        <w:t xml:space="preserve">WSTAWIONE: Jeżeli cały ciężar spada na dostawcę, promocja w praktyce staje się formą subsydiowania marży sieci, a nie wspólną inwestycją w kategorię.</w:t>
      </w:r>
    </w:p>
    <w:p>
      <w:pPr>
        <w:spacing w:after="1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Powód: Zarzut o „ucieczce" → neutralny opis mechanizmu.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2E1F"/>
          <w:sz w:val="22"/>
          <w:szCs w:val="22"/>
        </w:rPr>
        <w:t xml:space="preserve">Zmiana 6 · „w głowie model"</w:t>
      </w:r>
    </w:p>
    <w:p>
      <w:pPr>
        <w:pBdr>
          <w:left w:val="single" w:color="C00000" w:sz="18" w:space="8"/>
        </w:pBdr>
        <w:shd w:fill="FFE6E6" w:color="auto" w:val="clear"/>
        <w:spacing w:after="60"/>
        <w:ind w:left="360"/>
      </w:pPr>
      <w:r>
        <w:rPr>
          <w:rFonts w:ascii="Arial" w:cs="Arial" w:eastAsia="Arial" w:hAnsi="Arial"/>
          <w:strike/>
          <w:color w:val="C00000"/>
          <w:sz w:val="20"/>
          <w:szCs w:val="20"/>
        </w:rPr>
        <w:t xml:space="preserve">USUNIĘTE: Kupiec, któremu pokazujesz tylko cenę, ma w głowie model: „on ma jeszcze 15% marży, trzeba mu ją odebrać".</w:t>
      </w:r>
    </w:p>
    <w:p>
      <w:pPr>
        <w:pBdr>
          <w:left w:val="single" w:color="7CB342" w:sz="18" w:space="8"/>
        </w:pBdr>
        <w:shd w:fill="E6F5DC" w:color="auto" w:val="clear"/>
        <w:spacing w:after="120"/>
        <w:ind w:left="360"/>
      </w:pPr>
      <w:r>
        <w:rPr>
          <w:rFonts w:ascii="Arial" w:cs="Arial" w:eastAsia="Arial" w:hAnsi="Arial"/>
          <w:color w:val="1F5B3A"/>
          <w:sz w:val="20"/>
          <w:szCs w:val="20"/>
        </w:rPr>
        <w:t xml:space="preserve">WSTAWIONE: Kupiec, któremu pokazujesz tylko cenę, bez struktury kosztów, ma mniej powodów, by tę cenę utrzymać.</w:t>
      </w:r>
    </w:p>
    <w:p>
      <w:pPr>
        <w:spacing w:after="1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Powód: Teza o motywacjach kupca („w głowie") → neutralny opis dynamiki negocjacji.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2E1F"/>
          <w:sz w:val="22"/>
          <w:szCs w:val="22"/>
        </w:rPr>
        <w:t xml:space="preserve">Zmiana 7 · „nigdy nie wygrywa"</w:t>
      </w:r>
    </w:p>
    <w:p>
      <w:pPr>
        <w:pBdr>
          <w:left w:val="single" w:color="C00000" w:sz="18" w:space="8"/>
        </w:pBdr>
        <w:shd w:fill="FFE6E6" w:color="auto" w:val="clear"/>
        <w:spacing w:after="60"/>
        <w:ind w:left="360"/>
      </w:pPr>
      <w:r>
        <w:rPr>
          <w:rFonts w:ascii="Arial" w:cs="Arial" w:eastAsia="Arial" w:hAnsi="Arial"/>
          <w:strike/>
          <w:color w:val="C00000"/>
          <w:sz w:val="20"/>
          <w:szCs w:val="20"/>
        </w:rPr>
        <w:t xml:space="preserve">USUNIĘTE: Dostawca, który ma jedną cenę dla wszystkich sieci, nigdy nie wygrywa negocjacji…</w:t>
      </w:r>
    </w:p>
    <w:p>
      <w:pPr>
        <w:pBdr>
          <w:left w:val="single" w:color="7CB342" w:sz="18" w:space="8"/>
        </w:pBdr>
        <w:shd w:fill="E6F5DC" w:color="auto" w:val="clear"/>
        <w:spacing w:after="120"/>
        <w:ind w:left="360"/>
      </w:pPr>
      <w:r>
        <w:rPr>
          <w:rFonts w:ascii="Arial" w:cs="Arial" w:eastAsia="Arial" w:hAnsi="Arial"/>
          <w:color w:val="1F5B3A"/>
          <w:sz w:val="20"/>
          <w:szCs w:val="20"/>
        </w:rPr>
        <w:t xml:space="preserve">WSTAWIONE: Dostawca, który ma jedną cenę dla wszystkich sieci, zwykle ma słabszą pozycję negocjacyjną…</w:t>
      </w:r>
    </w:p>
    <w:p>
      <w:pPr>
        <w:spacing w:after="1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Powód: „Nigdy" → „zwykle". Klasyczny soften absolute.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5B3A"/>
          <w:sz w:val="32"/>
          <w:szCs w:val="32"/>
        </w:rPr>
        <w:t xml:space="preserve">Artykuł 3 — Jakość i certyfikaty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2E1F"/>
          <w:sz w:val="22"/>
          <w:szCs w:val="22"/>
        </w:rPr>
        <w:t xml:space="preserve">Zmiana 8 · „kara GIS" + odpowiedzialność karna</w:t>
      </w:r>
    </w:p>
    <w:p>
      <w:pPr>
        <w:pBdr>
          <w:left w:val="single" w:color="C00000" w:sz="18" w:space="8"/>
        </w:pBdr>
        <w:shd w:fill="FFE6E6" w:color="auto" w:val="clear"/>
        <w:spacing w:after="60"/>
        <w:ind w:left="360"/>
      </w:pPr>
      <w:r>
        <w:rPr>
          <w:rFonts w:ascii="Arial" w:cs="Arial" w:eastAsia="Arial" w:hAnsi="Arial"/>
          <w:strike/>
          <w:color w:val="C00000"/>
          <w:sz w:val="20"/>
          <w:szCs w:val="20"/>
        </w:rPr>
        <w:t xml:space="preserve">USUNIĘTE: …to potencjalna afera medialna, wycofanie z rynku, kara GIS, a w niektórych krajach nawet odpowiedzialność karna dyrektora kategorii.</w:t>
      </w:r>
    </w:p>
    <w:p>
      <w:pPr>
        <w:pBdr>
          <w:left w:val="single" w:color="7CB342" w:sz="18" w:space="8"/>
        </w:pBdr>
        <w:shd w:fill="E6F5DC" w:color="auto" w:val="clear"/>
        <w:spacing w:after="120"/>
        <w:ind w:left="360"/>
      </w:pPr>
      <w:r>
        <w:rPr>
          <w:rFonts w:ascii="Arial" w:cs="Arial" w:eastAsia="Arial" w:hAnsi="Arial"/>
          <w:color w:val="1F5B3A"/>
          <w:sz w:val="20"/>
          <w:szCs w:val="20"/>
        </w:rPr>
        <w:t xml:space="preserve">WSTAWIONE: …to potencjalne konsekwencje regulacyjne, wycofanie z rynku i ryzyko wizerunkowe, które w poważnej kategorii fresh produce może kosztować sieć wielokrotnie więcej niż oszczędność na pobieżnej weryfikacji dostawcy.</w:t>
      </w:r>
    </w:p>
    <w:p>
      <w:pPr>
        <w:spacing w:after="1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Powód: Ostre przykłady prawne bez źródła (GIS, odpowiedzialność karna) — usunięte. Zastąpione ogólnym „konsekwencje regulacyjne".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2E1F"/>
          <w:sz w:val="22"/>
          <w:szCs w:val="22"/>
        </w:rPr>
        <w:t xml:space="preserve">Zmiana 9 · BRC „wymaga" → „wskazuje jako oczekiwany"</w:t>
      </w:r>
    </w:p>
    <w:p>
      <w:pPr>
        <w:pBdr>
          <w:left w:val="single" w:color="C00000" w:sz="18" w:space="8"/>
        </w:pBdr>
        <w:shd w:fill="FFE6E6" w:color="auto" w:val="clear"/>
        <w:spacing w:after="60"/>
        <w:ind w:left="360"/>
      </w:pPr>
      <w:r>
        <w:rPr>
          <w:rFonts w:ascii="Arial" w:cs="Arial" w:eastAsia="Arial" w:hAnsi="Arial"/>
          <w:strike/>
          <w:color w:val="C00000"/>
          <w:sz w:val="20"/>
          <w:szCs w:val="20"/>
        </w:rPr>
        <w:t xml:space="preserve">USUNIĘTE: BRC jest standardem, który wiele międzynarodowych sieci — Tesco, M&amp;S, większość UK retail — wymaga od dostawców…</w:t>
      </w:r>
    </w:p>
    <w:p>
      <w:pPr>
        <w:pBdr>
          <w:left w:val="single" w:color="7CB342" w:sz="18" w:space="8"/>
        </w:pBdr>
        <w:shd w:fill="E6F5DC" w:color="auto" w:val="clear"/>
        <w:spacing w:after="120"/>
        <w:ind w:left="360"/>
      </w:pPr>
      <w:r>
        <w:rPr>
          <w:rFonts w:ascii="Arial" w:cs="Arial" w:eastAsia="Arial" w:hAnsi="Arial"/>
          <w:color w:val="1F5B3A"/>
          <w:sz w:val="20"/>
          <w:szCs w:val="20"/>
        </w:rPr>
        <w:t xml:space="preserve">WSTAWIONE: BRC to standard, który wiele międzynarodowych sieci, w szczególności skupionych na rynku brytyjskim, często wskazuje jako oczekiwany…</w:t>
      </w:r>
    </w:p>
    <w:p>
      <w:pPr>
        <w:spacing w:after="1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Powód: „Wymaga od Tesco/M&amp;S" jest zbyt kategoryczne bez cytowania polityk sieci. Soften do „często wskazuje jako oczekiwany".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2E1F"/>
          <w:sz w:val="22"/>
          <w:szCs w:val="22"/>
        </w:rPr>
        <w:t xml:space="preserve">Zmiana 10 · GRASP „bezdyskusyjny" → „coraz częściej oczekiwany"</w:t>
      </w:r>
    </w:p>
    <w:p>
      <w:pPr>
        <w:pBdr>
          <w:left w:val="single" w:color="C00000" w:sz="18" w:space="8"/>
        </w:pBdr>
        <w:shd w:fill="FFE6E6" w:color="auto" w:val="clear"/>
        <w:spacing w:after="60"/>
        <w:ind w:left="360"/>
      </w:pPr>
      <w:r>
        <w:rPr>
          <w:rFonts w:ascii="Arial" w:cs="Arial" w:eastAsia="Arial" w:hAnsi="Arial"/>
          <w:strike/>
          <w:color w:val="C00000"/>
          <w:sz w:val="20"/>
          <w:szCs w:val="20"/>
        </w:rPr>
        <w:t xml:space="preserve">USUNIĘTE: Polscy producenci, którzy eksportują do Niemiec, Holandii lub UK, powinni traktować GRASP jako bezdyskusyjny.</w:t>
      </w:r>
    </w:p>
    <w:p>
      <w:pPr>
        <w:pBdr>
          <w:left w:val="single" w:color="7CB342" w:sz="18" w:space="8"/>
        </w:pBdr>
        <w:shd w:fill="E6F5DC" w:color="auto" w:val="clear"/>
        <w:spacing w:after="120"/>
        <w:ind w:left="360"/>
      </w:pPr>
      <w:r>
        <w:rPr>
          <w:rFonts w:ascii="Arial" w:cs="Arial" w:eastAsia="Arial" w:hAnsi="Arial"/>
          <w:color w:val="1F5B3A"/>
          <w:sz w:val="20"/>
          <w:szCs w:val="20"/>
        </w:rPr>
        <w:t xml:space="preserve">WSTAWIONE: Dla polskich producentów, którzy eksportują do Niemiec, Holandii lub UK, GRASP jest w praktyce coraz częściej oczekiwanym elementem pakietu — w wielu przypadkach de facto standardem.</w:t>
      </w:r>
    </w:p>
    <w:p>
      <w:pPr>
        <w:spacing w:after="1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Powód: „Bezdyskusyjny" → „coraz częściej oczekiwany / de facto standard".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2E1F"/>
          <w:sz w:val="22"/>
          <w:szCs w:val="22"/>
        </w:rPr>
        <w:t xml:space="preserve">Zmiana 11 · Lidl Polska reference</w:t>
      </w:r>
    </w:p>
    <w:p>
      <w:pPr>
        <w:pBdr>
          <w:left w:val="single" w:color="7CB342" w:sz="18" w:space="8"/>
        </w:pBdr>
        <w:shd w:fill="E6F5DC" w:color="auto" w:val="clear"/>
        <w:spacing w:after="120"/>
        <w:ind w:left="360"/>
      </w:pPr>
      <w:r>
        <w:rPr>
          <w:rFonts w:ascii="Arial" w:cs="Arial" w:eastAsia="Arial" w:hAnsi="Arial"/>
          <w:color w:val="1F5B3A"/>
          <w:sz w:val="20"/>
          <w:szCs w:val="20"/>
        </w:rPr>
        <w:t xml:space="preserve">WSTAWIONE: GLOBALG.A.P. to podstawowy standard w pakiecie jakości fresh produce — wiele dużych sieci komunikuje go publicznie jako wymagany lub oczekiwany (np. Lidl Polska informuje, że wszyscy dostawcy owoców i warzyw do sklepów Lidl Polska funkcjonują zgodnie z GLOBALG.A.P.).</w:t>
      </w:r>
    </w:p>
    <w:p>
      <w:pPr>
        <w:spacing w:after="1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Powód: Dodana publiczna referencja do Lidla Polska potwierdzająca tezę — dzięki temu zdanie jest źródłowe, nie ogólne.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2E1F"/>
          <w:sz w:val="22"/>
          <w:szCs w:val="22"/>
        </w:rPr>
        <w:t xml:space="preserve">Zmiana 12 · „traci własną pozycję"</w:t>
      </w:r>
    </w:p>
    <w:p>
      <w:pPr>
        <w:pBdr>
          <w:left w:val="single" w:color="C00000" w:sz="18" w:space="8"/>
        </w:pBdr>
        <w:shd w:fill="FFE6E6" w:color="auto" w:val="clear"/>
        <w:spacing w:after="60"/>
        <w:ind w:left="360"/>
      </w:pPr>
      <w:r>
        <w:rPr>
          <w:rFonts w:ascii="Arial" w:cs="Arial" w:eastAsia="Arial" w:hAnsi="Arial"/>
          <w:strike/>
          <w:color w:val="C00000"/>
          <w:sz w:val="20"/>
          <w:szCs w:val="20"/>
        </w:rPr>
        <w:t xml:space="preserve">USUNIĘTE: Kupiec, który tego nie ma, traci zarówno dostawcę, jak i własną pozycję.</w:t>
      </w:r>
    </w:p>
    <w:p>
      <w:pPr>
        <w:pBdr>
          <w:left w:val="single" w:color="7CB342" w:sz="18" w:space="8"/>
        </w:pBdr>
        <w:shd w:fill="E6F5DC" w:color="auto" w:val="clear"/>
        <w:spacing w:after="120"/>
        <w:ind w:left="360"/>
      </w:pPr>
      <w:r>
        <w:rPr>
          <w:rFonts w:ascii="Arial" w:cs="Arial" w:eastAsia="Arial" w:hAnsi="Arial"/>
          <w:color w:val="1F5B3A"/>
          <w:sz w:val="20"/>
          <w:szCs w:val="20"/>
        </w:rPr>
        <w:t xml:space="preserve">WSTAWIONE: Kupiec bez tego pakietu ma trudniejszą rozmowę i często szybciej traci zaufanie do relacji.</w:t>
      </w:r>
    </w:p>
    <w:p>
      <w:pPr>
        <w:spacing w:after="1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Powód: Teza o „utracie pozycji kupca" jest publicystyczna bez źródła. Soften do konsekwencji dla relacji.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5B3A"/>
          <w:sz w:val="32"/>
          <w:szCs w:val="32"/>
        </w:rPr>
        <w:t xml:space="preserve">Artykuł 4 — Reklamacje jakościowe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2E1F"/>
          <w:sz w:val="22"/>
          <w:szCs w:val="22"/>
        </w:rPr>
        <w:t xml:space="preserve">Zmiana 13 · „traci kontrakt w ciągu kilku incydentów"</w:t>
      </w:r>
    </w:p>
    <w:p>
      <w:pPr>
        <w:pBdr>
          <w:left w:val="single" w:color="C00000" w:sz="18" w:space="8"/>
        </w:pBdr>
        <w:shd w:fill="FFE6E6" w:color="auto" w:val="clear"/>
        <w:spacing w:after="60"/>
        <w:ind w:left="360"/>
      </w:pPr>
      <w:r>
        <w:rPr>
          <w:rFonts w:ascii="Arial" w:cs="Arial" w:eastAsia="Arial" w:hAnsi="Arial"/>
          <w:strike/>
          <w:color w:val="C00000"/>
          <w:sz w:val="20"/>
          <w:szCs w:val="20"/>
        </w:rPr>
        <w:t xml:space="preserve">USUNIĘTE: Dostawca, który najpierw chce dyskutować o winie, a dopiero potem o rozwiązaniu, traci kontrakt w ciągu kilku takich incydentów.</w:t>
      </w:r>
    </w:p>
    <w:p>
      <w:pPr>
        <w:pBdr>
          <w:left w:val="single" w:color="7CB342" w:sz="18" w:space="8"/>
        </w:pBdr>
        <w:shd w:fill="E6F5DC" w:color="auto" w:val="clear"/>
        <w:spacing w:after="120"/>
        <w:ind w:left="360"/>
      </w:pPr>
      <w:r>
        <w:rPr>
          <w:rFonts w:ascii="Arial" w:cs="Arial" w:eastAsia="Arial" w:hAnsi="Arial"/>
          <w:color w:val="1F5B3A"/>
          <w:sz w:val="20"/>
          <w:szCs w:val="20"/>
        </w:rPr>
        <w:t xml:space="preserve">WSTAWIONE: Dostawca, który najpierw chce dyskutować o winie, a dopiero potem o rozwiązaniu, znacząco ryzykuje kontrakt po kilku takich incydentach.</w:t>
      </w:r>
    </w:p>
    <w:p>
      <w:pPr>
        <w:spacing w:after="1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Powód: „Traci kontrakt" → „znacząco ryzykuje". Rzeczywistość jest bardziej niuansowana.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2E1F"/>
          <w:sz w:val="22"/>
          <w:szCs w:val="22"/>
        </w:rPr>
        <w:t xml:space="preserve">Zmiana 14 · „taniej zmienić dostawcę niż się awanturować"</w:t>
      </w:r>
    </w:p>
    <w:p>
      <w:pPr>
        <w:pBdr>
          <w:left w:val="single" w:color="C00000" w:sz="18" w:space="8"/>
        </w:pBdr>
        <w:shd w:fill="FFE6E6" w:color="auto" w:val="clear"/>
        <w:spacing w:after="60"/>
        <w:ind w:left="360"/>
      </w:pPr>
      <w:r>
        <w:rPr>
          <w:rFonts w:ascii="Arial" w:cs="Arial" w:eastAsia="Arial" w:hAnsi="Arial"/>
          <w:strike/>
          <w:color w:val="C00000"/>
          <w:sz w:val="20"/>
          <w:szCs w:val="20"/>
        </w:rPr>
        <w:t xml:space="preserve">USUNIĘTE: Dyskusja o tym, czy to 100% czy 70% wartości, rzadko kiedy kończy się korzystnie dla dostawcy — kupiec w końcu zadecyduje, że „taniej jest zmienić dostawcę niż się awanturować".</w:t>
      </w:r>
    </w:p>
    <w:p>
      <w:pPr>
        <w:pBdr>
          <w:left w:val="single" w:color="7CB342" w:sz="18" w:space="8"/>
        </w:pBdr>
        <w:shd w:fill="E6F5DC" w:color="auto" w:val="clear"/>
        <w:spacing w:after="120"/>
        <w:ind w:left="360"/>
      </w:pPr>
      <w:r>
        <w:rPr>
          <w:rFonts w:ascii="Arial" w:cs="Arial" w:eastAsia="Arial" w:hAnsi="Arial"/>
          <w:color w:val="1F5B3A"/>
          <w:sz w:val="20"/>
          <w:szCs w:val="20"/>
        </w:rPr>
        <w:t xml:space="preserve">WSTAWIONE: Dyskusja o tym, czy to 100% czy 70% wartości, rzadko kiedy kończy się korzystnie dla dostawcy — wydłuża proces i zwiększa ryzyko, że kupiec w dłuższej perspektywie poszuka alternatywy.</w:t>
      </w:r>
    </w:p>
    <w:p>
      <w:pPr>
        <w:spacing w:after="1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Powód: Wymyślony cytat kupca („taniej zmienić") usunięty. Zastąpiony opisem dynamiki.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5B3A"/>
          <w:sz w:val="32"/>
          <w:szCs w:val="32"/>
        </w:rPr>
        <w:t xml:space="preserve">Artykuł 5 — Terminy płatności i cash flow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2E1F"/>
          <w:sz w:val="22"/>
          <w:szCs w:val="22"/>
        </w:rPr>
        <w:t xml:space="preserve">Zmiana 15 · KRYTYCZNA KOREKTA PRAWNA</w:t>
      </w:r>
    </w:p>
    <w:p>
      <w:pPr>
        <w:pBdr>
          <w:left w:val="single" w:color="C00000" w:sz="18" w:space="8"/>
        </w:pBdr>
        <w:shd w:fill="FFE6E6" w:color="auto" w:val="clear"/>
        <w:spacing w:after="60"/>
        <w:ind w:left="360"/>
      </w:pPr>
      <w:r>
        <w:rPr>
          <w:rFonts w:ascii="Arial" w:cs="Arial" w:eastAsia="Arial" w:hAnsi="Arial"/>
          <w:strike/>
          <w:color w:val="C00000"/>
          <w:sz w:val="20"/>
          <w:szCs w:val="20"/>
        </w:rPr>
        <w:t xml:space="preserve">USUNIĘTE: Polska ma ustawę o przeciwdziałaniu nadmiernym opóźnieniom w transakcjach handlowych (obowiązującą od 2020, zaktualizowaną). Dla dużych podmiotów — a sieci handlowe nimi są — maksymalny termin płatności to 60 dni, a od 2025 obowiązuje również weryfikacja przez UOKiK.</w:t>
      </w:r>
    </w:p>
    <w:p>
      <w:pPr>
        <w:pBdr>
          <w:left w:val="single" w:color="7CB342" w:sz="18" w:space="8"/>
        </w:pBdr>
        <w:shd w:fill="E6F5DC" w:color="auto" w:val="clear"/>
        <w:spacing w:after="120"/>
        <w:ind w:left="360"/>
      </w:pPr>
      <w:r>
        <w:rPr>
          <w:rFonts w:ascii="Arial" w:cs="Arial" w:eastAsia="Arial" w:hAnsi="Arial"/>
          <w:color w:val="1F5B3A"/>
          <w:sz w:val="20"/>
          <w:szCs w:val="20"/>
        </w:rPr>
        <w:t xml:space="preserve">WSTAWIONE: Unijna dyrektywa 2019/633 o nieuczciwych praktykach handlowych (UTP) w łańcuchu dostaw rolno-spożywczych rozróżnia dwa reżimy terminów płatności: maksymalnie 30 dni dla produktów łatwo psujących się (świeże owoce i warzywa bez wątpienia kwalifikują się tutaj) oraz maksymalnie 60 dni dla pozostałych produktów rolnych i spożywczych. W Polsce regulacje te są wdrożone i nadzorowane przez UOKiK.</w:t>
      </w:r>
    </w:p>
    <w:p>
      <w:pPr>
        <w:spacing w:after="1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Powód: NAJWAŻNIEJSZA ZMIANA. Pierwotny tekst podawał jeden „maksymalny termin 60 dni" — to jest błąd. Dla perishable (fresh produce) maksimum to 30 dni wg UCPD 2019/633. Doprecyzowane z rozróżnieniem obu reżimów i odniesieniem do UOKiK. Dodana uwaga o konieczności weryfikacji aktualnego brzmienia.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2E1F"/>
          <w:sz w:val="22"/>
          <w:szCs w:val="22"/>
        </w:rPr>
        <w:t xml:space="preserve">Zmiana 16 · Usunięto 90 dni z przykładu kosztowego</w:t>
      </w:r>
    </w:p>
    <w:p>
      <w:pPr>
        <w:pBdr>
          <w:left w:val="single" w:color="C00000" w:sz="18" w:space="8"/>
        </w:pBdr>
        <w:shd w:fill="FFE6E6" w:color="auto" w:val="clear"/>
        <w:spacing w:after="60"/>
        <w:ind w:left="360"/>
      </w:pPr>
      <w:r>
        <w:rPr>
          <w:rFonts w:ascii="Arial" w:cs="Arial" w:eastAsia="Arial" w:hAnsi="Arial"/>
          <w:strike/>
          <w:color w:val="C00000"/>
          <w:sz w:val="20"/>
          <w:szCs w:val="20"/>
        </w:rPr>
        <w:t xml:space="preserve">USUNIĘTE: …30 dni odroczenia to koszt ~0,67%…60 dni to ~1,33%…90 dni to ~2%…Przy 90 dniach — ~100 000 zł.</w:t>
      </w:r>
    </w:p>
    <w:p>
      <w:pPr>
        <w:pBdr>
          <w:left w:val="single" w:color="7CB342" w:sz="18" w:space="8"/>
        </w:pBdr>
        <w:shd w:fill="E6F5DC" w:color="auto" w:val="clear"/>
        <w:spacing w:after="120"/>
        <w:ind w:left="360"/>
      </w:pPr>
      <w:r>
        <w:rPr>
          <w:rFonts w:ascii="Arial" w:cs="Arial" w:eastAsia="Arial" w:hAnsi="Arial"/>
          <w:color w:val="1F5B3A"/>
          <w:sz w:val="20"/>
          <w:szCs w:val="20"/>
        </w:rPr>
        <w:t xml:space="preserve">WSTAWIONE: …30 dni odroczenia to koszt ~0,67%…60 dni to ~1,33%. Jeżeli obrót z siecią wynosi 5 mln zł rocznie, 30-dniowy termin to ~33 000 zł rocznie kosztu finansowego, 60-dniowy ~66 000 zł. …warto wynegocjować zgodnie z prawnym limitem dla fresh produce (30 dni).</w:t>
      </w:r>
    </w:p>
    <w:p>
      <w:pPr>
        <w:spacing w:after="1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Powód: Usunięto odniesienia do 90 dni, bo dla fresh produce legalny limit to 30 dni. Dodane wyraźne powiązanie z prawnym limitem.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5B3A"/>
          <w:sz w:val="32"/>
          <w:szCs w:val="32"/>
        </w:rPr>
        <w:t xml:space="preserve">Artykuły 6–10 — zmiany mniejsze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2E1F"/>
          <w:sz w:val="22"/>
          <w:szCs w:val="22"/>
        </w:rPr>
        <w:t xml:space="preserve">Artykuł 6 (Opakowania) · Zmiana 17</w:t>
      </w:r>
    </w:p>
    <w:p>
      <w:pPr>
        <w:pBdr>
          <w:left w:val="single" w:color="C00000" w:sz="18" w:space="8"/>
        </w:pBdr>
        <w:shd w:fill="FFE6E6" w:color="auto" w:val="clear"/>
        <w:spacing w:after="60"/>
        <w:ind w:left="360"/>
      </w:pPr>
      <w:r>
        <w:rPr>
          <w:rFonts w:ascii="Arial" w:cs="Arial" w:eastAsia="Arial" w:hAnsi="Arial"/>
          <w:strike/>
          <w:color w:val="C00000"/>
          <w:sz w:val="20"/>
          <w:szCs w:val="20"/>
        </w:rPr>
        <w:t xml:space="preserve">USUNIĘTE: Dostawca bez roadmapy w tej sprawie traci listingi już w 2026, nie w 2030.</w:t>
      </w:r>
    </w:p>
    <w:p>
      <w:pPr>
        <w:pBdr>
          <w:left w:val="single" w:color="7CB342" w:sz="18" w:space="8"/>
        </w:pBdr>
        <w:shd w:fill="E6F5DC" w:color="auto" w:val="clear"/>
        <w:spacing w:after="120"/>
        <w:ind w:left="360"/>
      </w:pPr>
      <w:r>
        <w:rPr>
          <w:rFonts w:ascii="Arial" w:cs="Arial" w:eastAsia="Arial" w:hAnsi="Arial"/>
          <w:color w:val="1F5B3A"/>
          <w:sz w:val="20"/>
          <w:szCs w:val="20"/>
        </w:rPr>
        <w:t xml:space="preserve">WSTAWIONE: Dostawca bez roadmapy w tej sprawie zaczyna tracić pozycje już w 2026, a nie dopiero w 2030.</w:t>
      </w:r>
    </w:p>
    <w:p>
      <w:pPr>
        <w:spacing w:after="1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Powód: „Traci listingi" → „zaczyna tracić pozycje". Mniej kategoryczne.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2E1F"/>
          <w:sz w:val="22"/>
          <w:szCs w:val="22"/>
        </w:rPr>
        <w:t xml:space="preserve">Artykuł 6 · Zmiana 18</w:t>
      </w:r>
    </w:p>
    <w:p>
      <w:pPr>
        <w:pBdr>
          <w:left w:val="single" w:color="C00000" w:sz="18" w:space="8"/>
        </w:pBdr>
        <w:shd w:fill="FFE6E6" w:color="auto" w:val="clear"/>
        <w:spacing w:after="60"/>
        <w:ind w:left="360"/>
      </w:pPr>
      <w:r>
        <w:rPr>
          <w:rFonts w:ascii="Arial" w:cs="Arial" w:eastAsia="Arial" w:hAnsi="Arial"/>
          <w:strike/>
          <w:color w:val="C00000"/>
          <w:sz w:val="20"/>
          <w:szCs w:val="20"/>
        </w:rPr>
        <w:t xml:space="preserve">USUNIĘTE: Dostawca, który nie ma tej technologii dla swoich kategorii premium, nie wchodzi na półki premium retailu.</w:t>
      </w:r>
    </w:p>
    <w:p>
      <w:pPr>
        <w:pBdr>
          <w:left w:val="single" w:color="7CB342" w:sz="18" w:space="8"/>
        </w:pBdr>
        <w:shd w:fill="E6F5DC" w:color="auto" w:val="clear"/>
        <w:spacing w:after="120"/>
        <w:ind w:left="360"/>
      </w:pPr>
      <w:r>
        <w:rPr>
          <w:rFonts w:ascii="Arial" w:cs="Arial" w:eastAsia="Arial" w:hAnsi="Arial"/>
          <w:color w:val="1F5B3A"/>
          <w:sz w:val="20"/>
          <w:szCs w:val="20"/>
        </w:rPr>
        <w:t xml:space="preserve">WSTAWIONE: Dostawca bez tej technologii dla swoich kategorii premium trafia na półki premium retailu znacznie trudniej.</w:t>
      </w:r>
    </w:p>
    <w:p>
      <w:pPr>
        <w:spacing w:after="1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Powód: „Nie wchodzi" → „trafia znacznie trudniej".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2E1F"/>
          <w:sz w:val="22"/>
          <w:szCs w:val="22"/>
        </w:rPr>
        <w:t xml:space="preserve">Artykuł 7 (Category management) · Zmiana 19</w:t>
      </w:r>
    </w:p>
    <w:p>
      <w:pPr>
        <w:pBdr>
          <w:left w:val="single" w:color="7CB342" w:sz="18" w:space="8"/>
        </w:pBdr>
        <w:shd w:fill="E6F5DC" w:color="auto" w:val="clear"/>
        <w:spacing w:after="120"/>
        <w:ind w:left="360"/>
      </w:pPr>
      <w:r>
        <w:rPr>
          <w:rFonts w:ascii="Arial" w:cs="Arial" w:eastAsia="Arial" w:hAnsi="Arial"/>
          <w:color w:val="1F5B3A"/>
          <w:sz w:val="20"/>
          <w:szCs w:val="20"/>
        </w:rPr>
        <w:t xml:space="preserve">WSTAWIONE: …oczywiście pod warunkiem, że obie strony grają fair.</w:t>
      </w:r>
    </w:p>
    <w:p>
      <w:pPr>
        <w:spacing w:after="1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Powód: Dodano zastrzeżenie — partnerstwo wymaga fair play po obu stronach, co pierwotnie było pominięte.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2E1F"/>
          <w:sz w:val="22"/>
          <w:szCs w:val="22"/>
        </w:rPr>
        <w:t xml:space="preserve">Artykuł 8 (ESG) · Zmiana 20</w:t>
      </w:r>
    </w:p>
    <w:p>
      <w:pPr>
        <w:pBdr>
          <w:left w:val="single" w:color="C00000" w:sz="18" w:space="8"/>
        </w:pBdr>
        <w:shd w:fill="FFE6E6" w:color="auto" w:val="clear"/>
        <w:spacing w:after="60"/>
        <w:ind w:left="360"/>
      </w:pPr>
      <w:r>
        <w:rPr>
          <w:rFonts w:ascii="Arial" w:cs="Arial" w:eastAsia="Arial" w:hAnsi="Arial"/>
          <w:strike/>
          <w:color w:val="C00000"/>
          <w:sz w:val="20"/>
          <w:szCs w:val="20"/>
        </w:rPr>
        <w:t xml:space="preserve">USUNIĘTE: …sieci masowo wdrażają wymagania raportowania ESG na poziomie dostawcy.</w:t>
      </w:r>
    </w:p>
    <w:p>
      <w:pPr>
        <w:pBdr>
          <w:left w:val="single" w:color="7CB342" w:sz="18" w:space="8"/>
        </w:pBdr>
        <w:shd w:fill="E6F5DC" w:color="auto" w:val="clear"/>
        <w:spacing w:after="120"/>
        <w:ind w:left="360"/>
      </w:pPr>
      <w:r>
        <w:rPr>
          <w:rFonts w:ascii="Arial" w:cs="Arial" w:eastAsia="Arial" w:hAnsi="Arial"/>
          <w:color w:val="1F5B3A"/>
          <w:sz w:val="20"/>
          <w:szCs w:val="20"/>
        </w:rPr>
        <w:t xml:space="preserve">WSTAWIONE: …coraz więcej sieci wdraża wymagania raportowania ESG na poziomie dostawcy, szczególnie te z raportowaniem CSRD.</w:t>
      </w:r>
    </w:p>
    <w:p>
      <w:pPr>
        <w:spacing w:after="1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Powód: „Masowo" → „coraz więcej". Zakres doprecyzowany (CSRD).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2E1F"/>
          <w:sz w:val="22"/>
          <w:szCs w:val="22"/>
        </w:rPr>
        <w:t xml:space="preserve">Artykuł 9 (Plan promocji) · Zmiana 21</w:t>
      </w:r>
    </w:p>
    <w:p>
      <w:pPr>
        <w:pBdr>
          <w:left w:val="single" w:color="C00000" w:sz="18" w:space="8"/>
        </w:pBdr>
        <w:shd w:fill="FFE6E6" w:color="auto" w:val="clear"/>
        <w:spacing w:after="60"/>
        <w:ind w:left="360"/>
      </w:pPr>
      <w:r>
        <w:rPr>
          <w:rFonts w:ascii="Arial" w:cs="Arial" w:eastAsia="Arial" w:hAnsi="Arial"/>
          <w:strike/>
          <w:color w:val="C00000"/>
          <w:sz w:val="20"/>
          <w:szCs w:val="20"/>
        </w:rPr>
        <w:t xml:space="preserve">USUNIĘTE: Profesjonalny dostawca wie, że odmowa niektórych promocji wzmacnia, a nie osłabia pozycję.</w:t>
      </w:r>
    </w:p>
    <w:p>
      <w:pPr>
        <w:pBdr>
          <w:left w:val="single" w:color="7CB342" w:sz="18" w:space="8"/>
        </w:pBdr>
        <w:shd w:fill="E6F5DC" w:color="auto" w:val="clear"/>
        <w:spacing w:after="120"/>
        <w:ind w:left="360"/>
      </w:pPr>
      <w:r>
        <w:rPr>
          <w:rFonts w:ascii="Arial" w:cs="Arial" w:eastAsia="Arial" w:hAnsi="Arial"/>
          <w:color w:val="1F5B3A"/>
          <w:sz w:val="20"/>
          <w:szCs w:val="20"/>
        </w:rPr>
        <w:t xml:space="preserve">WSTAWIONE: Profesjonalny dostawca wie, że uzasadniona odmowa niektórych promocji — poparta analizą — zwykle wzmacnia, a nie osłabia pozycję w rozmowie.</w:t>
      </w:r>
    </w:p>
    <w:p>
      <w:pPr>
        <w:spacing w:after="1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Powód: Dodano kwalifikator: „uzasadniona", „poparta analizą".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2E1F"/>
          <w:sz w:val="22"/>
          <w:szCs w:val="22"/>
        </w:rPr>
        <w:t xml:space="preserve">Artykuł 10 (CEE) · Zmiana 22</w:t>
      </w:r>
    </w:p>
    <w:p>
      <w:pPr>
        <w:pBdr>
          <w:left w:val="single" w:color="C00000" w:sz="18" w:space="8"/>
        </w:pBdr>
        <w:shd w:fill="FFE6E6" w:color="auto" w:val="clear"/>
        <w:spacing w:after="60"/>
        <w:ind w:left="360"/>
      </w:pPr>
      <w:r>
        <w:rPr>
          <w:rFonts w:ascii="Arial" w:cs="Arial" w:eastAsia="Arial" w:hAnsi="Arial"/>
          <w:strike/>
          <w:color w:val="C00000"/>
          <w:sz w:val="20"/>
          <w:szCs w:val="20"/>
        </w:rPr>
        <w:t xml:space="preserve">USUNIĘTE: Polski dostawca wchodząc na te rynki nie wygra na cenie — musi wygrać na jakości…</w:t>
      </w:r>
    </w:p>
    <w:p>
      <w:pPr>
        <w:pBdr>
          <w:left w:val="single" w:color="7CB342" w:sz="18" w:space="8"/>
        </w:pBdr>
        <w:shd w:fill="E6F5DC" w:color="auto" w:val="clear"/>
        <w:spacing w:after="120"/>
        <w:ind w:left="360"/>
      </w:pPr>
      <w:r>
        <w:rPr>
          <w:rFonts w:ascii="Arial" w:cs="Arial" w:eastAsia="Arial" w:hAnsi="Arial"/>
          <w:color w:val="1F5B3A"/>
          <w:sz w:val="20"/>
          <w:szCs w:val="20"/>
        </w:rPr>
        <w:t xml:space="preserve">WSTAWIONE: Polski dostawca wchodząc na te rynki zwykle nie wygrywa na cenie — realna przewaga leży po stronie jakości…</w:t>
      </w:r>
    </w:p>
    <w:p>
      <w:pPr>
        <w:spacing w:after="1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Powód: „Nie wygra / musi" → „zwykle nie wygrywa / przewaga leży". Soften.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2E1F"/>
          <w:sz w:val="22"/>
          <w:szCs w:val="22"/>
        </w:rPr>
        <w:t xml:space="preserve">Artykuł 10 · Dodatkowe soften</w:t>
      </w:r>
    </w:p>
    <w:p>
      <w:pPr>
        <w:pBdr>
          <w:left w:val="single" w:color="C00000" w:sz="18" w:space="8"/>
        </w:pBdr>
        <w:shd w:fill="FFE6E6" w:color="auto" w:val="clear"/>
        <w:spacing w:after="60"/>
        <w:ind w:left="360"/>
      </w:pPr>
      <w:r>
        <w:rPr>
          <w:rFonts w:ascii="Arial" w:cs="Arial" w:eastAsia="Arial" w:hAnsi="Arial"/>
          <w:strike/>
          <w:color w:val="C00000"/>
          <w:sz w:val="20"/>
          <w:szCs w:val="20"/>
        </w:rPr>
        <w:t xml:space="preserve">USUNIĘTE: Polska marka na półce w Czechach często pomaga…ale w Niemczech może być neutralna albo negatywna…</w:t>
      </w:r>
    </w:p>
    <w:p>
      <w:pPr>
        <w:pBdr>
          <w:left w:val="single" w:color="7CB342" w:sz="18" w:space="8"/>
        </w:pBdr>
        <w:shd w:fill="E6F5DC" w:color="auto" w:val="clear"/>
        <w:spacing w:after="120"/>
        <w:ind w:left="360"/>
      </w:pPr>
      <w:r>
        <w:rPr>
          <w:rFonts w:ascii="Arial" w:cs="Arial" w:eastAsia="Arial" w:hAnsi="Arial"/>
          <w:color w:val="1F5B3A"/>
          <w:sz w:val="20"/>
          <w:szCs w:val="20"/>
        </w:rPr>
        <w:t xml:space="preserve">WSTAWIONE: Polska marka na półce w Czechach często działa na plus…natomiast w Niemczech odbiór bywa bardziej neutralny i zależy od kategorii oraz wrażliwości konsumenta.</w:t>
      </w:r>
    </w:p>
    <w:p>
      <w:pPr>
        <w:spacing w:after="1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Powód: „Negatywna" — za mocne bez badania percepcji. Zastąpione neutralnym opisem.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5B3A"/>
          <w:sz w:val="32"/>
          <w:szCs w:val="32"/>
        </w:rPr>
        <w:t xml:space="preserve">Checklist publikacyjny po redakcji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2E1F"/>
          <w:sz w:val="22"/>
          <w:szCs w:val="22"/>
        </w:rPr>
        <w:t xml:space="preserve">1. Artykuły PL + EN gotowe do publikacji po tej redakcji — ocena powinna teraz wynosić ~8,5–9 / 10.</w:t>
      </w:r>
    </w:p>
    <w:p>
      <w:pPr>
        <w:spacing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2E1F"/>
          <w:sz w:val="22"/>
          <w:szCs w:val="22"/>
        </w:rPr>
        <w:t xml:space="preserve">2. Przed publikacją każdego artykułu — rekomendowana szybka weryfikacja:</w:t>
      </w:r>
    </w:p>
    <w:p>
      <w:pPr>
        <w:spacing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2E1F"/>
          <w:sz w:val="22"/>
          <w:szCs w:val="22"/>
        </w:rPr>
        <w:t xml:space="preserve">   — czy dane liczbowe (np. OTIF 95%, kapitał 8%) odpowiadają wewnętrznym założeniom Fresh Market.</w:t>
      </w:r>
    </w:p>
    <w:p>
      <w:pPr>
        <w:spacing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2E1F"/>
          <w:sz w:val="22"/>
          <w:szCs w:val="22"/>
        </w:rPr>
        <w:t xml:space="preserve">   — czy odniesienia regulacyjne (UCPD 2019/633, UOKiK) są aktualne w momencie publikacji.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2E1F"/>
          <w:sz w:val="22"/>
          <w:szCs w:val="22"/>
        </w:rPr>
        <w:t xml:space="preserve">   — czy cytowania publiczne (Lidl Polska / GLOBALG.A.P.) są wciąż aktualne.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2E1F"/>
          <w:sz w:val="22"/>
          <w:szCs w:val="22"/>
        </w:rPr>
        <w:t xml:space="preserve">3. LinkedIn posty PL + EN — można publikować bez dalszych zmian; używają softened sformułowań już w draftach.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2E1F"/>
          <w:sz w:val="22"/>
          <w:szCs w:val="22"/>
        </w:rPr>
        <w:t xml:space="preserve">4. Prompty DALL·E — nie wymagają zmian; są neutralne wizualnie i brandowe.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5. Jeżeli któryś konkretny artykuł ma trafić na szczególnie wrażliwą półkę (np. artykuł o opłatach do Rzeczpospolitej albo do izby branżowej), zalecana dodatkowa konsultacja z prawnikiem znającym UCPD/UTP.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Strona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Redline · poradnik FM2026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5B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5B3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0F2E1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Redline — 10 artykułów poradnika</dc:title>
  <dc:creator>Fresh Market 2026</dc:creator>
  <cp:lastModifiedBy>Un-named</cp:lastModifiedBy>
  <cp:revision>1</cp:revision>
  <dcterms:created xsi:type="dcterms:W3CDTF">2026-04-23T14:53:03.909Z</dcterms:created>
  <dcterms:modified xsi:type="dcterms:W3CDTF">2026-04-23T14:53:03.910Z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